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5A635B">
      <w:pPr>
        <w:rPr>
          <w:rFonts w:ascii="宋体" w:hAnsi="宋体" w:cs="宋体"/>
          <w:sz w:val="44"/>
          <w:szCs w:val="52"/>
        </w:rPr>
      </w:pPr>
    </w:p>
    <w:p w14:paraId="56D7BD08">
      <w:pPr>
        <w:jc w:val="center"/>
        <w:rPr>
          <w:rFonts w:ascii="宋体" w:hAnsi="宋体" w:cs="宋体"/>
          <w:sz w:val="44"/>
          <w:szCs w:val="52"/>
        </w:rPr>
      </w:pPr>
    </w:p>
    <w:p w14:paraId="2F84BDBE">
      <w:pPr>
        <w:pStyle w:val="38"/>
        <w:jc w:val="center"/>
        <w:outlineLvl w:val="1"/>
        <w:rPr>
          <w:rFonts w:ascii="黑体" w:hAnsi="黑体" w:eastAsia="黑体"/>
          <w:color w:val="auto"/>
          <w:sz w:val="40"/>
          <w:szCs w:val="40"/>
        </w:rPr>
      </w:pPr>
      <w:r>
        <w:rPr>
          <w:rFonts w:hint="eastAsia" w:eastAsia="黑体"/>
          <w:color w:val="auto"/>
          <w:sz w:val="40"/>
          <w:szCs w:val="48"/>
          <w:lang w:eastAsia="zh-CN"/>
        </w:rPr>
        <w:t>深圳市公安局龙华分局</w:t>
      </w:r>
      <w:r>
        <w:rPr>
          <w:rFonts w:hint="eastAsia" w:eastAsia="黑体"/>
          <w:color w:val="auto"/>
          <w:sz w:val="40"/>
          <w:szCs w:val="48"/>
          <w:lang w:val="en-US" w:eastAsia="zh-CN"/>
        </w:rPr>
        <w:t>民治等5个派出所</w:t>
      </w:r>
      <w:r>
        <w:rPr>
          <w:rFonts w:hint="eastAsia" w:eastAsia="黑体"/>
          <w:color w:val="auto"/>
          <w:sz w:val="40"/>
          <w:szCs w:val="48"/>
          <w:lang w:eastAsia="zh-CN"/>
        </w:rPr>
        <w:t>食堂物资配送</w:t>
      </w:r>
      <w:r>
        <w:rPr>
          <w:rFonts w:hint="eastAsia" w:ascii="黑体" w:hAnsi="黑体" w:eastAsia="黑体"/>
          <w:color w:val="auto"/>
          <w:sz w:val="40"/>
          <w:szCs w:val="40"/>
        </w:rPr>
        <w:t>项目信息</w:t>
      </w:r>
    </w:p>
    <w:tbl>
      <w:tblPr>
        <w:tblStyle w:val="44"/>
        <w:tblW w:w="7938" w:type="dxa"/>
        <w:jc w:val="center"/>
        <w:tblCellSpacing w:w="0" w:type="dxa"/>
        <w:tblLayout w:type="autofit"/>
        <w:tblCellMar>
          <w:top w:w="45" w:type="dxa"/>
          <w:left w:w="45" w:type="dxa"/>
          <w:bottom w:w="45" w:type="dxa"/>
          <w:right w:w="45" w:type="dxa"/>
        </w:tblCellMar>
      </w:tblPr>
      <w:tblGrid>
        <w:gridCol w:w="2102"/>
        <w:gridCol w:w="5836"/>
      </w:tblGrid>
      <w:tr w14:paraId="020360FC">
        <w:tblPrEx>
          <w:tblCellMar>
            <w:top w:w="45" w:type="dxa"/>
            <w:left w:w="45" w:type="dxa"/>
            <w:bottom w:w="45" w:type="dxa"/>
            <w:right w:w="45" w:type="dxa"/>
          </w:tblCellMar>
        </w:tblPrEx>
        <w:trPr>
          <w:trHeight w:val="737" w:hRule="atLeast"/>
          <w:tblCellSpacing w:w="0" w:type="dxa"/>
          <w:jc w:val="center"/>
        </w:trPr>
        <w:tc>
          <w:tcPr>
            <w:tcW w:w="2102" w:type="dxa"/>
            <w:vAlign w:val="center"/>
          </w:tcPr>
          <w:p w14:paraId="44971D27">
            <w:pPr>
              <w:jc w:val="right"/>
              <w:rPr>
                <w:rFonts w:ascii="宋体" w:cs="宋体"/>
                <w:color w:val="auto"/>
                <w:sz w:val="30"/>
                <w:szCs w:val="30"/>
              </w:rPr>
            </w:pPr>
            <w:r>
              <w:rPr>
                <w:rFonts w:hint="eastAsia"/>
                <w:color w:val="auto"/>
                <w:sz w:val="30"/>
                <w:szCs w:val="30"/>
              </w:rPr>
              <w:t>项目编号：</w:t>
            </w:r>
          </w:p>
        </w:tc>
        <w:tc>
          <w:tcPr>
            <w:tcW w:w="5836" w:type="dxa"/>
            <w:vAlign w:val="center"/>
          </w:tcPr>
          <w:p w14:paraId="0BD4AF02">
            <w:pPr>
              <w:rPr>
                <w:rFonts w:hint="eastAsia" w:ascii="宋体" w:eastAsia="宋体" w:cs="宋体"/>
                <w:color w:val="auto"/>
                <w:sz w:val="30"/>
                <w:szCs w:val="30"/>
                <w:lang w:eastAsia="zh-CN"/>
              </w:rPr>
            </w:pPr>
            <w:r>
              <w:rPr>
                <w:rFonts w:hint="eastAsia"/>
                <w:color w:val="auto"/>
                <w:sz w:val="30"/>
                <w:szCs w:val="30"/>
                <w:lang w:eastAsia="zh-CN"/>
              </w:rPr>
              <w:t>3324-DH2532F3xxx（</w:t>
            </w:r>
            <w:r>
              <w:rPr>
                <w:rFonts w:hint="eastAsia"/>
                <w:color w:val="auto"/>
                <w:sz w:val="30"/>
                <w:szCs w:val="30"/>
                <w:highlight w:val="yellow"/>
                <w:lang w:val="en-US" w:eastAsia="zh-CN"/>
              </w:rPr>
              <w:t>待系统生成编号</w:t>
            </w:r>
            <w:r>
              <w:rPr>
                <w:rFonts w:hint="eastAsia"/>
                <w:color w:val="auto"/>
                <w:sz w:val="30"/>
                <w:szCs w:val="30"/>
                <w:lang w:eastAsia="zh-CN"/>
              </w:rPr>
              <w:t>）</w:t>
            </w:r>
          </w:p>
        </w:tc>
      </w:tr>
      <w:tr w14:paraId="131F5A1A">
        <w:tblPrEx>
          <w:tblCellMar>
            <w:top w:w="45" w:type="dxa"/>
            <w:left w:w="45" w:type="dxa"/>
            <w:bottom w:w="45" w:type="dxa"/>
            <w:right w:w="45" w:type="dxa"/>
          </w:tblCellMar>
        </w:tblPrEx>
        <w:trPr>
          <w:trHeight w:val="737" w:hRule="atLeast"/>
          <w:tblCellSpacing w:w="0" w:type="dxa"/>
          <w:jc w:val="center"/>
        </w:trPr>
        <w:tc>
          <w:tcPr>
            <w:tcW w:w="2102" w:type="dxa"/>
            <w:vAlign w:val="center"/>
          </w:tcPr>
          <w:p w14:paraId="17D61FAD">
            <w:pPr>
              <w:jc w:val="right"/>
              <w:rPr>
                <w:rFonts w:ascii="宋体" w:cs="宋体"/>
                <w:color w:val="auto"/>
                <w:sz w:val="30"/>
                <w:szCs w:val="30"/>
              </w:rPr>
            </w:pPr>
            <w:r>
              <w:rPr>
                <w:rFonts w:hint="eastAsia"/>
                <w:color w:val="auto"/>
                <w:sz w:val="30"/>
                <w:szCs w:val="30"/>
              </w:rPr>
              <w:t>项目名称：</w:t>
            </w:r>
          </w:p>
        </w:tc>
        <w:tc>
          <w:tcPr>
            <w:tcW w:w="5836" w:type="dxa"/>
            <w:vAlign w:val="center"/>
          </w:tcPr>
          <w:p w14:paraId="35A84454">
            <w:pPr>
              <w:rPr>
                <w:rFonts w:hint="eastAsia" w:ascii="宋体" w:eastAsia="宋体" w:cs="宋体"/>
                <w:color w:val="auto"/>
                <w:sz w:val="30"/>
                <w:szCs w:val="30"/>
                <w:lang w:eastAsia="zh-CN"/>
              </w:rPr>
            </w:pPr>
            <w:r>
              <w:rPr>
                <w:rFonts w:hint="eastAsia" w:ascii="宋体"/>
                <w:color w:val="auto"/>
                <w:sz w:val="30"/>
                <w:szCs w:val="30"/>
                <w:lang w:eastAsia="zh-CN"/>
              </w:rPr>
              <w:t>深圳市公安局龙华分局民治等5个派出所食堂物资配送</w:t>
            </w:r>
          </w:p>
        </w:tc>
      </w:tr>
      <w:tr w14:paraId="5E875676">
        <w:tblPrEx>
          <w:tblCellMar>
            <w:top w:w="45" w:type="dxa"/>
            <w:left w:w="45" w:type="dxa"/>
            <w:bottom w:w="45" w:type="dxa"/>
            <w:right w:w="45" w:type="dxa"/>
          </w:tblCellMar>
        </w:tblPrEx>
        <w:trPr>
          <w:trHeight w:val="737" w:hRule="atLeast"/>
          <w:tblCellSpacing w:w="0" w:type="dxa"/>
          <w:jc w:val="center"/>
        </w:trPr>
        <w:tc>
          <w:tcPr>
            <w:tcW w:w="2102" w:type="dxa"/>
            <w:vAlign w:val="center"/>
          </w:tcPr>
          <w:p w14:paraId="77FDA776">
            <w:pPr>
              <w:jc w:val="right"/>
              <w:rPr>
                <w:rFonts w:ascii="宋体" w:cs="宋体"/>
                <w:sz w:val="30"/>
                <w:szCs w:val="30"/>
              </w:rPr>
            </w:pPr>
            <w:r>
              <w:rPr>
                <w:rFonts w:hint="eastAsia"/>
                <w:sz w:val="30"/>
                <w:szCs w:val="30"/>
              </w:rPr>
              <w:t>包号：</w:t>
            </w:r>
          </w:p>
        </w:tc>
        <w:tc>
          <w:tcPr>
            <w:tcW w:w="5836" w:type="dxa"/>
            <w:vAlign w:val="center"/>
          </w:tcPr>
          <w:p w14:paraId="64C54DB5">
            <w:pPr>
              <w:rPr>
                <w:rFonts w:hint="eastAsia" w:ascii="宋体" w:eastAsia="宋体" w:cs="宋体"/>
                <w:sz w:val="30"/>
                <w:szCs w:val="30"/>
                <w:lang w:eastAsia="zh-CN"/>
              </w:rPr>
            </w:pPr>
            <w:r>
              <w:rPr>
                <w:rFonts w:hint="eastAsia" w:ascii="宋体" w:cs="宋体"/>
                <w:sz w:val="30"/>
                <w:szCs w:val="30"/>
                <w:lang w:val="en-US" w:eastAsia="zh-CN"/>
              </w:rPr>
              <w:t>A</w:t>
            </w:r>
          </w:p>
        </w:tc>
      </w:tr>
      <w:tr w14:paraId="4719EB75">
        <w:tblPrEx>
          <w:tblCellMar>
            <w:top w:w="45" w:type="dxa"/>
            <w:left w:w="45" w:type="dxa"/>
            <w:bottom w:w="45" w:type="dxa"/>
            <w:right w:w="45" w:type="dxa"/>
          </w:tblCellMar>
        </w:tblPrEx>
        <w:trPr>
          <w:trHeight w:val="737" w:hRule="atLeast"/>
          <w:tblCellSpacing w:w="0" w:type="dxa"/>
          <w:jc w:val="center"/>
        </w:trPr>
        <w:tc>
          <w:tcPr>
            <w:tcW w:w="2102" w:type="dxa"/>
            <w:vAlign w:val="center"/>
          </w:tcPr>
          <w:p w14:paraId="75FC7F35">
            <w:pPr>
              <w:jc w:val="right"/>
              <w:rPr>
                <w:rFonts w:ascii="宋体" w:cs="宋体"/>
                <w:sz w:val="30"/>
                <w:szCs w:val="30"/>
              </w:rPr>
            </w:pPr>
            <w:r>
              <w:rPr>
                <w:rFonts w:hint="eastAsia"/>
                <w:sz w:val="30"/>
                <w:szCs w:val="30"/>
              </w:rPr>
              <w:t>项目类型：</w:t>
            </w:r>
          </w:p>
        </w:tc>
        <w:tc>
          <w:tcPr>
            <w:tcW w:w="5836" w:type="dxa"/>
            <w:vAlign w:val="center"/>
          </w:tcPr>
          <w:p w14:paraId="70858308">
            <w:pPr>
              <w:rPr>
                <w:rFonts w:ascii="宋体" w:cs="宋体"/>
                <w:sz w:val="30"/>
                <w:szCs w:val="30"/>
              </w:rPr>
            </w:pPr>
            <w:r>
              <w:rPr>
                <w:rFonts w:hint="eastAsia"/>
                <w:sz w:val="30"/>
                <w:szCs w:val="30"/>
              </w:rPr>
              <w:t>服务类</w:t>
            </w:r>
          </w:p>
        </w:tc>
      </w:tr>
      <w:tr w14:paraId="48377702">
        <w:tblPrEx>
          <w:tblCellMar>
            <w:top w:w="45" w:type="dxa"/>
            <w:left w:w="45" w:type="dxa"/>
            <w:bottom w:w="45" w:type="dxa"/>
            <w:right w:w="45" w:type="dxa"/>
          </w:tblCellMar>
        </w:tblPrEx>
        <w:trPr>
          <w:trHeight w:val="737" w:hRule="atLeast"/>
          <w:tblCellSpacing w:w="0" w:type="dxa"/>
          <w:jc w:val="center"/>
        </w:trPr>
        <w:tc>
          <w:tcPr>
            <w:tcW w:w="2102" w:type="dxa"/>
            <w:vAlign w:val="center"/>
          </w:tcPr>
          <w:p w14:paraId="71927C1A">
            <w:pPr>
              <w:jc w:val="right"/>
              <w:rPr>
                <w:rFonts w:ascii="宋体" w:cs="宋体"/>
                <w:sz w:val="30"/>
                <w:szCs w:val="30"/>
              </w:rPr>
            </w:pPr>
            <w:r>
              <w:rPr>
                <w:rFonts w:hint="eastAsia"/>
                <w:sz w:val="30"/>
                <w:szCs w:val="30"/>
              </w:rPr>
              <w:t>采购方式：</w:t>
            </w:r>
          </w:p>
        </w:tc>
        <w:tc>
          <w:tcPr>
            <w:tcW w:w="5836" w:type="dxa"/>
            <w:vAlign w:val="center"/>
          </w:tcPr>
          <w:p w14:paraId="031C72F6">
            <w:pPr>
              <w:rPr>
                <w:rFonts w:ascii="宋体" w:cs="宋体"/>
                <w:sz w:val="30"/>
                <w:szCs w:val="30"/>
              </w:rPr>
            </w:pPr>
            <w:r>
              <w:rPr>
                <w:rFonts w:hint="eastAsia"/>
                <w:sz w:val="30"/>
                <w:szCs w:val="30"/>
              </w:rPr>
              <w:t>公开招标</w:t>
            </w:r>
          </w:p>
        </w:tc>
      </w:tr>
      <w:tr w14:paraId="0B30BE00">
        <w:tblPrEx>
          <w:tblCellMar>
            <w:top w:w="45" w:type="dxa"/>
            <w:left w:w="45" w:type="dxa"/>
            <w:bottom w:w="45" w:type="dxa"/>
            <w:right w:w="45" w:type="dxa"/>
          </w:tblCellMar>
        </w:tblPrEx>
        <w:trPr>
          <w:trHeight w:val="737" w:hRule="atLeast"/>
          <w:tblCellSpacing w:w="0" w:type="dxa"/>
          <w:jc w:val="center"/>
        </w:trPr>
        <w:tc>
          <w:tcPr>
            <w:tcW w:w="2102" w:type="dxa"/>
            <w:vAlign w:val="center"/>
          </w:tcPr>
          <w:p w14:paraId="180F81B1">
            <w:pPr>
              <w:jc w:val="right"/>
              <w:rPr>
                <w:rFonts w:ascii="宋体" w:cs="宋体"/>
                <w:sz w:val="30"/>
                <w:szCs w:val="30"/>
              </w:rPr>
            </w:pPr>
            <w:r>
              <w:rPr>
                <w:rFonts w:hint="eastAsia"/>
                <w:sz w:val="30"/>
                <w:szCs w:val="30"/>
              </w:rPr>
              <w:t>货币类型：</w:t>
            </w:r>
          </w:p>
        </w:tc>
        <w:tc>
          <w:tcPr>
            <w:tcW w:w="5836" w:type="dxa"/>
            <w:vAlign w:val="center"/>
          </w:tcPr>
          <w:p w14:paraId="51C16077">
            <w:pPr>
              <w:rPr>
                <w:rFonts w:ascii="宋体" w:cs="宋体"/>
                <w:sz w:val="30"/>
                <w:szCs w:val="30"/>
              </w:rPr>
            </w:pPr>
            <w:r>
              <w:rPr>
                <w:rFonts w:hint="eastAsia"/>
                <w:sz w:val="30"/>
                <w:szCs w:val="30"/>
              </w:rPr>
              <w:t>人民币</w:t>
            </w:r>
          </w:p>
        </w:tc>
      </w:tr>
      <w:tr w14:paraId="6BE2019B">
        <w:tblPrEx>
          <w:tblCellMar>
            <w:top w:w="45" w:type="dxa"/>
            <w:left w:w="45" w:type="dxa"/>
            <w:bottom w:w="45" w:type="dxa"/>
            <w:right w:w="45" w:type="dxa"/>
          </w:tblCellMar>
        </w:tblPrEx>
        <w:trPr>
          <w:trHeight w:val="737" w:hRule="atLeast"/>
          <w:tblCellSpacing w:w="0" w:type="dxa"/>
          <w:jc w:val="center"/>
        </w:trPr>
        <w:tc>
          <w:tcPr>
            <w:tcW w:w="2102" w:type="dxa"/>
            <w:vAlign w:val="center"/>
          </w:tcPr>
          <w:p w14:paraId="263B63E2">
            <w:pPr>
              <w:jc w:val="right"/>
              <w:rPr>
                <w:rFonts w:ascii="宋体" w:cs="宋体"/>
                <w:sz w:val="30"/>
                <w:szCs w:val="30"/>
              </w:rPr>
            </w:pPr>
            <w:r>
              <w:rPr>
                <w:rFonts w:hint="eastAsia"/>
                <w:sz w:val="30"/>
                <w:szCs w:val="30"/>
              </w:rPr>
              <w:t>评标方法：</w:t>
            </w:r>
          </w:p>
        </w:tc>
        <w:tc>
          <w:tcPr>
            <w:tcW w:w="5836" w:type="dxa"/>
            <w:vAlign w:val="center"/>
          </w:tcPr>
          <w:p w14:paraId="40511FD9">
            <w:pPr>
              <w:rPr>
                <w:rFonts w:ascii="宋体" w:cs="宋体"/>
                <w:sz w:val="30"/>
                <w:szCs w:val="30"/>
              </w:rPr>
            </w:pPr>
            <w:r>
              <w:rPr>
                <w:rFonts w:hint="eastAsia"/>
                <w:sz w:val="30"/>
                <w:szCs w:val="30"/>
              </w:rPr>
              <w:t>综合评分法（新价格分算法）</w:t>
            </w:r>
          </w:p>
        </w:tc>
      </w:tr>
    </w:tbl>
    <w:p w14:paraId="1E93B7BF">
      <w:pPr>
        <w:rPr>
          <w:rFonts w:ascii="黑体" w:hAnsi="黑体" w:eastAsia="黑体"/>
          <w:sz w:val="40"/>
          <w:szCs w:val="40"/>
        </w:rPr>
      </w:pPr>
      <w:r>
        <w:rPr>
          <w:rFonts w:hint="eastAsia" w:ascii="黑体" w:hAnsi="黑体" w:eastAsia="黑体"/>
          <w:sz w:val="40"/>
          <w:szCs w:val="40"/>
        </w:rPr>
        <w:br w:type="page"/>
      </w:r>
    </w:p>
    <w:p w14:paraId="70AF5151">
      <w:pPr>
        <w:pStyle w:val="38"/>
        <w:jc w:val="center"/>
        <w:outlineLvl w:val="1"/>
        <w:rPr>
          <w:rFonts w:ascii="黑体" w:hAnsi="黑体" w:eastAsia="黑体"/>
          <w:sz w:val="40"/>
          <w:szCs w:val="40"/>
        </w:rPr>
      </w:pPr>
      <w:r>
        <w:rPr>
          <w:rFonts w:hint="eastAsia" w:ascii="黑体" w:hAnsi="黑体" w:eastAsia="黑体"/>
          <w:sz w:val="40"/>
          <w:szCs w:val="40"/>
        </w:rPr>
        <w:t>资格性审查表</w:t>
      </w:r>
    </w:p>
    <w:tbl>
      <w:tblPr>
        <w:tblStyle w:val="44"/>
        <w:tblW w:w="4999"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20" w:type="dxa"/>
          <w:left w:w="108" w:type="dxa"/>
          <w:bottom w:w="20" w:type="dxa"/>
          <w:right w:w="108" w:type="dxa"/>
        </w:tblCellMar>
      </w:tblPr>
      <w:tblGrid>
        <w:gridCol w:w="812"/>
        <w:gridCol w:w="8474"/>
      </w:tblGrid>
      <w:tr w14:paraId="3C085F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7" w:type="pct"/>
            <w:tcBorders>
              <w:top w:val="single" w:color="000000" w:sz="8" w:space="0"/>
              <w:left w:val="single" w:color="000000" w:sz="8" w:space="0"/>
              <w:bottom w:val="single" w:color="000000" w:sz="8" w:space="0"/>
              <w:right w:val="single" w:color="000000" w:sz="8" w:space="0"/>
            </w:tcBorders>
            <w:shd w:val="clear" w:color="auto" w:fill="E6EFFA"/>
            <w:vAlign w:val="center"/>
          </w:tcPr>
          <w:p w14:paraId="42F95908">
            <w:pPr>
              <w:jc w:val="center"/>
              <w:rPr>
                <w:rFonts w:ascii="宋体" w:cs="宋体"/>
                <w:sz w:val="28"/>
                <w:szCs w:val="28"/>
              </w:rPr>
            </w:pPr>
            <w:r>
              <w:rPr>
                <w:rFonts w:hint="eastAsia"/>
                <w:sz w:val="28"/>
                <w:szCs w:val="28"/>
              </w:rPr>
              <w:t>序号</w:t>
            </w:r>
          </w:p>
        </w:tc>
        <w:tc>
          <w:tcPr>
            <w:tcW w:w="4562" w:type="pct"/>
            <w:tcBorders>
              <w:top w:val="single" w:color="000000" w:sz="8" w:space="0"/>
              <w:left w:val="single" w:color="000000" w:sz="8" w:space="0"/>
              <w:bottom w:val="single" w:color="000000" w:sz="8" w:space="0"/>
              <w:right w:val="single" w:color="000000" w:sz="8" w:space="0"/>
            </w:tcBorders>
            <w:shd w:val="clear" w:color="auto" w:fill="E6EFFA"/>
            <w:vAlign w:val="center"/>
          </w:tcPr>
          <w:p w14:paraId="7DB6DE73">
            <w:pPr>
              <w:jc w:val="center"/>
              <w:rPr>
                <w:rFonts w:ascii="宋体" w:cs="宋体"/>
                <w:sz w:val="28"/>
                <w:szCs w:val="28"/>
              </w:rPr>
            </w:pPr>
            <w:r>
              <w:rPr>
                <w:rFonts w:hint="eastAsia"/>
                <w:sz w:val="28"/>
                <w:szCs w:val="28"/>
              </w:rPr>
              <w:t>内容</w:t>
            </w:r>
          </w:p>
        </w:tc>
      </w:tr>
      <w:tr w14:paraId="2F4F9F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7" w:type="pct"/>
            <w:tcBorders>
              <w:top w:val="single" w:color="000000" w:sz="8" w:space="0"/>
              <w:left w:val="single" w:color="000000" w:sz="8" w:space="0"/>
              <w:bottom w:val="single" w:color="000000" w:sz="8" w:space="0"/>
              <w:right w:val="single" w:color="000000" w:sz="8" w:space="0"/>
            </w:tcBorders>
          </w:tcPr>
          <w:p w14:paraId="42475713">
            <w:pPr>
              <w:jc w:val="center"/>
              <w:rPr>
                <w:rFonts w:ascii="宋体" w:cs="宋体"/>
                <w:szCs w:val="21"/>
              </w:rPr>
            </w:pPr>
            <w:r>
              <w:rPr>
                <w:szCs w:val="21"/>
              </w:rPr>
              <w:t>1</w:t>
            </w:r>
          </w:p>
        </w:tc>
        <w:tc>
          <w:tcPr>
            <w:tcW w:w="4562" w:type="pct"/>
            <w:tcBorders>
              <w:top w:val="single" w:color="000000" w:sz="8" w:space="0"/>
              <w:left w:val="single" w:color="000000" w:sz="8" w:space="0"/>
              <w:bottom w:val="single" w:color="000000" w:sz="8" w:space="0"/>
              <w:right w:val="single" w:color="000000" w:sz="8" w:space="0"/>
            </w:tcBorders>
          </w:tcPr>
          <w:p w14:paraId="0719E1EF">
            <w:pPr>
              <w:rPr>
                <w:rFonts w:ascii="宋体" w:cs="宋体"/>
                <w:szCs w:val="21"/>
              </w:rPr>
            </w:pPr>
            <w:r>
              <w:rPr>
                <w:rFonts w:hint="eastAsia"/>
                <w:szCs w:val="21"/>
              </w:rPr>
              <w:t>投标人不具备招标文件所列的资格要求，或未提交相应的资格证明资料（详见招标公告投标人资格要求）。</w:t>
            </w:r>
          </w:p>
        </w:tc>
      </w:tr>
    </w:tbl>
    <w:p w14:paraId="008252B9">
      <w:pPr>
        <w:pStyle w:val="38"/>
        <w:spacing w:before="280" w:beforeAutospacing="0"/>
        <w:jc w:val="center"/>
        <w:outlineLvl w:val="1"/>
        <w:rPr>
          <w:rFonts w:ascii="黑体" w:hAnsi="黑体" w:eastAsia="黑体"/>
          <w:sz w:val="40"/>
          <w:szCs w:val="40"/>
        </w:rPr>
      </w:pPr>
      <w:r>
        <w:rPr>
          <w:rFonts w:hint="eastAsia" w:ascii="黑体" w:hAnsi="黑体" w:eastAsia="黑体"/>
          <w:sz w:val="40"/>
          <w:szCs w:val="40"/>
        </w:rPr>
        <w:t>符合性审查表</w:t>
      </w:r>
    </w:p>
    <w:tbl>
      <w:tblPr>
        <w:tblStyle w:val="44"/>
        <w:tblW w:w="499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20" w:type="dxa"/>
          <w:left w:w="108" w:type="dxa"/>
          <w:bottom w:w="20" w:type="dxa"/>
          <w:right w:w="108" w:type="dxa"/>
        </w:tblCellMar>
      </w:tblPr>
      <w:tblGrid>
        <w:gridCol w:w="807"/>
        <w:gridCol w:w="8474"/>
      </w:tblGrid>
      <w:tr w14:paraId="4BD806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shd w:val="clear" w:color="auto" w:fill="E6EFFA"/>
            <w:vAlign w:val="center"/>
          </w:tcPr>
          <w:p w14:paraId="2DC8F936">
            <w:pPr>
              <w:jc w:val="center"/>
              <w:rPr>
                <w:rFonts w:ascii="宋体" w:cs="宋体"/>
                <w:sz w:val="28"/>
                <w:szCs w:val="28"/>
              </w:rPr>
            </w:pPr>
            <w:r>
              <w:rPr>
                <w:rFonts w:hint="eastAsia"/>
                <w:sz w:val="28"/>
                <w:szCs w:val="28"/>
              </w:rPr>
              <w:t>序号</w:t>
            </w:r>
          </w:p>
        </w:tc>
        <w:tc>
          <w:tcPr>
            <w:tcW w:w="4564" w:type="pct"/>
            <w:tcBorders>
              <w:top w:val="single" w:color="000000" w:sz="8" w:space="0"/>
              <w:left w:val="single" w:color="000000" w:sz="8" w:space="0"/>
              <w:bottom w:val="single" w:color="000000" w:sz="8" w:space="0"/>
              <w:right w:val="single" w:color="000000" w:sz="8" w:space="0"/>
            </w:tcBorders>
            <w:shd w:val="clear" w:color="auto" w:fill="E6EFFA"/>
            <w:vAlign w:val="center"/>
          </w:tcPr>
          <w:p w14:paraId="1CFC4847">
            <w:pPr>
              <w:jc w:val="center"/>
              <w:rPr>
                <w:rFonts w:ascii="宋体" w:cs="宋体"/>
                <w:sz w:val="28"/>
                <w:szCs w:val="28"/>
              </w:rPr>
            </w:pPr>
            <w:r>
              <w:rPr>
                <w:rFonts w:hint="eastAsia"/>
                <w:sz w:val="28"/>
                <w:szCs w:val="28"/>
              </w:rPr>
              <w:t>内容</w:t>
            </w:r>
          </w:p>
        </w:tc>
      </w:tr>
      <w:tr w14:paraId="531139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756D9281">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6DED6B4B">
            <w:pPr>
              <w:rPr>
                <w:rFonts w:ascii="宋体" w:cs="宋体"/>
                <w:szCs w:val="21"/>
              </w:rPr>
            </w:pPr>
            <w:r>
              <w:rPr>
                <w:rFonts w:hint="eastAsia"/>
                <w:szCs w:val="21"/>
              </w:rPr>
              <w:t>将一个包或一个标段的内容拆开投标；</w:t>
            </w:r>
          </w:p>
        </w:tc>
      </w:tr>
      <w:tr w14:paraId="6F445B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49D9B95B">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1DC4B99E">
            <w:pPr>
              <w:rPr>
                <w:rFonts w:ascii="宋体" w:cs="宋体"/>
                <w:szCs w:val="21"/>
              </w:rPr>
            </w:pPr>
            <w:r>
              <w:rPr>
                <w:rFonts w:hint="eastAsia"/>
                <w:szCs w:val="21"/>
              </w:rPr>
              <w:t>对同一项目投标时，提供两套以上的投标方案（招标文件另有规定的除外）；</w:t>
            </w:r>
          </w:p>
        </w:tc>
      </w:tr>
      <w:tr w14:paraId="46886F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7FF43181">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0829F226">
            <w:pPr>
              <w:rPr>
                <w:rFonts w:ascii="宋体" w:cs="宋体"/>
                <w:szCs w:val="21"/>
              </w:rPr>
            </w:pPr>
            <w:r>
              <w:rPr>
                <w:rFonts w:hint="eastAsia"/>
                <w:szCs w:val="21"/>
              </w:rPr>
              <w:t>分项报价或投标总价高于相应财政预算金额（或设定的财政预算金额下的最高限价）；</w:t>
            </w:r>
          </w:p>
        </w:tc>
      </w:tr>
      <w:tr w14:paraId="3DC21AA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12A01077">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5B9413CD">
            <w:pPr>
              <w:rPr>
                <w:szCs w:val="21"/>
              </w:rPr>
            </w:pPr>
            <w:r>
              <w:rPr>
                <w:rFonts w:hint="eastAsia"/>
                <w:szCs w:val="21"/>
              </w:rPr>
              <w:t>评审委员会认为投标人的报价明显低于其他通过符合性审查投标人的报价，有可能影响产品质量或者不能诚信履约的，应当要求其在评审现场合理的时间内提供书面说明，必要时提交相关证明材料；在此情况下，投标人仍不能证明其报价合理性的（评审委员会成员对投标人提供的说明材料判断不一致的，按照“少数服从多数”的原则确定评审委员会的意见）；</w:t>
            </w:r>
          </w:p>
        </w:tc>
      </w:tr>
      <w:tr w14:paraId="33F81A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67D07EE4">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27FC9FCD">
            <w:pPr>
              <w:rPr>
                <w:szCs w:val="21"/>
              </w:rPr>
            </w:pPr>
            <w:r>
              <w:rPr>
                <w:rFonts w:hint="eastAsia"/>
                <w:szCs w:val="21"/>
              </w:rPr>
              <w:t>所投货物、服务在技术、商务等方面没有实质性满足招标文件要求的（是否实质性满足招标文件要求，由评审委员会根据《实质性条款响应情况表》做出评判）；</w:t>
            </w:r>
          </w:p>
        </w:tc>
      </w:tr>
      <w:tr w14:paraId="6269EF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1BF04D54">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3E3C4F50">
            <w:pPr>
              <w:rPr>
                <w:szCs w:val="21"/>
              </w:rPr>
            </w:pPr>
            <w:r>
              <w:rPr>
                <w:rFonts w:hint="eastAsia"/>
                <w:szCs w:val="21"/>
              </w:rPr>
              <w:t>未按招标文件所提供的样式填写《投标函》；未按招标文件所提供的《政府采购投标及履约承诺函》进行承诺；未按招标文件对投标文件组成的要求提供投标文件；</w:t>
            </w:r>
          </w:p>
        </w:tc>
      </w:tr>
      <w:tr w14:paraId="5376B7C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6A8C9BDC">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1C88A15D">
            <w:pPr>
              <w:rPr>
                <w:szCs w:val="21"/>
              </w:rPr>
            </w:pPr>
            <w:r>
              <w:rPr>
                <w:rFonts w:hint="eastAsia"/>
                <w:szCs w:val="21"/>
              </w:rPr>
              <w:t>投标报价有缺漏项目,或者对招标文件规定的项目需求内容或者需求数量进行修改，评审委员会判定投标响应不满足采购需求；</w:t>
            </w:r>
          </w:p>
        </w:tc>
      </w:tr>
      <w:tr w14:paraId="45D15F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18DFC582">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5CF3E973">
            <w:pPr>
              <w:rPr>
                <w:szCs w:val="21"/>
              </w:rPr>
            </w:pPr>
            <w:r>
              <w:rPr>
                <w:rFonts w:hint="eastAsia"/>
                <w:szCs w:val="21"/>
              </w:rPr>
              <w:t>投标文件存在列放位置错误，导致属于信息公开情形的没有被公开；</w:t>
            </w:r>
          </w:p>
        </w:tc>
      </w:tr>
      <w:tr w14:paraId="34E6FB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00565029">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5C69FFB0">
            <w:pPr>
              <w:rPr>
                <w:szCs w:val="21"/>
              </w:rPr>
            </w:pPr>
            <w:r>
              <w:rPr>
                <w:rFonts w:hint="eastAsia"/>
                <w:szCs w:val="21"/>
              </w:rPr>
              <w:t>投标文件电子文档带病毒；</w:t>
            </w:r>
          </w:p>
        </w:tc>
      </w:tr>
      <w:tr w14:paraId="24ED52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034C8011">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027DC512">
            <w:pPr>
              <w:rPr>
                <w:szCs w:val="21"/>
              </w:rPr>
            </w:pPr>
            <w:r>
              <w:rPr>
                <w:rFonts w:hint="eastAsia"/>
                <w:szCs w:val="21"/>
              </w:rPr>
              <w:t>投标文件用不属于本公司的电子密钥或电子营业执照进行加密的；</w:t>
            </w:r>
          </w:p>
        </w:tc>
      </w:tr>
      <w:tr w14:paraId="23F990C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7C872AB5">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46FA7840">
            <w:pPr>
              <w:rPr>
                <w:szCs w:val="21"/>
              </w:rPr>
            </w:pPr>
            <w:r>
              <w:rPr>
                <w:rFonts w:hint="eastAsia"/>
                <w:szCs w:val="21"/>
              </w:rPr>
              <w:t>不同投标供应商投标文件“文件制作机器码”一致；</w:t>
            </w:r>
          </w:p>
        </w:tc>
      </w:tr>
      <w:tr w14:paraId="23A634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18149173">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3DE8CE2B">
            <w:pPr>
              <w:rPr>
                <w:rFonts w:hint="eastAsia" w:ascii="Times New Roman" w:hAnsi="Times New Roman" w:cs="Times New Roman"/>
                <w:szCs w:val="21"/>
              </w:rPr>
            </w:pPr>
            <w:r>
              <w:rPr>
                <w:rFonts w:hint="eastAsia" w:ascii="Times New Roman" w:hAnsi="Times New Roman" w:cs="Times New Roman"/>
                <w:szCs w:val="21"/>
              </w:rPr>
              <w:t>不同投标供应商投标文件“文件创建标识码”一致；</w:t>
            </w:r>
          </w:p>
        </w:tc>
      </w:tr>
      <w:tr w14:paraId="47C7A4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435" w:type="pct"/>
            <w:tcBorders>
              <w:top w:val="single" w:color="000000" w:sz="8" w:space="0"/>
              <w:left w:val="single" w:color="000000" w:sz="8" w:space="0"/>
              <w:bottom w:val="single" w:color="000000" w:sz="8" w:space="0"/>
              <w:right w:val="single" w:color="000000" w:sz="8" w:space="0"/>
            </w:tcBorders>
          </w:tcPr>
          <w:p w14:paraId="2E634258">
            <w:pPr>
              <w:numPr>
                <w:ilvl w:val="0"/>
                <w:numId w:val="7"/>
              </w:numPr>
              <w:jc w:val="center"/>
              <w:rPr>
                <w:rFonts w:ascii="宋体" w:cs="宋体"/>
                <w:szCs w:val="21"/>
              </w:rPr>
            </w:pPr>
          </w:p>
        </w:tc>
        <w:tc>
          <w:tcPr>
            <w:tcW w:w="4564" w:type="pct"/>
            <w:tcBorders>
              <w:top w:val="single" w:color="000000" w:sz="8" w:space="0"/>
              <w:left w:val="single" w:color="000000" w:sz="8" w:space="0"/>
              <w:bottom w:val="single" w:color="000000" w:sz="8" w:space="0"/>
              <w:right w:val="single" w:color="000000" w:sz="8" w:space="0"/>
            </w:tcBorders>
          </w:tcPr>
          <w:p w14:paraId="1E04AC33">
            <w:pPr>
              <w:rPr>
                <w:rFonts w:hint="eastAsia" w:ascii="Times New Roman" w:hAnsi="Times New Roman" w:eastAsia="宋体" w:cs="Times New Roman"/>
                <w:szCs w:val="21"/>
                <w:lang w:eastAsia="zh-CN"/>
              </w:rPr>
            </w:pPr>
            <w:r>
              <w:rPr>
                <w:rFonts w:hint="eastAsia" w:ascii="Times New Roman" w:hAnsi="Times New Roman" w:cs="Times New Roman"/>
                <w:szCs w:val="21"/>
              </w:rPr>
              <w:t>法律、法规、规章、规范性文件规定的其他情形</w:t>
            </w:r>
            <w:r>
              <w:rPr>
                <w:rFonts w:hint="eastAsia" w:ascii="Times New Roman" w:hAnsi="Times New Roman" w:cs="Times New Roman"/>
                <w:szCs w:val="21"/>
                <w:lang w:eastAsia="zh-CN"/>
              </w:rPr>
              <w:t>；</w:t>
            </w:r>
          </w:p>
        </w:tc>
      </w:tr>
    </w:tbl>
    <w:p w14:paraId="3BECD321">
      <w:pPr>
        <w:rPr>
          <w:rFonts w:ascii="黑体" w:hAnsi="黑体" w:eastAsia="黑体"/>
          <w:sz w:val="40"/>
          <w:szCs w:val="40"/>
        </w:rPr>
      </w:pPr>
      <w:r>
        <w:rPr>
          <w:rFonts w:hint="eastAsia" w:ascii="黑体" w:hAnsi="黑体" w:eastAsia="黑体"/>
          <w:sz w:val="40"/>
          <w:szCs w:val="40"/>
        </w:rPr>
        <w:br w:type="page"/>
      </w:r>
    </w:p>
    <w:p w14:paraId="62FF39F5">
      <w:pPr>
        <w:pStyle w:val="38"/>
        <w:jc w:val="center"/>
        <w:outlineLvl w:val="1"/>
        <w:rPr>
          <w:rFonts w:ascii="黑体" w:hAnsi="黑体" w:eastAsia="黑体"/>
          <w:sz w:val="40"/>
          <w:szCs w:val="40"/>
        </w:rPr>
      </w:pPr>
      <w:r>
        <w:rPr>
          <w:rFonts w:hint="eastAsia" w:ascii="黑体" w:hAnsi="黑体" w:eastAsia="黑体"/>
          <w:sz w:val="40"/>
          <w:szCs w:val="40"/>
        </w:rPr>
        <w:t>评标信息</w:t>
      </w:r>
    </w:p>
    <w:p w14:paraId="0659B470">
      <w:pPr>
        <w:rPr>
          <w:vanish/>
        </w:rPr>
      </w:pPr>
    </w:p>
    <w:tbl>
      <w:tblPr>
        <w:tblStyle w:val="44"/>
        <w:tblW w:w="4999" w:type="pct"/>
        <w:jc w:val="center"/>
        <w:tblCellSpacing w:w="0" w:type="dxa"/>
        <w:tblLayout w:type="autofit"/>
        <w:tblCellMar>
          <w:top w:w="45" w:type="dxa"/>
          <w:left w:w="45" w:type="dxa"/>
          <w:bottom w:w="45" w:type="dxa"/>
          <w:right w:w="45" w:type="dxa"/>
        </w:tblCellMar>
      </w:tblPr>
      <w:tblGrid>
        <w:gridCol w:w="8916"/>
        <w:gridCol w:w="246"/>
      </w:tblGrid>
      <w:tr w14:paraId="0305F5DF">
        <w:tblPrEx>
          <w:tblCellMar>
            <w:top w:w="45" w:type="dxa"/>
            <w:left w:w="45" w:type="dxa"/>
            <w:bottom w:w="45" w:type="dxa"/>
            <w:right w:w="45" w:type="dxa"/>
          </w:tblCellMar>
        </w:tblPrEx>
        <w:trPr>
          <w:tblCellSpacing w:w="0" w:type="dxa"/>
          <w:jc w:val="center"/>
        </w:trPr>
        <w:tc>
          <w:tcPr>
            <w:tcW w:w="4866" w:type="pct"/>
            <w:tcBorders>
              <w:top w:val="nil"/>
              <w:left w:val="nil"/>
              <w:bottom w:val="nil"/>
              <w:right w:val="nil"/>
            </w:tcBorders>
            <w:vAlign w:val="center"/>
          </w:tcPr>
          <w:p w14:paraId="0E4FC63E">
            <w:pPr>
              <w:rPr>
                <w:rFonts w:ascii="宋体" w:cs="宋体"/>
                <w:b/>
                <w:bCs/>
                <w:sz w:val="24"/>
              </w:rPr>
            </w:pPr>
            <w:r>
              <w:rPr>
                <w:rFonts w:hint="eastAsia"/>
                <w:b/>
                <w:bCs/>
              </w:rPr>
              <w:t>评标方法：综合评分法（新价格分算法）</w:t>
            </w:r>
          </w:p>
        </w:tc>
        <w:tc>
          <w:tcPr>
            <w:tcW w:w="133" w:type="pct"/>
            <w:tcBorders>
              <w:top w:val="nil"/>
              <w:left w:val="nil"/>
              <w:bottom w:val="nil"/>
              <w:right w:val="nil"/>
            </w:tcBorders>
            <w:vAlign w:val="center"/>
          </w:tcPr>
          <w:p w14:paraId="05A64212">
            <w:pPr>
              <w:jc w:val="right"/>
              <w:rPr>
                <w:rFonts w:ascii="宋体" w:cs="宋体"/>
                <w:b/>
                <w:bCs/>
                <w:sz w:val="24"/>
              </w:rPr>
            </w:pPr>
          </w:p>
        </w:tc>
      </w:tr>
      <w:tr w14:paraId="3C6D9DF5">
        <w:tblPrEx>
          <w:tblCellMar>
            <w:top w:w="45" w:type="dxa"/>
            <w:left w:w="45" w:type="dxa"/>
            <w:bottom w:w="45" w:type="dxa"/>
            <w:right w:w="45" w:type="dxa"/>
          </w:tblCellMar>
        </w:tblPrEx>
        <w:trPr>
          <w:tblCellSpacing w:w="0" w:type="dxa"/>
          <w:jc w:val="center"/>
        </w:trPr>
        <w:tc>
          <w:tcPr>
            <w:tcW w:w="5000" w:type="pct"/>
            <w:gridSpan w:val="2"/>
            <w:tcBorders>
              <w:top w:val="nil"/>
              <w:left w:val="nil"/>
              <w:bottom w:val="nil"/>
              <w:right w:val="nil"/>
            </w:tcBorders>
            <w:vAlign w:val="center"/>
          </w:tcPr>
          <w:p w14:paraId="27EB63B6">
            <w:pPr>
              <w:pStyle w:val="38"/>
              <w:spacing w:beforeAutospacing="0" w:afterAutospacing="0" w:line="400" w:lineRule="exact"/>
              <w:ind w:firstLine="420"/>
              <w:rPr>
                <w:sz w:val="21"/>
                <w:szCs w:val="21"/>
              </w:rPr>
            </w:pPr>
            <w:r>
              <w:rPr>
                <w:rFonts w:hint="eastAsia"/>
                <w:sz w:val="21"/>
                <w:szCs w:val="21"/>
              </w:rPr>
              <w:t>综合评分法，是指投标文件满足招标文件全部实质性要求，且按照评审因素的量化指标评审得分最高的投标人为中标候选人的评标方法。</w:t>
            </w:r>
          </w:p>
          <w:p w14:paraId="2A675B62">
            <w:pPr>
              <w:pStyle w:val="38"/>
              <w:spacing w:beforeAutospacing="0" w:afterAutospacing="0" w:line="400" w:lineRule="exact"/>
              <w:ind w:firstLine="420"/>
              <w:rPr>
                <w:sz w:val="21"/>
                <w:szCs w:val="21"/>
              </w:rPr>
            </w:pPr>
            <w:r>
              <w:rPr>
                <w:rFonts w:hint="eastAsia"/>
                <w:sz w:val="21"/>
                <w:szCs w:val="21"/>
              </w:rPr>
              <w:t>价格分计算方法：</w:t>
            </w:r>
          </w:p>
          <w:p w14:paraId="0DA37F82">
            <w:pPr>
              <w:pStyle w:val="38"/>
              <w:spacing w:beforeAutospacing="0" w:afterAutospacing="0" w:line="400" w:lineRule="exact"/>
              <w:rPr>
                <w:sz w:val="21"/>
                <w:szCs w:val="21"/>
              </w:rPr>
            </w:pPr>
            <w:r>
              <w:rPr>
                <w:rFonts w:hint="eastAsia"/>
                <w:sz w:val="21"/>
                <w:szCs w:val="21"/>
              </w:rPr>
              <w:t>采用低价优先法计算，即满足招标文件要求且投标价格最低的投标报价为评标基准价，其价格分为满分。其他投标人的价格分统一按照下列公式计算：</w:t>
            </w:r>
          </w:p>
          <w:p w14:paraId="3139D5A2">
            <w:pPr>
              <w:pStyle w:val="38"/>
              <w:spacing w:beforeAutospacing="0" w:afterAutospacing="0" w:line="400" w:lineRule="exact"/>
              <w:rPr>
                <w:b/>
                <w:bCs/>
                <w:sz w:val="21"/>
                <w:szCs w:val="21"/>
              </w:rPr>
            </w:pPr>
            <w:r>
              <w:rPr>
                <w:rFonts w:hint="eastAsia"/>
                <w:sz w:val="21"/>
                <w:szCs w:val="21"/>
              </w:rPr>
              <w:t>投标报价得分</w:t>
            </w:r>
            <w:r>
              <w:rPr>
                <w:sz w:val="21"/>
                <w:szCs w:val="21"/>
              </w:rPr>
              <w:t>=(</w:t>
            </w:r>
            <w:r>
              <w:rPr>
                <w:rFonts w:hint="eastAsia"/>
                <w:sz w:val="21"/>
                <w:szCs w:val="21"/>
              </w:rPr>
              <w:t>评标基准价／投标报价</w:t>
            </w:r>
            <w:r>
              <w:rPr>
                <w:sz w:val="21"/>
                <w:szCs w:val="21"/>
              </w:rPr>
              <w:t xml:space="preserve">)×100 </w:t>
            </w:r>
          </w:p>
          <w:p w14:paraId="35F4066D">
            <w:pPr>
              <w:pStyle w:val="38"/>
              <w:spacing w:beforeAutospacing="0" w:afterAutospacing="0" w:line="400" w:lineRule="exact"/>
              <w:rPr>
                <w:sz w:val="21"/>
                <w:szCs w:val="21"/>
              </w:rPr>
            </w:pPr>
            <w:r>
              <w:rPr>
                <w:rFonts w:hint="eastAsia"/>
                <w:sz w:val="21"/>
                <w:szCs w:val="21"/>
              </w:rPr>
              <w:t>评标总得分＝</w:t>
            </w:r>
            <w:r>
              <w:rPr>
                <w:sz w:val="21"/>
                <w:szCs w:val="21"/>
              </w:rPr>
              <w:t>F1×A1</w:t>
            </w:r>
            <w:r>
              <w:rPr>
                <w:rFonts w:hint="eastAsia"/>
                <w:sz w:val="21"/>
                <w:szCs w:val="21"/>
              </w:rPr>
              <w:t>＋</w:t>
            </w:r>
            <w:r>
              <w:rPr>
                <w:sz w:val="21"/>
                <w:szCs w:val="21"/>
              </w:rPr>
              <w:t>F2×A2</w:t>
            </w:r>
            <w:r>
              <w:rPr>
                <w:rFonts w:hint="eastAsia"/>
                <w:sz w:val="21"/>
                <w:szCs w:val="21"/>
              </w:rPr>
              <w:t>＋</w:t>
            </w:r>
            <w:r>
              <w:rPr>
                <w:sz w:val="21"/>
                <w:szCs w:val="21"/>
              </w:rPr>
              <w:t>……</w:t>
            </w:r>
            <w:r>
              <w:rPr>
                <w:rFonts w:hint="eastAsia"/>
                <w:sz w:val="21"/>
                <w:szCs w:val="21"/>
              </w:rPr>
              <w:t>＋</w:t>
            </w:r>
            <w:r>
              <w:rPr>
                <w:sz w:val="21"/>
                <w:szCs w:val="21"/>
              </w:rPr>
              <w:t xml:space="preserve">Fn×An </w:t>
            </w:r>
          </w:p>
          <w:p w14:paraId="5EF95136">
            <w:pPr>
              <w:pStyle w:val="38"/>
              <w:spacing w:beforeAutospacing="0" w:afterAutospacing="0" w:line="400" w:lineRule="exact"/>
              <w:rPr>
                <w:sz w:val="21"/>
                <w:szCs w:val="21"/>
              </w:rPr>
            </w:pPr>
            <w:r>
              <w:rPr>
                <w:sz w:val="21"/>
                <w:szCs w:val="21"/>
              </w:rPr>
              <w:t>F1</w:t>
            </w:r>
            <w:r>
              <w:rPr>
                <w:rFonts w:hint="eastAsia"/>
                <w:sz w:val="21"/>
                <w:szCs w:val="21"/>
              </w:rPr>
              <w:t>、</w:t>
            </w:r>
            <w:r>
              <w:rPr>
                <w:sz w:val="21"/>
                <w:szCs w:val="21"/>
              </w:rPr>
              <w:t>F2……Fn</w:t>
            </w:r>
            <w:r>
              <w:rPr>
                <w:rFonts w:hint="eastAsia"/>
                <w:sz w:val="21"/>
                <w:szCs w:val="21"/>
              </w:rPr>
              <w:t>分别为各项评审因素的得分；</w:t>
            </w:r>
          </w:p>
          <w:p w14:paraId="34FB32CF">
            <w:pPr>
              <w:pStyle w:val="38"/>
              <w:spacing w:beforeAutospacing="0" w:afterAutospacing="0" w:line="400" w:lineRule="exact"/>
              <w:rPr>
                <w:sz w:val="21"/>
                <w:szCs w:val="21"/>
              </w:rPr>
            </w:pPr>
            <w:r>
              <w:rPr>
                <w:sz w:val="21"/>
                <w:szCs w:val="21"/>
              </w:rPr>
              <w:t>A1</w:t>
            </w:r>
            <w:r>
              <w:rPr>
                <w:rFonts w:hint="eastAsia"/>
                <w:sz w:val="21"/>
                <w:szCs w:val="21"/>
              </w:rPr>
              <w:t>、</w:t>
            </w:r>
            <w:r>
              <w:rPr>
                <w:sz w:val="21"/>
                <w:szCs w:val="21"/>
              </w:rPr>
              <w:t>A2</w:t>
            </w:r>
            <w:r>
              <w:rPr>
                <w:rFonts w:hint="eastAsia"/>
                <w:sz w:val="21"/>
                <w:szCs w:val="21"/>
              </w:rPr>
              <w:t>、</w:t>
            </w:r>
            <w:r>
              <w:rPr>
                <w:sz w:val="21"/>
                <w:szCs w:val="21"/>
              </w:rPr>
              <w:t xml:space="preserve">……An </w:t>
            </w:r>
            <w:r>
              <w:rPr>
                <w:rFonts w:hint="eastAsia"/>
                <w:sz w:val="21"/>
                <w:szCs w:val="21"/>
              </w:rPr>
              <w:t>分别为各项评审因素所占的权重</w:t>
            </w:r>
            <w:r>
              <w:rPr>
                <w:sz w:val="21"/>
                <w:szCs w:val="21"/>
              </w:rPr>
              <w:t>(A1</w:t>
            </w:r>
            <w:r>
              <w:rPr>
                <w:rFonts w:hint="eastAsia"/>
                <w:sz w:val="21"/>
                <w:szCs w:val="21"/>
              </w:rPr>
              <w:t>＋</w:t>
            </w:r>
            <w:r>
              <w:rPr>
                <w:sz w:val="21"/>
                <w:szCs w:val="21"/>
              </w:rPr>
              <w:t>A2</w:t>
            </w:r>
            <w:r>
              <w:rPr>
                <w:rFonts w:hint="eastAsia"/>
                <w:sz w:val="21"/>
                <w:szCs w:val="21"/>
              </w:rPr>
              <w:t>＋</w:t>
            </w:r>
            <w:r>
              <w:rPr>
                <w:sz w:val="21"/>
                <w:szCs w:val="21"/>
              </w:rPr>
              <w:t>……</w:t>
            </w:r>
            <w:r>
              <w:rPr>
                <w:rFonts w:hint="eastAsia"/>
                <w:sz w:val="21"/>
                <w:szCs w:val="21"/>
              </w:rPr>
              <w:t>＋</w:t>
            </w:r>
            <w:r>
              <w:rPr>
                <w:sz w:val="21"/>
                <w:szCs w:val="21"/>
              </w:rPr>
              <w:t>An</w:t>
            </w:r>
            <w:r>
              <w:rPr>
                <w:rFonts w:hint="eastAsia"/>
                <w:sz w:val="21"/>
                <w:szCs w:val="21"/>
              </w:rPr>
              <w:t>＝</w:t>
            </w:r>
            <w:r>
              <w:rPr>
                <w:sz w:val="21"/>
                <w:szCs w:val="21"/>
              </w:rPr>
              <w:t>1)</w:t>
            </w:r>
            <w:r>
              <w:rPr>
                <w:rFonts w:hint="eastAsia"/>
                <w:sz w:val="21"/>
                <w:szCs w:val="21"/>
              </w:rPr>
              <w:t>。</w:t>
            </w:r>
          </w:p>
          <w:p w14:paraId="291BCE1C">
            <w:pPr>
              <w:pStyle w:val="38"/>
              <w:spacing w:beforeAutospacing="0" w:afterAutospacing="0" w:line="400" w:lineRule="exact"/>
              <w:rPr>
                <w:sz w:val="21"/>
                <w:szCs w:val="21"/>
              </w:rPr>
            </w:pPr>
            <w:r>
              <w:rPr>
                <w:rFonts w:hint="eastAsia"/>
                <w:sz w:val="21"/>
                <w:szCs w:val="21"/>
              </w:rPr>
              <w:t>评标过程中，不得去掉报价中的最高报价和最低报价。</w:t>
            </w:r>
          </w:p>
          <w:tbl>
            <w:tblPr>
              <w:tblStyle w:val="44"/>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20" w:type="dxa"/>
                <w:left w:w="108" w:type="dxa"/>
                <w:bottom w:w="20" w:type="dxa"/>
                <w:right w:w="108" w:type="dxa"/>
              </w:tblCellMar>
            </w:tblPr>
            <w:tblGrid>
              <w:gridCol w:w="680"/>
              <w:gridCol w:w="680"/>
              <w:gridCol w:w="2835"/>
              <w:gridCol w:w="681"/>
              <w:gridCol w:w="4196"/>
            </w:tblGrid>
            <w:tr w14:paraId="66B18A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jc w:val="center"/>
              </w:trPr>
              <w:tc>
                <w:tcPr>
                  <w:tcW w:w="680"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79AB8771">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sz w:val="24"/>
                      <w:highlight w:val="none"/>
                    </w:rPr>
                  </w:pPr>
                  <w:r>
                    <w:rPr>
                      <w:rFonts w:hint="eastAsia" w:ascii="宋体" w:hAnsi="宋体" w:eastAsia="宋体" w:cs="宋体"/>
                      <w:b/>
                      <w:bCs/>
                      <w:highlight w:val="none"/>
                    </w:rPr>
                    <w:t>序号</w:t>
                  </w:r>
                </w:p>
              </w:tc>
              <w:tc>
                <w:tcPr>
                  <w:tcW w:w="4196" w:type="dxa"/>
                  <w:gridSpan w:val="3"/>
                  <w:tcBorders>
                    <w:top w:val="single" w:color="000000" w:sz="8" w:space="0"/>
                    <w:left w:val="single" w:color="000000" w:sz="8" w:space="0"/>
                    <w:bottom w:val="single" w:color="000000" w:sz="8" w:space="0"/>
                    <w:right w:val="single" w:color="000000" w:sz="8" w:space="0"/>
                  </w:tcBorders>
                  <w:shd w:val="clear" w:color="auto" w:fill="E6EFFA"/>
                  <w:vAlign w:val="center"/>
                </w:tcPr>
                <w:p w14:paraId="24B171A0">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sz w:val="24"/>
                      <w:highlight w:val="none"/>
                    </w:rPr>
                  </w:pPr>
                  <w:r>
                    <w:rPr>
                      <w:rFonts w:hint="eastAsia" w:ascii="宋体" w:hAnsi="宋体" w:eastAsia="宋体" w:cs="宋体"/>
                      <w:b/>
                      <w:bCs/>
                      <w:highlight w:val="none"/>
                    </w:rPr>
                    <w:t>评分项</w:t>
                  </w:r>
                </w:p>
              </w:tc>
              <w:tc>
                <w:tcPr>
                  <w:tcW w:w="4196" w:type="dxa"/>
                  <w:tcBorders>
                    <w:top w:val="single" w:color="000000" w:sz="8" w:space="0"/>
                    <w:left w:val="single" w:color="000000" w:sz="8" w:space="0"/>
                    <w:bottom w:val="single" w:color="000000" w:sz="8" w:space="0"/>
                    <w:right w:val="single" w:color="000000" w:sz="8" w:space="0"/>
                  </w:tcBorders>
                  <w:shd w:val="clear" w:color="auto" w:fill="E6EFFA"/>
                  <w:vAlign w:val="center"/>
                </w:tcPr>
                <w:p w14:paraId="7CFA3ED6">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sz w:val="24"/>
                      <w:highlight w:val="none"/>
                    </w:rPr>
                  </w:pPr>
                  <w:r>
                    <w:rPr>
                      <w:rFonts w:hint="eastAsia" w:ascii="宋体" w:hAnsi="宋体" w:eastAsia="宋体" w:cs="宋体"/>
                      <w:b/>
                      <w:bCs/>
                      <w:highlight w:val="none"/>
                    </w:rPr>
                    <w:t>权重(%)</w:t>
                  </w:r>
                </w:p>
              </w:tc>
            </w:tr>
            <w:tr w14:paraId="46217B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restart"/>
                  <w:tcBorders>
                    <w:top w:val="single" w:color="000000" w:sz="8" w:space="0"/>
                    <w:left w:val="single" w:color="000000" w:sz="8" w:space="0"/>
                    <w:bottom w:val="single" w:color="000000" w:sz="8" w:space="0"/>
                    <w:right w:val="single" w:color="000000" w:sz="8" w:space="0"/>
                  </w:tcBorders>
                </w:tcPr>
                <w:p w14:paraId="00DF6DE3">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sz w:val="24"/>
                      <w:highlight w:val="none"/>
                    </w:rPr>
                  </w:pPr>
                  <w:r>
                    <w:rPr>
                      <w:rFonts w:hint="eastAsia" w:ascii="宋体" w:hAnsi="宋体" w:eastAsia="宋体" w:cs="宋体"/>
                      <w:b/>
                      <w:bCs/>
                      <w:color w:val="0000FF"/>
                      <w:highlight w:val="none"/>
                    </w:rPr>
                    <w:t>1</w:t>
                  </w:r>
                </w:p>
              </w:tc>
              <w:tc>
                <w:tcPr>
                  <w:tcW w:w="4196" w:type="dxa"/>
                  <w:gridSpan w:val="3"/>
                  <w:tcBorders>
                    <w:top w:val="single" w:color="000000" w:sz="8" w:space="0"/>
                    <w:left w:val="single" w:color="000000" w:sz="8" w:space="0"/>
                    <w:bottom w:val="single" w:color="000000" w:sz="8" w:space="0"/>
                    <w:right w:val="single" w:color="000000" w:sz="8" w:space="0"/>
                  </w:tcBorders>
                </w:tcPr>
                <w:p w14:paraId="7A3BC9C0">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sz w:val="24"/>
                      <w:highlight w:val="none"/>
                    </w:rPr>
                  </w:pPr>
                  <w:r>
                    <w:rPr>
                      <w:rFonts w:hint="eastAsia" w:ascii="宋体" w:hAnsi="宋体" w:eastAsia="宋体" w:cs="宋体"/>
                      <w:b/>
                      <w:bCs/>
                      <w:color w:val="0000FF"/>
                      <w:highlight w:val="none"/>
                    </w:rPr>
                    <w:t>价格</w:t>
                  </w:r>
                </w:p>
              </w:tc>
              <w:tc>
                <w:tcPr>
                  <w:tcW w:w="4196" w:type="dxa"/>
                  <w:tcBorders>
                    <w:top w:val="single" w:color="000000" w:sz="8" w:space="0"/>
                    <w:left w:val="single" w:color="000000" w:sz="8" w:space="0"/>
                    <w:bottom w:val="single" w:color="000000" w:sz="8" w:space="0"/>
                    <w:right w:val="single" w:color="000000" w:sz="8" w:space="0"/>
                  </w:tcBorders>
                </w:tcPr>
                <w:p w14:paraId="64FD7C45">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sz w:val="24"/>
                      <w:highlight w:val="none"/>
                    </w:rPr>
                  </w:pPr>
                  <w:r>
                    <w:rPr>
                      <w:rFonts w:hint="eastAsia" w:ascii="宋体" w:hAnsi="宋体" w:eastAsia="宋体" w:cs="宋体"/>
                      <w:b/>
                      <w:bCs/>
                      <w:color w:val="0000FF"/>
                      <w:highlight w:val="none"/>
                    </w:rPr>
                    <w:t>10</w:t>
                  </w:r>
                </w:p>
              </w:tc>
            </w:tr>
            <w:tr w14:paraId="05C2D7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top w:val="single" w:color="000000" w:sz="8" w:space="0"/>
                    <w:left w:val="single" w:color="000000" w:sz="8" w:space="0"/>
                    <w:bottom w:val="single" w:color="000000" w:sz="8" w:space="0"/>
                    <w:right w:val="single" w:color="000000" w:sz="8" w:space="0"/>
                  </w:tcBorders>
                  <w:vAlign w:val="center"/>
                </w:tcPr>
                <w:p w14:paraId="52A45270">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8392" w:type="dxa"/>
                  <w:gridSpan w:val="4"/>
                  <w:tcBorders>
                    <w:top w:val="single" w:color="000000" w:sz="8" w:space="0"/>
                    <w:left w:val="single" w:color="000000" w:sz="8" w:space="0"/>
                    <w:bottom w:val="single" w:color="000000" w:sz="8" w:space="0"/>
                    <w:right w:val="single" w:color="000000" w:sz="8" w:space="0"/>
                  </w:tcBorders>
                </w:tcPr>
                <w:p w14:paraId="7F1801FB">
                  <w:pPr>
                    <w:pageBreakBefore w:val="0"/>
                    <w:kinsoku/>
                    <w:wordWrap w:val="0"/>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szCs w:val="21"/>
                      <w:highlight w:val="none"/>
                    </w:rPr>
                  </w:pPr>
                </w:p>
              </w:tc>
            </w:tr>
            <w:tr w14:paraId="15B212B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restart"/>
                  <w:tcBorders>
                    <w:top w:val="single" w:color="000000" w:sz="8" w:space="0"/>
                    <w:left w:val="single" w:color="000000" w:sz="8" w:space="0"/>
                    <w:right w:val="single" w:color="000000" w:sz="8" w:space="0"/>
                  </w:tcBorders>
                </w:tcPr>
                <w:p w14:paraId="631B6BD6">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sz w:val="24"/>
                      <w:highlight w:val="none"/>
                    </w:rPr>
                  </w:pPr>
                  <w:r>
                    <w:rPr>
                      <w:rFonts w:hint="eastAsia" w:ascii="宋体" w:hAnsi="宋体" w:eastAsia="宋体" w:cs="宋体"/>
                      <w:b/>
                      <w:bCs/>
                      <w:color w:val="0000FF"/>
                      <w:highlight w:val="none"/>
                    </w:rPr>
                    <w:t>2</w:t>
                  </w:r>
                </w:p>
              </w:tc>
              <w:tc>
                <w:tcPr>
                  <w:tcW w:w="4196" w:type="dxa"/>
                  <w:gridSpan w:val="3"/>
                  <w:tcBorders>
                    <w:top w:val="single" w:color="000000" w:sz="8" w:space="0"/>
                    <w:left w:val="single" w:color="000000" w:sz="8" w:space="0"/>
                    <w:bottom w:val="single" w:color="000000" w:sz="8" w:space="0"/>
                    <w:right w:val="single" w:color="000000" w:sz="8" w:space="0"/>
                  </w:tcBorders>
                </w:tcPr>
                <w:p w14:paraId="7FCC2E62">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highlight w:val="none"/>
                    </w:rPr>
                  </w:pPr>
                  <w:r>
                    <w:rPr>
                      <w:rFonts w:hint="eastAsia" w:ascii="宋体" w:hAnsi="宋体" w:eastAsia="宋体" w:cs="宋体"/>
                      <w:b/>
                      <w:bCs/>
                      <w:color w:val="0000FF"/>
                      <w:highlight w:val="none"/>
                    </w:rPr>
                    <w:t>技术部分</w:t>
                  </w:r>
                </w:p>
              </w:tc>
              <w:tc>
                <w:tcPr>
                  <w:tcW w:w="4196" w:type="dxa"/>
                  <w:tcBorders>
                    <w:top w:val="single" w:color="000000" w:sz="8" w:space="0"/>
                    <w:left w:val="single" w:color="000000" w:sz="8" w:space="0"/>
                    <w:bottom w:val="single" w:color="000000" w:sz="8" w:space="0"/>
                    <w:right w:val="single" w:color="000000" w:sz="8" w:space="0"/>
                  </w:tcBorders>
                </w:tcPr>
                <w:p w14:paraId="2D916E34">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default" w:ascii="宋体" w:hAnsi="宋体" w:eastAsia="宋体" w:cs="宋体"/>
                      <w:b/>
                      <w:bCs/>
                      <w:color w:val="0000FF"/>
                      <w:highlight w:val="none"/>
                      <w:lang w:val="en-US" w:eastAsia="zh-CN"/>
                    </w:rPr>
                  </w:pPr>
                  <w:r>
                    <w:rPr>
                      <w:rFonts w:hint="eastAsia" w:ascii="宋体" w:hAnsi="宋体" w:eastAsia="宋体" w:cs="宋体"/>
                      <w:b/>
                      <w:bCs/>
                      <w:color w:val="0000FF"/>
                      <w:highlight w:val="none"/>
                      <w:lang w:val="en-US" w:eastAsia="zh-CN"/>
                    </w:rPr>
                    <w:t>54</w:t>
                  </w:r>
                </w:p>
              </w:tc>
            </w:tr>
            <w:tr w14:paraId="1A1C2B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0BED06E7">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8392" w:type="dxa"/>
                  <w:gridSpan w:val="4"/>
                  <w:tcBorders>
                    <w:top w:val="single" w:color="000000" w:sz="8" w:space="0"/>
                    <w:left w:val="single" w:color="000000" w:sz="8" w:space="0"/>
                    <w:bottom w:val="single" w:color="000000" w:sz="8" w:space="0"/>
                    <w:right w:val="single" w:color="000000" w:sz="8" w:space="0"/>
                  </w:tcBorders>
                </w:tcPr>
                <w:p w14:paraId="521B8068">
                  <w:pPr>
                    <w:pageBreakBefore w:val="0"/>
                    <w:kinsoku/>
                    <w:wordWrap w:val="0"/>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szCs w:val="21"/>
                      <w:highlight w:val="none"/>
                    </w:rPr>
                  </w:pPr>
                </w:p>
              </w:tc>
            </w:tr>
            <w:tr w14:paraId="7D9EAC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shd w:val="clear" w:color="auto" w:fill="E6EFFA"/>
                  <w:vAlign w:val="center"/>
                </w:tcPr>
                <w:p w14:paraId="31DE719D">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138689B7">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序号</w:t>
                  </w:r>
                </w:p>
              </w:tc>
              <w:tc>
                <w:tcPr>
                  <w:tcW w:w="2835"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621912EF">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评分因素</w:t>
                  </w:r>
                </w:p>
              </w:tc>
              <w:tc>
                <w:tcPr>
                  <w:tcW w:w="681"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365724F7">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权重(%)</w:t>
                  </w:r>
                </w:p>
              </w:tc>
              <w:tc>
                <w:tcPr>
                  <w:tcW w:w="4196"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371B2A6C">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评分准则</w:t>
                  </w:r>
                </w:p>
              </w:tc>
            </w:tr>
            <w:tr w14:paraId="5E667A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70E2D525">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4FE0FAA7">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2835" w:type="dxa"/>
                  <w:tcBorders>
                    <w:top w:val="single" w:color="000000" w:sz="8" w:space="0"/>
                    <w:left w:val="single" w:color="000000" w:sz="8" w:space="0"/>
                    <w:bottom w:val="single" w:color="000000" w:sz="8" w:space="0"/>
                    <w:right w:val="single" w:color="000000" w:sz="8" w:space="0"/>
                  </w:tcBorders>
                  <w:vAlign w:val="center"/>
                </w:tcPr>
                <w:p w14:paraId="3F114AA5">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rPr>
                    <w:t>项目整体设想及规划方案</w:t>
                  </w:r>
                </w:p>
              </w:tc>
              <w:tc>
                <w:tcPr>
                  <w:tcW w:w="681" w:type="dxa"/>
                  <w:tcBorders>
                    <w:top w:val="single" w:color="000000" w:sz="8" w:space="0"/>
                    <w:left w:val="single" w:color="000000" w:sz="8" w:space="0"/>
                    <w:bottom w:val="single" w:color="000000" w:sz="8" w:space="0"/>
                    <w:right w:val="single" w:color="000000" w:sz="8" w:space="0"/>
                  </w:tcBorders>
                  <w:vAlign w:val="center"/>
                </w:tcPr>
                <w:p w14:paraId="75B847E1">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7</w:t>
                  </w:r>
                </w:p>
              </w:tc>
              <w:tc>
                <w:tcPr>
                  <w:tcW w:w="4196" w:type="dxa"/>
                  <w:tcBorders>
                    <w:top w:val="single" w:color="000000" w:sz="8" w:space="0"/>
                    <w:left w:val="single" w:color="000000" w:sz="8" w:space="0"/>
                    <w:bottom w:val="single" w:color="000000" w:sz="8" w:space="0"/>
                    <w:right w:val="single" w:color="000000" w:sz="8" w:space="0"/>
                  </w:tcBorders>
                  <w:vAlign w:val="top"/>
                </w:tcPr>
                <w:p w14:paraId="6DEAD093">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b/>
                      <w:bCs/>
                      <w:color w:val="auto"/>
                      <w:szCs w:val="21"/>
                      <w:lang w:val="zh-CN"/>
                    </w:rPr>
                    <w:t>考察内容：</w:t>
                  </w:r>
                </w:p>
                <w:p w14:paraId="09E3E690">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考察针对本项目的项目整体设想及规划方案，方案包括以下内容：</w:t>
                  </w:r>
                </w:p>
                <w:p w14:paraId="6584C6AD">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1、专项服务小组人员配备；</w:t>
                  </w:r>
                </w:p>
                <w:p w14:paraId="4B8CFB9B">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2、质量安全控制措施；</w:t>
                  </w:r>
                </w:p>
                <w:p w14:paraId="17DC68DC">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3、配送服务计划。</w:t>
                  </w:r>
                </w:p>
                <w:p w14:paraId="0C93231C">
                  <w:pPr>
                    <w:pageBreakBefore w:val="0"/>
                    <w:kinsoku/>
                    <w:wordWrap/>
                    <w:overflowPunct/>
                    <w:topLinePunct w:val="0"/>
                    <w:autoSpaceDE w:val="0"/>
                    <w:autoSpaceDN w:val="0"/>
                    <w:bidi w:val="0"/>
                    <w:adjustRightInd w:val="0"/>
                    <w:spacing w:beforeAutospacing="0" w:afterAutospacing="0" w:line="360" w:lineRule="auto"/>
                    <w:ind w:left="0" w:leftChars="0" w:right="0" w:firstLine="0" w:firstLineChars="0"/>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评审标准：</w:t>
                  </w:r>
                </w:p>
                <w:p w14:paraId="277CC2BE">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评审委员会根据招标文件的需求和投标文件的响应情况，进行评价及分档评分：</w:t>
                  </w:r>
                </w:p>
                <w:p w14:paraId="3187332C">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提供以上</w:t>
                  </w:r>
                  <w:r>
                    <w:rPr>
                      <w:rFonts w:hint="eastAsia" w:ascii="宋体" w:hAnsi="宋体" w:cs="宋体"/>
                      <w:color w:val="auto"/>
                      <w:szCs w:val="21"/>
                    </w:rPr>
                    <w:t>3点内容</w:t>
                  </w:r>
                  <w:r>
                    <w:rPr>
                      <w:rFonts w:hint="eastAsia" w:ascii="宋体" w:hAnsi="宋体" w:cs="宋体"/>
                      <w:color w:val="auto"/>
                      <w:szCs w:val="21"/>
                      <w:lang w:val="zh-CN"/>
                    </w:rPr>
                    <w:t>得</w:t>
                  </w:r>
                  <w:r>
                    <w:rPr>
                      <w:rFonts w:hint="eastAsia" w:ascii="宋体" w:hAnsi="宋体" w:cs="宋体"/>
                      <w:color w:val="auto"/>
                      <w:szCs w:val="21"/>
                      <w:lang w:val="en-US" w:eastAsia="zh-CN"/>
                    </w:rPr>
                    <w:t>4</w:t>
                  </w:r>
                  <w:r>
                    <w:rPr>
                      <w:rFonts w:hint="eastAsia" w:ascii="宋体" w:hAnsi="宋体" w:cs="宋体"/>
                      <w:color w:val="auto"/>
                      <w:szCs w:val="21"/>
                    </w:rPr>
                    <w:t>0分</w:t>
                  </w:r>
                  <w:r>
                    <w:rPr>
                      <w:rFonts w:hint="eastAsia" w:ascii="宋体" w:hAnsi="宋体" w:cs="宋体"/>
                      <w:color w:val="auto"/>
                      <w:szCs w:val="21"/>
                      <w:lang w:val="zh-CN"/>
                    </w:rPr>
                    <w:t>；</w:t>
                  </w:r>
                </w:p>
                <w:p w14:paraId="0DA94856">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color w:val="auto"/>
                      <w:szCs w:val="21"/>
                      <w:lang w:eastAsia="zh-CN"/>
                    </w:rPr>
                  </w:pPr>
                  <w:r>
                    <w:rPr>
                      <w:rFonts w:hint="eastAsia" w:ascii="宋体" w:hAnsi="宋体" w:cs="宋体"/>
                      <w:color w:val="auto"/>
                      <w:szCs w:val="21"/>
                    </w:rPr>
                    <w:t>提供2点内容得</w:t>
                  </w:r>
                  <w:r>
                    <w:rPr>
                      <w:rFonts w:hint="eastAsia" w:ascii="宋体" w:hAnsi="宋体" w:cs="宋体"/>
                      <w:color w:val="auto"/>
                      <w:szCs w:val="21"/>
                      <w:lang w:val="en-US" w:eastAsia="zh-CN"/>
                    </w:rPr>
                    <w:t>2</w:t>
                  </w:r>
                  <w:r>
                    <w:rPr>
                      <w:rFonts w:hint="eastAsia" w:ascii="宋体" w:hAnsi="宋体" w:cs="宋体"/>
                      <w:color w:val="auto"/>
                      <w:szCs w:val="21"/>
                    </w:rPr>
                    <w:t>0分</w:t>
                  </w:r>
                  <w:r>
                    <w:rPr>
                      <w:rFonts w:hint="eastAsia" w:ascii="宋体" w:hAnsi="宋体" w:cs="宋体"/>
                      <w:color w:val="auto"/>
                      <w:szCs w:val="21"/>
                      <w:lang w:eastAsia="zh-CN"/>
                    </w:rPr>
                    <w:t>；</w:t>
                  </w:r>
                </w:p>
                <w:p w14:paraId="2D6BC6D2">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color w:val="auto"/>
                      <w:szCs w:val="21"/>
                      <w:lang w:eastAsia="zh-CN"/>
                    </w:rPr>
                  </w:pPr>
                  <w:r>
                    <w:rPr>
                      <w:rFonts w:hint="eastAsia" w:ascii="宋体" w:hAnsi="宋体" w:cs="宋体"/>
                      <w:color w:val="auto"/>
                      <w:szCs w:val="21"/>
                    </w:rPr>
                    <w:t>提供1点内容得10分</w:t>
                  </w:r>
                  <w:r>
                    <w:rPr>
                      <w:rFonts w:hint="eastAsia" w:ascii="宋体" w:hAnsi="宋体" w:cs="宋体"/>
                      <w:color w:val="auto"/>
                      <w:szCs w:val="21"/>
                      <w:lang w:eastAsia="zh-CN"/>
                    </w:rPr>
                    <w:t>；</w:t>
                  </w:r>
                </w:p>
                <w:p w14:paraId="5DD5FBBD">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未体现</w:t>
                  </w:r>
                  <w:r>
                    <w:rPr>
                      <w:rFonts w:hint="eastAsia" w:ascii="宋体" w:hAnsi="宋体" w:cs="宋体"/>
                      <w:color w:val="auto"/>
                      <w:szCs w:val="21"/>
                      <w:lang w:val="zh-CN"/>
                    </w:rPr>
                    <w:t>不得分。</w:t>
                  </w:r>
                </w:p>
                <w:p w14:paraId="10BB5942">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eastAsia="宋体" w:cs="宋体"/>
                      <w:color w:val="auto"/>
                      <w:szCs w:val="21"/>
                      <w:highlight w:val="none"/>
                    </w:rPr>
                    <w:t>在此基础上，专家根据各投标人的具体响应内容按照量化的评审因素指标进一步评审：</w:t>
                  </w:r>
                </w:p>
                <w:p w14:paraId="0941EA5A">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default" w:ascii="宋体" w:hAnsi="宋体" w:eastAsia="宋体" w:cs="宋体"/>
                      <w:color w:val="auto"/>
                      <w:szCs w:val="21"/>
                      <w:lang w:val="en-US" w:eastAsia="zh-CN"/>
                    </w:rPr>
                  </w:pPr>
                  <w:r>
                    <w:rPr>
                      <w:rFonts w:hint="eastAsia" w:ascii="宋体" w:hAnsi="宋体" w:cs="宋体"/>
                      <w:color w:val="auto"/>
                      <w:szCs w:val="21"/>
                      <w:lang w:val="zh-CN"/>
                    </w:rPr>
                    <w:t>优评分标准:专项服务小组人员配备较齐全，有详细的人员清单；质量安全控制流程清晰</w:t>
                  </w:r>
                  <w:r>
                    <w:rPr>
                      <w:rFonts w:hint="eastAsia" w:ascii="宋体" w:hAnsi="宋体" w:cs="宋体"/>
                      <w:color w:val="auto"/>
                      <w:szCs w:val="21"/>
                    </w:rPr>
                    <w:t>较</w:t>
                  </w:r>
                  <w:r>
                    <w:rPr>
                      <w:rFonts w:hint="eastAsia" w:ascii="宋体" w:hAnsi="宋体" w:cs="宋体"/>
                      <w:color w:val="auto"/>
                      <w:szCs w:val="21"/>
                      <w:lang w:val="zh-CN"/>
                    </w:rPr>
                    <w:t>合理，</w:t>
                  </w:r>
                  <w:r>
                    <w:rPr>
                      <w:rFonts w:hint="eastAsia" w:ascii="宋体" w:hAnsi="宋体" w:cs="宋体"/>
                      <w:color w:val="auto"/>
                      <w:szCs w:val="21"/>
                    </w:rPr>
                    <w:t>有</w:t>
                  </w:r>
                  <w:r>
                    <w:rPr>
                      <w:rFonts w:hint="eastAsia" w:ascii="宋体" w:hAnsi="宋体" w:cs="宋体"/>
                      <w:color w:val="auto"/>
                      <w:szCs w:val="21"/>
                      <w:lang w:val="zh-CN"/>
                    </w:rPr>
                    <w:t>货物来源、入库、出库等全过程的检测与监管措施；配送服务计划具有较强的针对性和可操作性，</w:t>
                  </w:r>
                  <w:r>
                    <w:rPr>
                      <w:rFonts w:hint="eastAsia" w:ascii="宋体" w:hAnsi="宋体" w:cs="宋体"/>
                      <w:color w:val="auto"/>
                      <w:szCs w:val="21"/>
                    </w:rPr>
                    <w:t>有</w:t>
                  </w:r>
                  <w:r>
                    <w:rPr>
                      <w:rFonts w:hint="eastAsia" w:ascii="宋体" w:hAnsi="宋体" w:cs="宋体"/>
                      <w:color w:val="auto"/>
                      <w:szCs w:val="21"/>
                      <w:lang w:val="zh-CN"/>
                    </w:rPr>
                    <w:t>配送流程、配送时间、客户沟通、项目重点难点分析、专业性意见及合理化建议等。评价为优的加</w:t>
                  </w:r>
                  <w:r>
                    <w:rPr>
                      <w:rFonts w:hint="eastAsia" w:ascii="宋体" w:hAnsi="宋体" w:cs="宋体"/>
                      <w:color w:val="auto"/>
                      <w:szCs w:val="21"/>
                      <w:lang w:val="en-US" w:eastAsia="zh-CN"/>
                    </w:rPr>
                    <w:t>60分；</w:t>
                  </w:r>
                </w:p>
                <w:p w14:paraId="3ABB3A87">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良评分标准: 专项服务小组人员配备齐全，有人员清单；质量安全控制流程清晰合理，货物来源、入库、出库等全过程的检测与监管措施</w:t>
                  </w:r>
                  <w:r>
                    <w:rPr>
                      <w:rFonts w:hint="eastAsia" w:ascii="宋体" w:hAnsi="宋体" w:cs="宋体"/>
                      <w:color w:val="auto"/>
                      <w:szCs w:val="21"/>
                    </w:rPr>
                    <w:t>有缺漏项的</w:t>
                  </w:r>
                  <w:r>
                    <w:rPr>
                      <w:rFonts w:hint="eastAsia" w:ascii="宋体" w:hAnsi="宋体" w:cs="宋体"/>
                      <w:color w:val="auto"/>
                      <w:szCs w:val="21"/>
                      <w:lang w:val="zh-CN"/>
                    </w:rPr>
                    <w:t>；配送服务计划具有针对性和可操作性，配送流程、配送时间、客户沟通、项目重点难点分析、专业性意见及合理化建议等</w:t>
                  </w:r>
                  <w:r>
                    <w:rPr>
                      <w:rFonts w:hint="eastAsia" w:ascii="宋体" w:hAnsi="宋体" w:cs="宋体"/>
                      <w:color w:val="auto"/>
                      <w:szCs w:val="21"/>
                    </w:rPr>
                    <w:t>有缺漏项的</w:t>
                  </w:r>
                  <w:r>
                    <w:rPr>
                      <w:rFonts w:hint="eastAsia" w:ascii="宋体" w:hAnsi="宋体" w:cs="宋体"/>
                      <w:color w:val="auto"/>
                      <w:szCs w:val="21"/>
                      <w:lang w:val="zh-CN"/>
                    </w:rPr>
                    <w:t>。评价为良的加</w:t>
                  </w:r>
                  <w:r>
                    <w:rPr>
                      <w:rFonts w:hint="eastAsia" w:ascii="宋体" w:hAnsi="宋体" w:cs="宋体"/>
                      <w:color w:val="auto"/>
                      <w:szCs w:val="21"/>
                      <w:lang w:val="en-US" w:eastAsia="zh-CN"/>
                    </w:rPr>
                    <w:t>30分；</w:t>
                  </w:r>
                </w:p>
                <w:p w14:paraId="02686235">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中评分标准：配备专项服务小组人员配备，有人员清单；质量安全控制流程</w:t>
                  </w:r>
                  <w:r>
                    <w:rPr>
                      <w:rFonts w:hint="eastAsia" w:ascii="宋体" w:hAnsi="宋体" w:cs="宋体"/>
                      <w:color w:val="auto"/>
                      <w:szCs w:val="21"/>
                    </w:rPr>
                    <w:t>一般</w:t>
                  </w:r>
                  <w:r>
                    <w:rPr>
                      <w:rFonts w:hint="eastAsia" w:ascii="宋体" w:hAnsi="宋体" w:cs="宋体"/>
                      <w:color w:val="auto"/>
                      <w:szCs w:val="21"/>
                      <w:lang w:val="zh-CN"/>
                    </w:rPr>
                    <w:t>，货物来源、入库、出库等全过程的检测与监管措施</w:t>
                  </w:r>
                  <w:r>
                    <w:rPr>
                      <w:rFonts w:hint="eastAsia" w:ascii="宋体" w:hAnsi="宋体" w:cs="宋体"/>
                      <w:color w:val="auto"/>
                      <w:szCs w:val="21"/>
                    </w:rPr>
                    <w:t>有重大缺失的</w:t>
                  </w:r>
                  <w:r>
                    <w:rPr>
                      <w:rFonts w:hint="eastAsia" w:ascii="宋体" w:hAnsi="宋体" w:cs="宋体"/>
                      <w:color w:val="auto"/>
                      <w:szCs w:val="21"/>
                      <w:lang w:val="zh-CN"/>
                    </w:rPr>
                    <w:t>；配送服务计划一般，配送流程、配送时间、客户沟通、项目重点难点分析、专业性意见及合理化建议等有重大缺漏项的。评价为中的加</w:t>
                  </w:r>
                  <w:r>
                    <w:rPr>
                      <w:rFonts w:hint="default" w:ascii="宋体" w:hAnsi="宋体" w:cs="宋体"/>
                      <w:color w:val="auto"/>
                      <w:szCs w:val="21"/>
                      <w:lang w:val="en-US" w:eastAsia="zh-CN"/>
                    </w:rPr>
                    <w:t>1</w:t>
                  </w:r>
                  <w:r>
                    <w:rPr>
                      <w:rFonts w:hint="eastAsia" w:ascii="宋体" w:hAnsi="宋体" w:cs="宋体"/>
                      <w:color w:val="auto"/>
                      <w:szCs w:val="21"/>
                      <w:lang w:val="en-US" w:eastAsia="zh-CN"/>
                    </w:rPr>
                    <w:t>0分；</w:t>
                  </w:r>
                </w:p>
                <w:p w14:paraId="632F8D0F">
                  <w:pPr>
                    <w:keepNext w:val="0"/>
                    <w:keepLines w:val="0"/>
                    <w:pageBreakBefore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color w:val="auto"/>
                      <w:kern w:val="2"/>
                      <w:sz w:val="21"/>
                      <w:szCs w:val="21"/>
                      <w:lang w:val="en-US" w:eastAsia="zh-CN" w:bidi="ar-SA"/>
                    </w:rPr>
                  </w:pPr>
                  <w:r>
                    <w:rPr>
                      <w:rFonts w:hint="eastAsia" w:ascii="宋体" w:hAnsi="宋体" w:cs="宋体"/>
                      <w:color w:val="auto"/>
                      <w:szCs w:val="21"/>
                      <w:lang w:val="zh-CN"/>
                    </w:rPr>
                    <w:t>差评分标准:配送服务计划存在一定的疏漏或不合理评价。评价为差的不加分。</w:t>
                  </w:r>
                </w:p>
              </w:tc>
            </w:tr>
            <w:tr w14:paraId="376C36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7E881A13">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77657655">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2835" w:type="dxa"/>
                  <w:tcBorders>
                    <w:top w:val="single" w:color="000000" w:sz="8" w:space="0"/>
                    <w:left w:val="single" w:color="000000" w:sz="8" w:space="0"/>
                    <w:bottom w:val="single" w:color="000000" w:sz="8" w:space="0"/>
                    <w:right w:val="single" w:color="000000" w:sz="8" w:space="0"/>
                  </w:tcBorders>
                  <w:vAlign w:val="center"/>
                </w:tcPr>
                <w:p w14:paraId="35292355">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szCs w:val="21"/>
                      <w:lang w:val="zh-CN"/>
                    </w:rPr>
                    <w:t>规章管理制度、工作流程等</w:t>
                  </w:r>
                </w:p>
              </w:tc>
              <w:tc>
                <w:tcPr>
                  <w:tcW w:w="681" w:type="dxa"/>
                  <w:tcBorders>
                    <w:top w:val="single" w:color="000000" w:sz="8" w:space="0"/>
                    <w:left w:val="single" w:color="000000" w:sz="8" w:space="0"/>
                    <w:bottom w:val="single" w:color="000000" w:sz="8" w:space="0"/>
                    <w:right w:val="single" w:color="000000" w:sz="8" w:space="0"/>
                  </w:tcBorders>
                  <w:vAlign w:val="center"/>
                </w:tcPr>
                <w:p w14:paraId="0DBAC37B">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7</w:t>
                  </w:r>
                </w:p>
              </w:tc>
              <w:tc>
                <w:tcPr>
                  <w:tcW w:w="4196" w:type="dxa"/>
                  <w:tcBorders>
                    <w:top w:val="single" w:color="000000" w:sz="8" w:space="0"/>
                    <w:left w:val="single" w:color="000000" w:sz="8" w:space="0"/>
                    <w:bottom w:val="single" w:color="000000" w:sz="8" w:space="0"/>
                    <w:right w:val="single" w:color="000000" w:sz="8" w:space="0"/>
                  </w:tcBorders>
                  <w:vAlign w:val="top"/>
                </w:tcPr>
                <w:p w14:paraId="787E5676">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b/>
                      <w:bCs/>
                      <w:color w:val="auto"/>
                      <w:szCs w:val="21"/>
                      <w:lang w:val="zh-CN"/>
                    </w:rPr>
                    <w:t>考察内容：</w:t>
                  </w:r>
                </w:p>
                <w:p w14:paraId="43D41E1E">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考察针对本项目的项目规章管理制度、工作流程等，包括以下内容:</w:t>
                  </w:r>
                </w:p>
                <w:p w14:paraId="0C53CEAC">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1</w:t>
                  </w:r>
                  <w:r>
                    <w:rPr>
                      <w:rFonts w:hint="eastAsia" w:ascii="宋体" w:hAnsi="宋体" w:cs="宋体"/>
                      <w:color w:val="auto"/>
                      <w:szCs w:val="21"/>
                      <w:lang w:eastAsia="zh-CN"/>
                    </w:rPr>
                    <w:t>、</w:t>
                  </w:r>
                  <w:r>
                    <w:rPr>
                      <w:rFonts w:hint="eastAsia" w:ascii="宋体" w:hAnsi="宋体" w:cs="宋体"/>
                      <w:color w:val="auto"/>
                      <w:szCs w:val="21"/>
                      <w:lang w:val="zh-CN"/>
                    </w:rPr>
                    <w:t>食品安全保障制度；</w:t>
                  </w:r>
                </w:p>
                <w:p w14:paraId="0609B6A1">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rPr>
                  </w:pPr>
                  <w:r>
                    <w:rPr>
                      <w:rFonts w:hint="eastAsia" w:ascii="宋体" w:hAnsi="宋体" w:cs="宋体"/>
                      <w:color w:val="auto"/>
                      <w:szCs w:val="21"/>
                    </w:rPr>
                    <w:t>2</w:t>
                  </w:r>
                  <w:r>
                    <w:rPr>
                      <w:rFonts w:hint="eastAsia" w:ascii="宋体" w:hAnsi="宋体" w:cs="宋体"/>
                      <w:color w:val="auto"/>
                      <w:szCs w:val="21"/>
                      <w:lang w:eastAsia="zh-CN"/>
                    </w:rPr>
                    <w:t>、</w:t>
                  </w:r>
                  <w:r>
                    <w:rPr>
                      <w:rFonts w:hint="eastAsia" w:ascii="宋体" w:hAnsi="宋体" w:cs="宋体"/>
                      <w:color w:val="auto"/>
                      <w:szCs w:val="21"/>
                      <w:lang w:val="zh-CN"/>
                    </w:rPr>
                    <w:t>人员岗位职责</w:t>
                  </w:r>
                  <w:r>
                    <w:rPr>
                      <w:rFonts w:hint="eastAsia" w:ascii="宋体" w:hAnsi="宋体" w:cs="宋体"/>
                      <w:color w:val="auto"/>
                      <w:szCs w:val="21"/>
                    </w:rPr>
                    <w:t>；</w:t>
                  </w:r>
                </w:p>
                <w:p w14:paraId="568FA2F0">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3</w:t>
                  </w:r>
                  <w:r>
                    <w:rPr>
                      <w:rFonts w:hint="eastAsia" w:ascii="宋体" w:hAnsi="宋体" w:cs="宋体"/>
                      <w:color w:val="auto"/>
                      <w:szCs w:val="21"/>
                      <w:lang w:eastAsia="zh-CN"/>
                    </w:rPr>
                    <w:t>、</w:t>
                  </w:r>
                  <w:r>
                    <w:rPr>
                      <w:rFonts w:hint="eastAsia" w:ascii="宋体" w:hAnsi="宋体" w:cs="宋体"/>
                      <w:color w:val="auto"/>
                      <w:szCs w:val="21"/>
                      <w:lang w:val="zh-CN"/>
                    </w:rPr>
                    <w:t>操作规程；</w:t>
                  </w:r>
                </w:p>
                <w:p w14:paraId="69CF7705">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4</w:t>
                  </w:r>
                  <w:r>
                    <w:rPr>
                      <w:rFonts w:hint="eastAsia" w:ascii="宋体" w:hAnsi="宋体" w:cs="宋体"/>
                      <w:color w:val="auto"/>
                      <w:szCs w:val="21"/>
                      <w:lang w:eastAsia="zh-CN"/>
                    </w:rPr>
                    <w:t>、</w:t>
                  </w:r>
                  <w:r>
                    <w:rPr>
                      <w:rFonts w:hint="eastAsia" w:ascii="宋体" w:hAnsi="宋体" w:cs="宋体"/>
                      <w:color w:val="auto"/>
                      <w:szCs w:val="21"/>
                      <w:lang w:val="zh-CN"/>
                    </w:rPr>
                    <w:t>劳动纪律和奖惩办法；</w:t>
                  </w:r>
                </w:p>
                <w:p w14:paraId="0A21A008">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5</w:t>
                  </w:r>
                  <w:r>
                    <w:rPr>
                      <w:rFonts w:hint="eastAsia" w:ascii="宋体" w:hAnsi="宋体" w:cs="宋体"/>
                      <w:color w:val="auto"/>
                      <w:szCs w:val="21"/>
                      <w:lang w:eastAsia="zh-CN"/>
                    </w:rPr>
                    <w:t>、</w:t>
                  </w:r>
                  <w:r>
                    <w:rPr>
                      <w:rFonts w:hint="eastAsia" w:ascii="宋体" w:hAnsi="宋体" w:cs="宋体"/>
                      <w:color w:val="auto"/>
                      <w:szCs w:val="21"/>
                      <w:lang w:val="zh-CN"/>
                    </w:rPr>
                    <w:t>客户投诉反馈管理制度。</w:t>
                  </w:r>
                </w:p>
                <w:p w14:paraId="75865FB2">
                  <w:pPr>
                    <w:pageBreakBefore w:val="0"/>
                    <w:kinsoku/>
                    <w:wordWrap/>
                    <w:overflowPunct/>
                    <w:topLinePunct w:val="0"/>
                    <w:autoSpaceDE w:val="0"/>
                    <w:autoSpaceDN w:val="0"/>
                    <w:bidi w:val="0"/>
                    <w:adjustRightInd w:val="0"/>
                    <w:spacing w:beforeAutospacing="0" w:afterAutospacing="0" w:line="360" w:lineRule="auto"/>
                    <w:ind w:left="0" w:leftChars="0" w:right="0" w:firstLine="0" w:firstLineChars="0"/>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评审标准：</w:t>
                  </w:r>
                </w:p>
                <w:p w14:paraId="1992A4DB">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b/>
                      <w:bCs/>
                      <w:color w:val="auto"/>
                      <w:szCs w:val="21"/>
                      <w:lang w:val="zh-CN"/>
                    </w:rPr>
                  </w:pPr>
                  <w:r>
                    <w:rPr>
                      <w:rFonts w:hint="eastAsia" w:ascii="宋体" w:hAnsi="宋体" w:eastAsia="宋体" w:cs="宋体"/>
                      <w:color w:val="auto"/>
                      <w:szCs w:val="21"/>
                      <w:highlight w:val="none"/>
                    </w:rPr>
                    <w:t>评审委员会根据招标文件的需求和投标文件的响应情况，进行评价及分档评分：</w:t>
                  </w:r>
                </w:p>
                <w:p w14:paraId="07D53201">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eastAsia="zh-CN"/>
                    </w:rPr>
                  </w:pPr>
                  <w:r>
                    <w:rPr>
                      <w:rFonts w:hint="eastAsia" w:ascii="宋体" w:hAnsi="宋体" w:cs="宋体"/>
                      <w:color w:val="auto"/>
                      <w:szCs w:val="21"/>
                    </w:rPr>
                    <w:t>提供4点</w:t>
                  </w:r>
                  <w:r>
                    <w:rPr>
                      <w:rFonts w:hint="eastAsia" w:ascii="宋体" w:hAnsi="宋体" w:cs="宋体"/>
                      <w:color w:val="auto"/>
                      <w:szCs w:val="21"/>
                      <w:lang w:val="en-US" w:eastAsia="zh-CN"/>
                    </w:rPr>
                    <w:t>以上</w:t>
                  </w:r>
                  <w:r>
                    <w:rPr>
                      <w:rFonts w:hint="eastAsia" w:ascii="宋体" w:hAnsi="宋体" w:cs="宋体"/>
                      <w:color w:val="auto"/>
                      <w:szCs w:val="21"/>
                    </w:rPr>
                    <w:t>内容得40分</w:t>
                  </w:r>
                  <w:r>
                    <w:rPr>
                      <w:rFonts w:hint="eastAsia" w:ascii="宋体" w:hAnsi="宋体" w:cs="宋体"/>
                      <w:color w:val="auto"/>
                      <w:szCs w:val="21"/>
                      <w:lang w:eastAsia="zh-CN"/>
                    </w:rPr>
                    <w:t>；</w:t>
                  </w:r>
                </w:p>
                <w:p w14:paraId="29B902B3">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eastAsia="zh-CN"/>
                    </w:rPr>
                  </w:pPr>
                  <w:r>
                    <w:rPr>
                      <w:rFonts w:hint="eastAsia" w:ascii="宋体" w:hAnsi="宋体" w:cs="宋体"/>
                      <w:color w:val="auto"/>
                      <w:szCs w:val="21"/>
                    </w:rPr>
                    <w:t>提供3点内容得30分</w:t>
                  </w:r>
                  <w:r>
                    <w:rPr>
                      <w:rFonts w:hint="eastAsia" w:ascii="宋体" w:hAnsi="宋体" w:cs="宋体"/>
                      <w:color w:val="auto"/>
                      <w:szCs w:val="21"/>
                      <w:lang w:eastAsia="zh-CN"/>
                    </w:rPr>
                    <w:t>；</w:t>
                  </w:r>
                </w:p>
                <w:p w14:paraId="1AC4439F">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eastAsia="zh-CN"/>
                    </w:rPr>
                  </w:pPr>
                  <w:r>
                    <w:rPr>
                      <w:rFonts w:hint="eastAsia" w:ascii="宋体" w:hAnsi="宋体" w:cs="宋体"/>
                      <w:color w:val="auto"/>
                      <w:szCs w:val="21"/>
                    </w:rPr>
                    <w:t>提供2点内容得20分</w:t>
                  </w:r>
                  <w:r>
                    <w:rPr>
                      <w:rFonts w:hint="eastAsia" w:ascii="宋体" w:hAnsi="宋体" w:cs="宋体"/>
                      <w:color w:val="auto"/>
                      <w:szCs w:val="21"/>
                      <w:lang w:eastAsia="zh-CN"/>
                    </w:rPr>
                    <w:t>；</w:t>
                  </w:r>
                </w:p>
                <w:p w14:paraId="44F7E1F8">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eastAsia="zh-CN"/>
                    </w:rPr>
                  </w:pPr>
                  <w:r>
                    <w:rPr>
                      <w:rFonts w:hint="eastAsia" w:ascii="宋体" w:hAnsi="宋体" w:cs="宋体"/>
                      <w:color w:val="auto"/>
                      <w:szCs w:val="21"/>
                    </w:rPr>
                    <w:t>提供1点内容得10分</w:t>
                  </w:r>
                  <w:r>
                    <w:rPr>
                      <w:rFonts w:hint="eastAsia" w:ascii="宋体" w:hAnsi="宋体" w:cs="宋体"/>
                      <w:color w:val="auto"/>
                      <w:szCs w:val="21"/>
                      <w:lang w:eastAsia="zh-CN"/>
                    </w:rPr>
                    <w:t>；</w:t>
                  </w:r>
                </w:p>
                <w:p w14:paraId="5AE37327">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未体现</w:t>
                  </w:r>
                  <w:r>
                    <w:rPr>
                      <w:rFonts w:hint="eastAsia" w:ascii="宋体" w:hAnsi="宋体" w:cs="宋体"/>
                      <w:color w:val="auto"/>
                      <w:szCs w:val="21"/>
                      <w:lang w:val="zh-CN"/>
                    </w:rPr>
                    <w:t>不得分。</w:t>
                  </w:r>
                </w:p>
                <w:p w14:paraId="41379C17">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eastAsia="宋体" w:cs="宋体"/>
                      <w:color w:val="auto"/>
                      <w:szCs w:val="21"/>
                      <w:highlight w:val="none"/>
                    </w:rPr>
                    <w:t>在此基础上，专家根据各投标人的具体响应内容按照量化的评审因素指标进一步评审：</w:t>
                  </w:r>
                  <w:r>
                    <w:rPr>
                      <w:rFonts w:hint="eastAsia" w:ascii="宋体" w:hAnsi="宋体" w:cs="宋体"/>
                      <w:color w:val="auto"/>
                      <w:szCs w:val="21"/>
                      <w:lang w:val="zh-CN"/>
                    </w:rPr>
                    <w:t>优评分标准: 食品安全质量保障措施</w:t>
                  </w:r>
                  <w:r>
                    <w:rPr>
                      <w:rFonts w:hint="eastAsia" w:ascii="宋体" w:hAnsi="宋体" w:cs="宋体"/>
                      <w:color w:val="auto"/>
                      <w:szCs w:val="21"/>
                    </w:rPr>
                    <w:t>详细、具体</w:t>
                  </w:r>
                  <w:r>
                    <w:rPr>
                      <w:rFonts w:hint="eastAsia" w:ascii="宋体" w:hAnsi="宋体" w:cs="宋体"/>
                      <w:color w:val="auto"/>
                      <w:szCs w:val="21"/>
                      <w:lang w:val="zh-CN"/>
                    </w:rPr>
                    <w:t>，对服务过程中的关键节点有具体质量控制措施，有相应的人力、物力投入安排；能够确保产品质量人员管理制度说明、项目管理机制说明、对可能出现的风险情况进行预测并罗列，且对应说明防控措施。评价为优的加</w:t>
                  </w:r>
                  <w:r>
                    <w:rPr>
                      <w:rFonts w:hint="eastAsia" w:ascii="宋体" w:hAnsi="宋体" w:cs="宋体"/>
                      <w:color w:val="auto"/>
                      <w:szCs w:val="21"/>
                      <w:lang w:val="en-US" w:eastAsia="zh-CN"/>
                    </w:rPr>
                    <w:t>60分；</w:t>
                  </w:r>
                </w:p>
                <w:p w14:paraId="3350D980">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良评分标准: 食品安全质量保障措施</w:t>
                  </w:r>
                  <w:r>
                    <w:rPr>
                      <w:rFonts w:hint="eastAsia" w:ascii="宋体" w:hAnsi="宋体" w:cs="宋体"/>
                      <w:color w:val="auto"/>
                      <w:szCs w:val="21"/>
                    </w:rPr>
                    <w:t>简单</w:t>
                  </w:r>
                  <w:r>
                    <w:rPr>
                      <w:rFonts w:hint="eastAsia" w:ascii="宋体" w:hAnsi="宋体" w:cs="宋体"/>
                      <w:color w:val="auto"/>
                      <w:szCs w:val="21"/>
                      <w:lang w:val="zh-CN"/>
                    </w:rPr>
                    <w:t>，对服务过程中的关键节点有提出基本的质量控制措施，有</w:t>
                  </w:r>
                  <w:r>
                    <w:rPr>
                      <w:rFonts w:hint="eastAsia" w:ascii="宋体" w:hAnsi="宋体" w:cs="宋体"/>
                      <w:color w:val="auto"/>
                      <w:szCs w:val="21"/>
                    </w:rPr>
                    <w:t>简单</w:t>
                  </w:r>
                  <w:r>
                    <w:rPr>
                      <w:rFonts w:hint="eastAsia" w:ascii="宋体" w:hAnsi="宋体" w:cs="宋体"/>
                      <w:color w:val="auto"/>
                      <w:szCs w:val="21"/>
                      <w:lang w:val="zh-CN"/>
                    </w:rPr>
                    <w:t>的人力、物力投入安排；制定了人员管理制度说明、项目管理机制说明、对可能出现的风险情况进行预测并罗列。评价为良的加</w:t>
                  </w:r>
                  <w:r>
                    <w:rPr>
                      <w:rFonts w:hint="eastAsia" w:ascii="宋体" w:hAnsi="宋体" w:cs="宋体"/>
                      <w:color w:val="auto"/>
                      <w:szCs w:val="21"/>
                      <w:lang w:val="en-US" w:eastAsia="zh-CN"/>
                    </w:rPr>
                    <w:t>30分；</w:t>
                  </w:r>
                </w:p>
                <w:p w14:paraId="5B119CA7">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中评分标准：食品安全质量保障措施较为简单，对服务过程中的关键节点有提出基本的质量控制措施；有针对本项目的实际情况制定人员管理制度说明、项目管理机制说明。评价为中的加</w:t>
                  </w:r>
                  <w:r>
                    <w:rPr>
                      <w:rFonts w:hint="eastAsia" w:ascii="宋体" w:hAnsi="宋体" w:cs="宋体"/>
                      <w:color w:val="auto"/>
                      <w:szCs w:val="21"/>
                      <w:lang w:val="en-US" w:eastAsia="zh-CN"/>
                    </w:rPr>
                    <w:t>10分；</w:t>
                  </w:r>
                </w:p>
                <w:p w14:paraId="4806D6F5">
                  <w:pPr>
                    <w:keepNext w:val="0"/>
                    <w:keepLines w:val="0"/>
                    <w:pageBreakBefore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color w:val="auto"/>
                      <w:kern w:val="2"/>
                      <w:sz w:val="21"/>
                      <w:szCs w:val="21"/>
                      <w:lang w:val="zh-CN" w:eastAsia="zh-CN" w:bidi="ar-SA"/>
                    </w:rPr>
                  </w:pPr>
                  <w:r>
                    <w:rPr>
                      <w:rFonts w:hint="eastAsia" w:ascii="宋体" w:hAnsi="宋体" w:cs="宋体"/>
                      <w:color w:val="auto"/>
                      <w:szCs w:val="21"/>
                      <w:lang w:val="zh-CN"/>
                    </w:rPr>
                    <w:t>差评分标准:</w:t>
                  </w:r>
                  <w:r>
                    <w:rPr>
                      <w:rFonts w:hint="eastAsia" w:ascii="宋体" w:hAnsi="宋体" w:cs="宋体"/>
                      <w:color w:val="auto"/>
                      <w:szCs w:val="21"/>
                    </w:rPr>
                    <w:t>有</w:t>
                  </w:r>
                  <w:r>
                    <w:rPr>
                      <w:rFonts w:hint="eastAsia" w:ascii="宋体" w:hAnsi="宋体" w:cs="宋体"/>
                      <w:color w:val="auto"/>
                      <w:szCs w:val="21"/>
                      <w:lang w:val="zh-CN"/>
                    </w:rPr>
                    <w:t>针对本项目的实际情况制定人员管理制度说明。评价为差的不加分。</w:t>
                  </w:r>
                </w:p>
              </w:tc>
            </w:tr>
            <w:tr w14:paraId="7DF5AA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70BAD6D3">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49EB7991">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2835" w:type="dxa"/>
                  <w:tcBorders>
                    <w:top w:val="single" w:color="000000" w:sz="8" w:space="0"/>
                    <w:left w:val="single" w:color="000000" w:sz="8" w:space="0"/>
                    <w:bottom w:val="single" w:color="000000" w:sz="8" w:space="0"/>
                    <w:right w:val="single" w:color="000000" w:sz="8" w:space="0"/>
                  </w:tcBorders>
                  <w:vAlign w:val="center"/>
                </w:tcPr>
                <w:p w14:paraId="1AA8E511">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szCs w:val="21"/>
                      <w:lang w:val="zh-CN"/>
                    </w:rPr>
                    <w:t>应急方案</w:t>
                  </w:r>
                </w:p>
              </w:tc>
              <w:tc>
                <w:tcPr>
                  <w:tcW w:w="681" w:type="dxa"/>
                  <w:tcBorders>
                    <w:top w:val="single" w:color="000000" w:sz="8" w:space="0"/>
                    <w:left w:val="single" w:color="000000" w:sz="8" w:space="0"/>
                    <w:bottom w:val="single" w:color="000000" w:sz="8" w:space="0"/>
                    <w:right w:val="single" w:color="000000" w:sz="8" w:space="0"/>
                  </w:tcBorders>
                  <w:vAlign w:val="center"/>
                </w:tcPr>
                <w:p w14:paraId="39C048A3">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4</w:t>
                  </w:r>
                </w:p>
              </w:tc>
              <w:tc>
                <w:tcPr>
                  <w:tcW w:w="4196" w:type="dxa"/>
                  <w:tcBorders>
                    <w:top w:val="single" w:color="000000" w:sz="8" w:space="0"/>
                    <w:left w:val="single" w:color="000000" w:sz="8" w:space="0"/>
                    <w:bottom w:val="single" w:color="000000" w:sz="8" w:space="0"/>
                    <w:right w:val="single" w:color="000000" w:sz="8" w:space="0"/>
                  </w:tcBorders>
                  <w:vAlign w:val="top"/>
                </w:tcPr>
                <w:p w14:paraId="3C70DB98">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b/>
                      <w:bCs/>
                      <w:color w:val="auto"/>
                      <w:szCs w:val="21"/>
                      <w:lang w:val="zh-CN"/>
                    </w:rPr>
                    <w:t>考察内容：</w:t>
                  </w:r>
                </w:p>
                <w:p w14:paraId="204F3B42">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结合招标文件的要求，</w:t>
                  </w:r>
                  <w:r>
                    <w:rPr>
                      <w:rFonts w:hint="eastAsia" w:ascii="宋体" w:hAnsi="宋体" w:cs="宋体"/>
                      <w:color w:val="auto"/>
                      <w:szCs w:val="21"/>
                      <w:lang w:val="zh-CN"/>
                    </w:rPr>
                    <w:t>考察针对本项目的项目应急方案，方案包括以下内容：</w:t>
                  </w:r>
                </w:p>
                <w:p w14:paraId="452C7588">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1</w:t>
                  </w:r>
                  <w:r>
                    <w:rPr>
                      <w:rFonts w:hint="eastAsia" w:ascii="宋体" w:hAnsi="宋体" w:cs="宋体"/>
                      <w:color w:val="auto"/>
                      <w:szCs w:val="21"/>
                      <w:lang w:eastAsia="zh-CN"/>
                    </w:rPr>
                    <w:t>、</w:t>
                  </w:r>
                  <w:r>
                    <w:rPr>
                      <w:rFonts w:hint="eastAsia" w:ascii="宋体" w:hAnsi="宋体" w:cs="宋体"/>
                      <w:color w:val="auto"/>
                      <w:szCs w:val="21"/>
                      <w:lang w:val="zh-CN"/>
                    </w:rPr>
                    <w:t>投标人应急服务能力介绍；</w:t>
                  </w:r>
                </w:p>
                <w:p w14:paraId="1362D619">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2</w:t>
                  </w:r>
                  <w:r>
                    <w:rPr>
                      <w:rFonts w:hint="eastAsia" w:ascii="宋体" w:hAnsi="宋体" w:cs="宋体"/>
                      <w:color w:val="auto"/>
                      <w:szCs w:val="21"/>
                      <w:lang w:eastAsia="zh-CN"/>
                    </w:rPr>
                    <w:t>、</w:t>
                  </w:r>
                  <w:r>
                    <w:rPr>
                      <w:rFonts w:hint="eastAsia" w:ascii="宋体" w:hAnsi="宋体" w:cs="宋体"/>
                      <w:color w:val="auto"/>
                      <w:szCs w:val="21"/>
                    </w:rPr>
                    <w:t>应急服务队伍配置情况</w:t>
                  </w:r>
                  <w:r>
                    <w:rPr>
                      <w:rFonts w:hint="eastAsia" w:ascii="宋体" w:hAnsi="宋体" w:cs="宋体"/>
                      <w:color w:val="auto"/>
                      <w:szCs w:val="21"/>
                      <w:lang w:val="zh-CN"/>
                    </w:rPr>
                    <w:t>；</w:t>
                  </w:r>
                </w:p>
                <w:p w14:paraId="47A9A58A">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3</w:t>
                  </w:r>
                  <w:r>
                    <w:rPr>
                      <w:rFonts w:hint="eastAsia" w:ascii="宋体" w:hAnsi="宋体" w:cs="宋体"/>
                      <w:color w:val="auto"/>
                      <w:szCs w:val="21"/>
                      <w:lang w:eastAsia="zh-CN"/>
                    </w:rPr>
                    <w:t>、</w:t>
                  </w:r>
                  <w:r>
                    <w:rPr>
                      <w:rFonts w:hint="eastAsia" w:ascii="宋体" w:hAnsi="宋体" w:cs="宋体"/>
                      <w:color w:val="auto"/>
                      <w:szCs w:val="21"/>
                      <w:lang w:val="zh-CN"/>
                    </w:rPr>
                    <w:t>响应时间、具体实施；如：所提供的肉菜质量不符要求需退换货时，在得到甲方通知后X分钟（含）内响应，X小时（含）内送到；</w:t>
                  </w:r>
                </w:p>
                <w:p w14:paraId="76695B30">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4</w:t>
                  </w:r>
                  <w:r>
                    <w:rPr>
                      <w:rFonts w:hint="eastAsia" w:ascii="宋体" w:hAnsi="宋体" w:cs="宋体"/>
                      <w:color w:val="auto"/>
                      <w:szCs w:val="21"/>
                      <w:lang w:eastAsia="zh-CN"/>
                    </w:rPr>
                    <w:t>、</w:t>
                  </w:r>
                  <w:r>
                    <w:rPr>
                      <w:rFonts w:hint="eastAsia" w:ascii="宋体" w:hAnsi="宋体" w:cs="宋体"/>
                      <w:color w:val="auto"/>
                      <w:szCs w:val="21"/>
                      <w:lang w:val="zh-CN"/>
                    </w:rPr>
                    <w:t>项目保障措施；</w:t>
                  </w:r>
                </w:p>
                <w:p w14:paraId="72C8E934">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rPr>
                  </w:pPr>
                  <w:r>
                    <w:rPr>
                      <w:rFonts w:hint="eastAsia" w:ascii="宋体" w:hAnsi="宋体" w:cs="宋体"/>
                      <w:color w:val="auto"/>
                      <w:szCs w:val="21"/>
                    </w:rPr>
                    <w:t>5</w:t>
                  </w:r>
                  <w:r>
                    <w:rPr>
                      <w:rFonts w:hint="eastAsia" w:ascii="宋体" w:hAnsi="宋体" w:cs="宋体"/>
                      <w:color w:val="auto"/>
                      <w:szCs w:val="21"/>
                      <w:lang w:eastAsia="zh-CN"/>
                    </w:rPr>
                    <w:t>、</w:t>
                  </w:r>
                  <w:r>
                    <w:rPr>
                      <w:rFonts w:hint="eastAsia" w:ascii="宋体" w:hAnsi="宋体" w:cs="宋体"/>
                      <w:color w:val="auto"/>
                      <w:szCs w:val="21"/>
                    </w:rPr>
                    <w:t>针对食物中毒事件及食品质量问题的预应急处理方案；</w:t>
                  </w:r>
                </w:p>
                <w:p w14:paraId="608E2521">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6</w:t>
                  </w:r>
                  <w:r>
                    <w:rPr>
                      <w:rFonts w:hint="eastAsia" w:ascii="宋体" w:hAnsi="宋体" w:cs="宋体"/>
                      <w:color w:val="auto"/>
                      <w:szCs w:val="21"/>
                      <w:lang w:eastAsia="zh-CN"/>
                    </w:rPr>
                    <w:t>、</w:t>
                  </w:r>
                  <w:r>
                    <w:rPr>
                      <w:rFonts w:hint="eastAsia" w:ascii="宋体" w:hAnsi="宋体" w:cs="宋体"/>
                      <w:color w:val="auto"/>
                      <w:szCs w:val="21"/>
                      <w:lang w:val="zh-CN"/>
                    </w:rPr>
                    <w:t>物流配送应急预案。</w:t>
                  </w:r>
                </w:p>
                <w:p w14:paraId="73F6E13A">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eastAsia="宋体" w:cs="宋体"/>
                      <w:b/>
                      <w:bCs/>
                      <w:color w:val="auto"/>
                      <w:sz w:val="21"/>
                      <w:szCs w:val="21"/>
                      <w:highlight w:val="none"/>
                      <w:lang w:eastAsia="zh-CN"/>
                    </w:rPr>
                    <w:t>评审标准：</w:t>
                  </w:r>
                </w:p>
                <w:p w14:paraId="13372F5F">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评审委员会根据招标文件的需求和投标文件的响应情况，进行评价及分档评分：</w:t>
                  </w:r>
                </w:p>
                <w:p w14:paraId="58AD6885">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eastAsia="zh-CN"/>
                    </w:rPr>
                  </w:pPr>
                  <w:r>
                    <w:rPr>
                      <w:rFonts w:hint="eastAsia" w:ascii="宋体" w:hAnsi="宋体" w:cs="宋体"/>
                      <w:color w:val="auto"/>
                      <w:szCs w:val="21"/>
                    </w:rPr>
                    <w:t>提供4点</w:t>
                  </w:r>
                  <w:r>
                    <w:rPr>
                      <w:rFonts w:hint="eastAsia" w:ascii="宋体" w:hAnsi="宋体" w:cs="宋体"/>
                      <w:color w:val="auto"/>
                      <w:szCs w:val="21"/>
                      <w:lang w:val="en-US" w:eastAsia="zh-CN"/>
                    </w:rPr>
                    <w:t>以上</w:t>
                  </w:r>
                  <w:r>
                    <w:rPr>
                      <w:rFonts w:hint="eastAsia" w:ascii="宋体" w:hAnsi="宋体" w:cs="宋体"/>
                      <w:color w:val="auto"/>
                      <w:szCs w:val="21"/>
                    </w:rPr>
                    <w:t>内容得40分</w:t>
                  </w:r>
                  <w:r>
                    <w:rPr>
                      <w:rFonts w:hint="eastAsia" w:ascii="宋体" w:hAnsi="宋体" w:cs="宋体"/>
                      <w:color w:val="auto"/>
                      <w:szCs w:val="21"/>
                      <w:lang w:eastAsia="zh-CN"/>
                    </w:rPr>
                    <w:t>；</w:t>
                  </w:r>
                </w:p>
                <w:p w14:paraId="3A763CEF">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eastAsia="zh-CN"/>
                    </w:rPr>
                  </w:pPr>
                  <w:r>
                    <w:rPr>
                      <w:rFonts w:hint="eastAsia" w:ascii="宋体" w:hAnsi="宋体" w:cs="宋体"/>
                      <w:color w:val="auto"/>
                      <w:szCs w:val="21"/>
                    </w:rPr>
                    <w:t>提供3点内容得30分</w:t>
                  </w:r>
                  <w:r>
                    <w:rPr>
                      <w:rFonts w:hint="eastAsia" w:ascii="宋体" w:hAnsi="宋体" w:cs="宋体"/>
                      <w:color w:val="auto"/>
                      <w:szCs w:val="21"/>
                      <w:lang w:eastAsia="zh-CN"/>
                    </w:rPr>
                    <w:t>；</w:t>
                  </w:r>
                </w:p>
                <w:p w14:paraId="6F545BA8">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eastAsia="zh-CN"/>
                    </w:rPr>
                  </w:pPr>
                  <w:r>
                    <w:rPr>
                      <w:rFonts w:hint="eastAsia" w:ascii="宋体" w:hAnsi="宋体" w:cs="宋体"/>
                      <w:color w:val="auto"/>
                      <w:szCs w:val="21"/>
                    </w:rPr>
                    <w:t>提供2点内容得20分</w:t>
                  </w:r>
                  <w:r>
                    <w:rPr>
                      <w:rFonts w:hint="eastAsia" w:ascii="宋体" w:hAnsi="宋体" w:cs="宋体"/>
                      <w:color w:val="auto"/>
                      <w:szCs w:val="21"/>
                      <w:lang w:eastAsia="zh-CN"/>
                    </w:rPr>
                    <w:t>；</w:t>
                  </w:r>
                </w:p>
                <w:p w14:paraId="434DD690">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eastAsia="zh-CN"/>
                    </w:rPr>
                  </w:pPr>
                  <w:r>
                    <w:rPr>
                      <w:rFonts w:hint="eastAsia" w:ascii="宋体" w:hAnsi="宋体" w:cs="宋体"/>
                      <w:color w:val="auto"/>
                      <w:szCs w:val="21"/>
                    </w:rPr>
                    <w:t>提供1点内容得10分</w:t>
                  </w:r>
                  <w:r>
                    <w:rPr>
                      <w:rFonts w:hint="eastAsia" w:ascii="宋体" w:hAnsi="宋体" w:cs="宋体"/>
                      <w:color w:val="auto"/>
                      <w:szCs w:val="21"/>
                      <w:lang w:eastAsia="zh-CN"/>
                    </w:rPr>
                    <w:t>；</w:t>
                  </w:r>
                </w:p>
                <w:p w14:paraId="24F75814">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rPr>
                    <w:t>未体现</w:t>
                  </w:r>
                  <w:r>
                    <w:rPr>
                      <w:rFonts w:hint="eastAsia" w:ascii="宋体" w:hAnsi="宋体" w:cs="宋体"/>
                      <w:color w:val="auto"/>
                      <w:szCs w:val="21"/>
                      <w:lang w:val="zh-CN"/>
                    </w:rPr>
                    <w:t>不得分。</w:t>
                  </w:r>
                </w:p>
                <w:p w14:paraId="0AEA2FF0">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eastAsia="宋体" w:cs="宋体"/>
                      <w:color w:val="auto"/>
                      <w:szCs w:val="21"/>
                      <w:highlight w:val="none"/>
                    </w:rPr>
                    <w:t>在此基础上，专家根据各投标人的具体响应内容按照量化的评审因素指标进一步评审：</w:t>
                  </w:r>
                  <w:r>
                    <w:rPr>
                      <w:rFonts w:hint="eastAsia" w:ascii="宋体" w:hAnsi="宋体" w:cs="宋体"/>
                      <w:color w:val="auto"/>
                      <w:szCs w:val="21"/>
                      <w:lang w:val="zh-CN"/>
                    </w:rPr>
                    <w:t>优评分标准: 处置方案完整、详细、科学，及时保质保量配送，可有效消除食物中毒事件及食品安全质量问题的负面影响。评价为优的加</w:t>
                  </w:r>
                  <w:r>
                    <w:rPr>
                      <w:rFonts w:hint="eastAsia" w:ascii="宋体" w:hAnsi="宋体" w:cs="宋体"/>
                      <w:color w:val="auto"/>
                      <w:szCs w:val="21"/>
                      <w:lang w:val="en-US" w:eastAsia="zh-CN"/>
                    </w:rPr>
                    <w:t>60分；</w:t>
                  </w:r>
                </w:p>
                <w:p w14:paraId="0774AB66">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良评分标准: 处理方案简单，及时保质保量配送，但可有效减轻食物中毒事件及食品质量问题负面影响的。评价为良的加</w:t>
                  </w:r>
                  <w:r>
                    <w:rPr>
                      <w:rFonts w:hint="eastAsia" w:ascii="宋体" w:hAnsi="宋体" w:cs="宋体"/>
                      <w:color w:val="auto"/>
                      <w:szCs w:val="21"/>
                      <w:lang w:val="en-US" w:eastAsia="zh-CN"/>
                    </w:rPr>
                    <w:t>30分；</w:t>
                  </w:r>
                </w:p>
                <w:p w14:paraId="7DD6452F">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cs="宋体"/>
                      <w:color w:val="auto"/>
                      <w:szCs w:val="21"/>
                      <w:lang w:val="zh-CN"/>
                    </w:rPr>
                  </w:pPr>
                  <w:r>
                    <w:rPr>
                      <w:rFonts w:hint="eastAsia" w:ascii="宋体" w:hAnsi="宋体" w:cs="宋体"/>
                      <w:color w:val="auto"/>
                      <w:szCs w:val="21"/>
                      <w:lang w:val="zh-CN"/>
                    </w:rPr>
                    <w:t>中评分标准：处理方案较为简单，保质保量配送</w:t>
                  </w:r>
                  <w:r>
                    <w:rPr>
                      <w:rFonts w:hint="eastAsia" w:ascii="宋体" w:hAnsi="宋体" w:cs="宋体"/>
                      <w:color w:val="auto"/>
                      <w:szCs w:val="21"/>
                    </w:rPr>
                    <w:t>,</w:t>
                  </w:r>
                  <w:r>
                    <w:rPr>
                      <w:rFonts w:hint="eastAsia" w:ascii="宋体" w:hAnsi="宋体" w:cs="宋体"/>
                      <w:color w:val="auto"/>
                      <w:szCs w:val="21"/>
                      <w:lang w:val="zh-CN"/>
                    </w:rPr>
                    <w:t>但可有效减轻食物中毒事件及食品质量问题负面影响的。评价为中的加</w:t>
                  </w:r>
                  <w:r>
                    <w:rPr>
                      <w:rFonts w:hint="eastAsia" w:ascii="宋体" w:hAnsi="宋体" w:cs="宋体"/>
                      <w:color w:val="auto"/>
                      <w:szCs w:val="21"/>
                      <w:lang w:val="en-US" w:eastAsia="zh-CN"/>
                    </w:rPr>
                    <w:t>10分；</w:t>
                  </w:r>
                </w:p>
                <w:p w14:paraId="63D0C918">
                  <w:pPr>
                    <w:keepNext w:val="0"/>
                    <w:keepLines w:val="0"/>
                    <w:pageBreakBefore w:val="0"/>
                    <w:kinsoku/>
                    <w:wordWrap/>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bCs/>
                      <w:color w:val="auto"/>
                      <w:kern w:val="2"/>
                      <w:sz w:val="21"/>
                      <w:szCs w:val="21"/>
                      <w:lang w:val="zh-CN" w:eastAsia="zh-CN" w:bidi="ar-SA"/>
                    </w:rPr>
                  </w:pPr>
                  <w:r>
                    <w:rPr>
                      <w:rFonts w:hint="eastAsia" w:ascii="宋体" w:hAnsi="宋体" w:cs="宋体"/>
                      <w:color w:val="auto"/>
                      <w:szCs w:val="21"/>
                      <w:lang w:val="zh-CN"/>
                    </w:rPr>
                    <w:t>差评分标准: 处理方案不完整或存在明显缺漏或未提供相关内容的不得分。评价为差的不加分。</w:t>
                  </w:r>
                </w:p>
              </w:tc>
            </w:tr>
            <w:tr w14:paraId="07E1ED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16D5BE00">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1B624963">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2835" w:type="dxa"/>
                  <w:tcBorders>
                    <w:top w:val="single" w:color="000000" w:sz="8" w:space="0"/>
                    <w:left w:val="single" w:color="000000" w:sz="8" w:space="0"/>
                    <w:bottom w:val="single" w:color="000000" w:sz="8" w:space="0"/>
                    <w:right w:val="single" w:color="000000" w:sz="8" w:space="0"/>
                  </w:tcBorders>
                  <w:vAlign w:val="center"/>
                </w:tcPr>
                <w:p w14:paraId="071C1DFB">
                  <w:pPr>
                    <w:keepNext w:val="0"/>
                    <w:keepLines w:val="0"/>
                    <w:pageBreakBefore w:val="0"/>
                    <w:kinsoku/>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szCs w:val="21"/>
                      <w:lang w:eastAsia="zh-CN"/>
                    </w:rPr>
                    <w:t>拟安排</w:t>
                  </w:r>
                  <w:r>
                    <w:rPr>
                      <w:rFonts w:hint="eastAsia" w:ascii="宋体" w:hAnsi="宋体" w:cs="宋体"/>
                      <w:color w:val="auto"/>
                      <w:szCs w:val="21"/>
                    </w:rPr>
                    <w:t>项目服务团队</w:t>
                  </w:r>
                  <w:r>
                    <w:rPr>
                      <w:rFonts w:hint="eastAsia" w:ascii="宋体" w:hAnsi="宋体" w:cs="宋体"/>
                      <w:color w:val="auto"/>
                      <w:szCs w:val="21"/>
                      <w:lang w:eastAsia="zh-CN"/>
                    </w:rPr>
                    <w:t>情况</w:t>
                  </w:r>
                </w:p>
              </w:tc>
              <w:tc>
                <w:tcPr>
                  <w:tcW w:w="681" w:type="dxa"/>
                  <w:tcBorders>
                    <w:top w:val="single" w:color="000000" w:sz="8" w:space="0"/>
                    <w:left w:val="single" w:color="000000" w:sz="8" w:space="0"/>
                    <w:bottom w:val="single" w:color="000000" w:sz="8" w:space="0"/>
                    <w:right w:val="single" w:color="000000" w:sz="8" w:space="0"/>
                  </w:tcBorders>
                  <w:vAlign w:val="center"/>
                </w:tcPr>
                <w:p w14:paraId="11DA7114">
                  <w:pPr>
                    <w:keepNext w:val="0"/>
                    <w:keepLines w:val="0"/>
                    <w:pageBreakBefore w:val="0"/>
                    <w:kinsoku/>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6</w:t>
                  </w:r>
                </w:p>
              </w:tc>
              <w:tc>
                <w:tcPr>
                  <w:tcW w:w="4196" w:type="dxa"/>
                  <w:tcBorders>
                    <w:top w:val="single" w:color="000000" w:sz="8" w:space="0"/>
                    <w:left w:val="single" w:color="000000" w:sz="8" w:space="0"/>
                    <w:bottom w:val="single" w:color="000000" w:sz="8" w:space="0"/>
                    <w:right w:val="single" w:color="000000" w:sz="8" w:space="0"/>
                  </w:tcBorders>
                  <w:vAlign w:val="top"/>
                </w:tcPr>
                <w:p w14:paraId="163B727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bCs/>
                      <w:color w:val="auto"/>
                      <w:szCs w:val="21"/>
                    </w:rPr>
                  </w:pPr>
                  <w:r>
                    <w:rPr>
                      <w:rFonts w:hint="eastAsia" w:ascii="宋体" w:hAnsi="宋体" w:eastAsia="宋体" w:cs="宋体"/>
                      <w:b/>
                      <w:bCs/>
                      <w:color w:val="auto"/>
                      <w:szCs w:val="21"/>
                      <w:lang w:eastAsia="zh-CN"/>
                    </w:rPr>
                    <w:t>考察内容</w:t>
                  </w:r>
                  <w:r>
                    <w:rPr>
                      <w:rFonts w:hint="eastAsia" w:ascii="宋体" w:hAnsi="宋体" w:eastAsia="宋体" w:cs="宋体"/>
                      <w:b/>
                      <w:bCs/>
                      <w:color w:val="auto"/>
                      <w:szCs w:val="21"/>
                    </w:rPr>
                    <w:t xml:space="preserve">： </w:t>
                  </w:r>
                </w:p>
                <w:p w14:paraId="3312D85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投标人拟安排的项目服务团队（项目负责人及团队人员）为投标人自有员工（提供社保证明），否则不得分，在此基础上：</w:t>
                  </w:r>
                  <w:r>
                    <w:rPr>
                      <w:rFonts w:hint="eastAsia" w:ascii="宋体" w:hAnsi="宋体" w:eastAsia="宋体" w:cs="宋体"/>
                      <w:color w:val="auto"/>
                      <w:szCs w:val="21"/>
                    </w:rPr>
                    <w:t xml:space="preserve"> </w:t>
                  </w:r>
                </w:p>
                <w:p w14:paraId="548E87C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bCs/>
                      <w:color w:val="auto"/>
                      <w:szCs w:val="21"/>
                    </w:rPr>
                  </w:pPr>
                  <w:r>
                    <w:rPr>
                      <w:rFonts w:hint="eastAsia" w:ascii="宋体" w:hAnsi="宋体" w:eastAsia="宋体" w:cs="宋体"/>
                      <w:b/>
                      <w:bCs/>
                      <w:color w:val="auto"/>
                      <w:szCs w:val="21"/>
                    </w:rPr>
                    <w:t>一、项目负责人（40分）</w:t>
                  </w:r>
                </w:p>
                <w:p w14:paraId="4E7818F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具有市场监督管理部门或食品药品监督管理部门颁发的高级食品安全管理 (人) 员证书(或高级食品安全管理(人)员考试合格证明证书)的，得</w:t>
                  </w:r>
                  <w:r>
                    <w:rPr>
                      <w:rFonts w:hint="eastAsia" w:ascii="宋体" w:hAnsi="宋体" w:cs="宋体"/>
                      <w:color w:val="auto"/>
                      <w:szCs w:val="21"/>
                      <w:lang w:val="en-US" w:eastAsia="zh-CN"/>
                    </w:rPr>
                    <w:t>4</w:t>
                  </w:r>
                  <w:r>
                    <w:rPr>
                      <w:rFonts w:hint="eastAsia" w:ascii="宋体" w:hAnsi="宋体" w:eastAsia="宋体" w:cs="宋体"/>
                      <w:color w:val="auto"/>
                      <w:szCs w:val="21"/>
                    </w:rPr>
                    <w:t>0分；</w:t>
                  </w:r>
                </w:p>
                <w:p w14:paraId="1759716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bCs/>
                      <w:color w:val="auto"/>
                      <w:szCs w:val="21"/>
                    </w:rPr>
                  </w:pPr>
                  <w:r>
                    <w:rPr>
                      <w:rFonts w:hint="eastAsia" w:ascii="宋体" w:hAnsi="宋体" w:eastAsia="宋体" w:cs="宋体"/>
                      <w:b/>
                      <w:bCs/>
                      <w:color w:val="auto"/>
                      <w:szCs w:val="21"/>
                    </w:rPr>
                    <w:t>二、项目团队人员（60分）</w:t>
                  </w:r>
                </w:p>
                <w:p w14:paraId="65CC705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lang w:eastAsia="zh-CN"/>
                    </w:rPr>
                    <w:t>、</w:t>
                  </w:r>
                  <w:r>
                    <w:rPr>
                      <w:rFonts w:hint="eastAsia" w:ascii="宋体" w:hAnsi="宋体" w:eastAsia="宋体" w:cs="宋体"/>
                      <w:color w:val="auto"/>
                      <w:szCs w:val="21"/>
                    </w:rPr>
                    <w:t>拟安排的项目团队人员具有市场监督管理部门或食品药品监督管理部门颁发的高级食品安全管理 (人) 员证书(或高级食品安全管理(人)员考试合格证明证书)的，每提供1人得20分，本项最高得60分；</w:t>
                  </w:r>
                </w:p>
                <w:p w14:paraId="66B6FB90">
                  <w:pPr>
                    <w:pageBreakBefore w:val="0"/>
                    <w:kinsoku/>
                    <w:overflowPunct/>
                    <w:topLinePunct w:val="0"/>
                    <w:bidi w:val="0"/>
                    <w:spacing w:line="360" w:lineRule="auto"/>
                    <w:ind w:firstLine="0" w:firstLineChars="0"/>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eastAsia="zh-CN"/>
                    </w:rPr>
                    <w:t>以上两项累计最高得</w:t>
                  </w:r>
                  <w:r>
                    <w:rPr>
                      <w:rFonts w:hint="eastAsia" w:ascii="宋体" w:hAnsi="宋体" w:eastAsia="宋体" w:cs="宋体"/>
                      <w:b w:val="0"/>
                      <w:bCs w:val="0"/>
                      <w:color w:val="auto"/>
                      <w:sz w:val="21"/>
                      <w:szCs w:val="21"/>
                      <w:lang w:val="en-US" w:eastAsia="zh-CN"/>
                    </w:rPr>
                    <w:t>100分</w:t>
                  </w:r>
                  <w:r>
                    <w:rPr>
                      <w:rFonts w:hint="eastAsia" w:ascii="宋体" w:hAnsi="宋体" w:cs="宋体"/>
                      <w:b w:val="0"/>
                      <w:bCs w:val="0"/>
                      <w:color w:val="auto"/>
                      <w:szCs w:val="21"/>
                      <w:lang w:eastAsia="zh-CN"/>
                    </w:rPr>
                    <w:t>，</w:t>
                  </w:r>
                  <w:r>
                    <w:rPr>
                      <w:rFonts w:hint="eastAsia" w:ascii="宋体" w:hAnsi="宋体" w:cs="宋体"/>
                      <w:b w:val="0"/>
                      <w:bCs w:val="0"/>
                      <w:color w:val="auto"/>
                      <w:szCs w:val="21"/>
                    </w:rPr>
                    <w:t>同一人员具有多个证书的</w:t>
                  </w:r>
                  <w:r>
                    <w:rPr>
                      <w:rFonts w:hint="eastAsia" w:ascii="宋体" w:hAnsi="宋体" w:cs="宋体"/>
                      <w:b w:val="0"/>
                      <w:bCs w:val="0"/>
                      <w:color w:val="auto"/>
                      <w:szCs w:val="21"/>
                      <w:lang w:eastAsia="zh-CN"/>
                    </w:rPr>
                    <w:t>，</w:t>
                  </w:r>
                  <w:r>
                    <w:rPr>
                      <w:rFonts w:hint="eastAsia" w:ascii="宋体" w:hAnsi="宋体" w:cs="宋体"/>
                      <w:b w:val="0"/>
                      <w:bCs w:val="0"/>
                      <w:color w:val="auto"/>
                      <w:szCs w:val="21"/>
                      <w:lang w:val="en-US" w:eastAsia="zh-CN"/>
                    </w:rPr>
                    <w:t>可以</w:t>
                  </w:r>
                  <w:r>
                    <w:rPr>
                      <w:rFonts w:hint="eastAsia" w:ascii="宋体" w:hAnsi="宋体" w:cs="宋体"/>
                      <w:b w:val="0"/>
                      <w:bCs w:val="0"/>
                      <w:color w:val="auto"/>
                      <w:szCs w:val="21"/>
                    </w:rPr>
                    <w:t>累计得分</w:t>
                  </w:r>
                  <w:r>
                    <w:rPr>
                      <w:rFonts w:hint="eastAsia" w:ascii="宋体" w:hAnsi="宋体" w:eastAsia="宋体" w:cs="宋体"/>
                      <w:b w:val="0"/>
                      <w:bCs w:val="0"/>
                      <w:color w:val="auto"/>
                      <w:sz w:val="21"/>
                      <w:szCs w:val="21"/>
                      <w:lang w:val="en-US" w:eastAsia="zh-CN"/>
                    </w:rPr>
                    <w:t>。</w:t>
                  </w:r>
                </w:p>
                <w:p w14:paraId="133FB6F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bCs/>
                      <w:color w:val="auto"/>
                      <w:szCs w:val="21"/>
                      <w:lang w:eastAsia="zh-CN"/>
                    </w:rPr>
                  </w:pPr>
                  <w:r>
                    <w:rPr>
                      <w:rFonts w:hint="eastAsia" w:ascii="宋体" w:hAnsi="宋体" w:eastAsia="宋体" w:cs="宋体"/>
                      <w:b/>
                      <w:bCs/>
                      <w:color w:val="auto"/>
                      <w:szCs w:val="21"/>
                      <w:lang w:eastAsia="zh-CN"/>
                    </w:rPr>
                    <w:t>证明文件：</w:t>
                  </w:r>
                </w:p>
                <w:p w14:paraId="5EDD473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lang w:eastAsia="zh-CN"/>
                    </w:rPr>
                    <w:t>、</w:t>
                  </w:r>
                  <w:r>
                    <w:rPr>
                      <w:rFonts w:hint="eastAsia" w:ascii="宋体" w:hAnsi="宋体" w:eastAsia="宋体" w:cs="宋体"/>
                      <w:color w:val="auto"/>
                      <w:szCs w:val="21"/>
                    </w:rPr>
                    <w:t xml:space="preserve">提供开标日前由投标人为相关人员缴交的载有政府部门公章（或专用章）的 </w:t>
                  </w:r>
                  <w:r>
                    <w:rPr>
                      <w:rFonts w:hint="eastAsia" w:ascii="宋体" w:hAnsi="宋体" w:cs="宋体"/>
                      <w:color w:val="auto"/>
                      <w:szCs w:val="21"/>
                      <w:lang w:eastAsia="zh-CN"/>
                    </w:rPr>
                    <w:t>202</w:t>
                  </w:r>
                  <w:r>
                    <w:rPr>
                      <w:rFonts w:hint="eastAsia" w:ascii="宋体" w:hAnsi="宋体" w:cs="宋体"/>
                      <w:color w:val="auto"/>
                      <w:szCs w:val="21"/>
                      <w:lang w:val="en-US" w:eastAsia="zh-CN"/>
                    </w:rPr>
                    <w:t>5</w:t>
                  </w:r>
                  <w:r>
                    <w:rPr>
                      <w:rFonts w:hint="eastAsia" w:ascii="宋体" w:hAnsi="宋体" w:eastAsia="宋体" w:cs="宋体"/>
                      <w:color w:val="auto"/>
                      <w:szCs w:val="21"/>
                    </w:rPr>
                    <w:t>年</w:t>
                  </w:r>
                  <w:r>
                    <w:rPr>
                      <w:rFonts w:hint="eastAsia" w:ascii="宋体" w:hAnsi="宋体" w:eastAsia="宋体" w:cs="宋体"/>
                      <w:color w:val="auto"/>
                      <w:szCs w:val="21"/>
                      <w:lang w:val="en-US" w:eastAsia="zh-CN"/>
                    </w:rPr>
                    <w:t>1</w:t>
                  </w:r>
                  <w:r>
                    <w:rPr>
                      <w:rFonts w:hint="eastAsia" w:ascii="宋体" w:hAnsi="宋体" w:eastAsia="宋体" w:cs="宋体"/>
                      <w:color w:val="auto"/>
                      <w:szCs w:val="21"/>
                    </w:rPr>
                    <w:t>月</w:t>
                  </w:r>
                  <w:r>
                    <w:rPr>
                      <w:rFonts w:hint="eastAsia" w:ascii="宋体" w:hAnsi="宋体" w:eastAsia="宋体" w:cs="宋体"/>
                      <w:color w:val="auto"/>
                      <w:szCs w:val="21"/>
                      <w:lang w:val="en-US" w:eastAsia="zh-CN"/>
                    </w:rPr>
                    <w:t>至</w:t>
                  </w:r>
                  <w:r>
                    <w:rPr>
                      <w:rFonts w:hint="eastAsia" w:ascii="宋体" w:hAnsi="宋体" w:cs="宋体"/>
                      <w:color w:val="auto"/>
                      <w:szCs w:val="21"/>
                      <w:lang w:val="en-US" w:eastAsia="zh-CN"/>
                    </w:rPr>
                    <w:t>2025</w:t>
                  </w:r>
                  <w:r>
                    <w:rPr>
                      <w:rFonts w:hint="eastAsia" w:ascii="宋体" w:hAnsi="宋体" w:eastAsia="宋体" w:cs="宋体"/>
                      <w:color w:val="auto"/>
                      <w:szCs w:val="21"/>
                      <w:lang w:val="en-US" w:eastAsia="zh-CN"/>
                    </w:rPr>
                    <w:t>年</w:t>
                  </w:r>
                  <w:r>
                    <w:rPr>
                      <w:rFonts w:hint="eastAsia" w:ascii="宋体" w:hAnsi="宋体" w:cs="宋体"/>
                      <w:color w:val="auto"/>
                      <w:szCs w:val="21"/>
                      <w:lang w:val="en-US" w:eastAsia="zh-CN"/>
                    </w:rPr>
                    <w:t>3</w:t>
                  </w:r>
                  <w:r>
                    <w:rPr>
                      <w:rFonts w:hint="eastAsia" w:ascii="宋体" w:hAnsi="宋体" w:eastAsia="宋体" w:cs="宋体"/>
                      <w:color w:val="auto"/>
                      <w:szCs w:val="21"/>
                      <w:lang w:val="en-US" w:eastAsia="zh-CN"/>
                    </w:rPr>
                    <w:t>月</w:t>
                  </w:r>
                  <w:r>
                    <w:rPr>
                      <w:rFonts w:hint="eastAsia" w:ascii="宋体" w:hAnsi="宋体" w:eastAsia="宋体" w:cs="宋体"/>
                      <w:color w:val="auto"/>
                      <w:szCs w:val="21"/>
                    </w:rPr>
                    <w:t>的社保缴交证明材料（已退休返聘人员需提供聘用合同），如开标日上一个月的社保材料因政府部门原因暂时无法取得，则可以往前顺延一个月；社保资料至少显示缴交养老保险信息，未显示该信息的该社保资料则不符合要求。如供应商为新成立企业且成立时间不足3个月的，可提供加盖公章的情况说明或其他相关证明材料；</w:t>
                  </w:r>
                </w:p>
                <w:p w14:paraId="0DAA37B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2、</w:t>
                  </w:r>
                  <w:r>
                    <w:rPr>
                      <w:rFonts w:hint="eastAsia" w:ascii="宋体" w:hAnsi="宋体" w:eastAsia="宋体" w:cs="宋体"/>
                      <w:color w:val="auto"/>
                      <w:szCs w:val="21"/>
                    </w:rPr>
                    <w:t>提供</w:t>
                  </w:r>
                  <w:r>
                    <w:rPr>
                      <w:rFonts w:hint="eastAsia" w:ascii="宋体" w:hAnsi="宋体" w:eastAsia="宋体" w:cs="宋体"/>
                      <w:color w:val="auto"/>
                      <w:szCs w:val="21"/>
                      <w:lang w:eastAsia="zh-CN"/>
                    </w:rPr>
                    <w:t>有效期内的</w:t>
                  </w:r>
                  <w:r>
                    <w:rPr>
                      <w:rFonts w:hint="eastAsia" w:ascii="宋体" w:hAnsi="宋体" w:eastAsia="宋体" w:cs="宋体"/>
                      <w:color w:val="auto"/>
                      <w:szCs w:val="21"/>
                    </w:rPr>
                    <w:t>证书扫描件</w:t>
                  </w:r>
                  <w:r>
                    <w:rPr>
                      <w:rFonts w:hint="eastAsia" w:ascii="宋体" w:hAnsi="宋体" w:cs="宋体"/>
                      <w:color w:val="auto"/>
                      <w:szCs w:val="21"/>
                      <w:lang w:eastAsia="zh-CN"/>
                    </w:rPr>
                    <w:t>，</w:t>
                  </w:r>
                  <w:r>
                    <w:rPr>
                      <w:rFonts w:hint="eastAsia" w:ascii="宋体" w:hAnsi="宋体" w:cs="宋体"/>
                      <w:color w:val="auto"/>
                      <w:szCs w:val="21"/>
                      <w:lang w:val="en-US" w:eastAsia="zh-CN"/>
                    </w:rPr>
                    <w:t>原件备查</w:t>
                  </w:r>
                  <w:r>
                    <w:rPr>
                      <w:rFonts w:hint="eastAsia" w:ascii="宋体" w:hAnsi="宋体" w:eastAsia="宋体" w:cs="宋体"/>
                      <w:color w:val="auto"/>
                      <w:szCs w:val="21"/>
                    </w:rPr>
                    <w:t xml:space="preserve">； </w:t>
                  </w:r>
                </w:p>
                <w:p w14:paraId="0EAA882D">
                  <w:pPr>
                    <w:keepNext w:val="0"/>
                    <w:keepLines w:val="0"/>
                    <w:pageBreakBefore w:val="0"/>
                    <w:widowControl w:val="0"/>
                    <w:kinsoku/>
                    <w:wordWrap w:val="0"/>
                    <w:overflowPunct/>
                    <w:topLinePunct w:val="0"/>
                    <w:autoSpaceDE/>
                    <w:autoSpaceDN/>
                    <w:bidi w:val="0"/>
                    <w:adjustRightInd/>
                    <w:snapToGrid/>
                    <w:spacing w:line="360" w:lineRule="auto"/>
                    <w:ind w:firstLine="0" w:firstLineChars="0"/>
                    <w:textAlignment w:val="auto"/>
                    <w:rPr>
                      <w:color w:val="auto"/>
                    </w:rPr>
                  </w:pPr>
                  <w:r>
                    <w:rPr>
                      <w:rFonts w:hint="eastAsia" w:ascii="宋体" w:hAnsi="宋体" w:eastAsia="宋体" w:cs="宋体"/>
                      <w:color w:val="auto"/>
                      <w:szCs w:val="21"/>
                      <w:lang w:val="en-US" w:eastAsia="zh-CN"/>
                    </w:rPr>
                    <w:t>3、提供证书扫描件</w:t>
                  </w:r>
                  <w:r>
                    <w:rPr>
                      <w:rFonts w:hint="eastAsia" w:ascii="宋体" w:hAnsi="宋体" w:cs="宋体"/>
                      <w:color w:val="auto"/>
                      <w:szCs w:val="21"/>
                      <w:lang w:val="en-US" w:eastAsia="zh-CN"/>
                    </w:rPr>
                    <w:t>及</w:t>
                  </w:r>
                  <w:r>
                    <w:rPr>
                      <w:rFonts w:hint="eastAsia" w:ascii="宋体" w:hAnsi="宋体" w:eastAsia="宋体" w:cs="宋体"/>
                      <w:color w:val="auto"/>
                      <w:szCs w:val="21"/>
                      <w:lang w:val="en-US" w:eastAsia="zh-CN"/>
                    </w:rPr>
                    <w:t>技能人才评价证书全国联网查询截图（http://zscx.osta.org.cn/）</w:t>
                  </w:r>
                  <w:r>
                    <w:rPr>
                      <w:rFonts w:hint="eastAsia" w:ascii="宋体" w:hAnsi="宋体" w:cs="宋体"/>
                      <w:color w:val="auto"/>
                      <w:szCs w:val="21"/>
                      <w:lang w:val="en-US" w:eastAsia="zh-CN"/>
                    </w:rPr>
                    <w:t>或省级以上人民政府部门官网查询截图，</w:t>
                  </w:r>
                  <w:r>
                    <w:rPr>
                      <w:rFonts w:hint="eastAsia" w:ascii="宋体" w:hAnsi="宋体" w:cs="宋体"/>
                      <w:color w:val="auto"/>
                      <w:szCs w:val="21"/>
                    </w:rPr>
                    <w:t>相关证书在</w:t>
                  </w:r>
                  <w:r>
                    <w:rPr>
                      <w:rFonts w:hint="eastAsia" w:ascii="宋体" w:hAnsi="宋体" w:cs="宋体"/>
                      <w:color w:val="auto"/>
                      <w:szCs w:val="21"/>
                      <w:lang w:val="en-US" w:eastAsia="zh-CN"/>
                    </w:rPr>
                    <w:t>上述</w:t>
                  </w:r>
                  <w:r>
                    <w:rPr>
                      <w:rFonts w:hint="eastAsia" w:ascii="宋体" w:hAnsi="宋体" w:cs="宋体"/>
                      <w:color w:val="auto"/>
                      <w:szCs w:val="21"/>
                    </w:rPr>
                    <w:t>公开渠道无法查询的，需提供颁发部门、检验检测机构或者监管机构的证明材料，证明证书或检验检测报告真实有效且为合法机构颁发。</w:t>
                  </w:r>
                </w:p>
                <w:p w14:paraId="73B0B07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szCs w:val="21"/>
                      <w:lang w:val="en-US" w:eastAsia="zh-CN"/>
                    </w:rPr>
                    <w:t>4</w:t>
                  </w:r>
                  <w:r>
                    <w:rPr>
                      <w:rFonts w:hint="eastAsia" w:ascii="宋体" w:hAnsi="宋体" w:eastAsia="宋体" w:cs="宋体"/>
                      <w:color w:val="auto"/>
                      <w:szCs w:val="21"/>
                      <w:lang w:val="en-US" w:eastAsia="zh-CN"/>
                    </w:rPr>
                    <w:t>、未提供或未按要求提供或提供的不清晰导致专家无法判断的，不得分。</w:t>
                  </w:r>
                </w:p>
              </w:tc>
            </w:tr>
            <w:tr w14:paraId="3C642F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7E2E0AA5">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2DE056EA">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2835" w:type="dxa"/>
                  <w:tcBorders>
                    <w:top w:val="single" w:color="000000" w:sz="8" w:space="0"/>
                    <w:left w:val="single" w:color="000000" w:sz="8" w:space="0"/>
                    <w:bottom w:val="single" w:color="000000" w:sz="8" w:space="0"/>
                    <w:right w:val="single" w:color="000000" w:sz="8" w:space="0"/>
                  </w:tcBorders>
                  <w:vAlign w:val="center"/>
                </w:tcPr>
                <w:p w14:paraId="4D80F587">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szCs w:val="21"/>
                    </w:rPr>
                    <w:t>拟投入本项目冷库（含冷冻库及冷藏库）情况</w:t>
                  </w:r>
                </w:p>
              </w:tc>
              <w:tc>
                <w:tcPr>
                  <w:tcW w:w="681" w:type="dxa"/>
                  <w:tcBorders>
                    <w:top w:val="single" w:color="000000" w:sz="8" w:space="0"/>
                    <w:left w:val="single" w:color="000000" w:sz="8" w:space="0"/>
                    <w:bottom w:val="single" w:color="000000" w:sz="8" w:space="0"/>
                    <w:right w:val="single" w:color="000000" w:sz="8" w:space="0"/>
                  </w:tcBorders>
                  <w:vAlign w:val="center"/>
                </w:tcPr>
                <w:p w14:paraId="3C755744">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8</w:t>
                  </w:r>
                </w:p>
              </w:tc>
              <w:tc>
                <w:tcPr>
                  <w:tcW w:w="4196" w:type="dxa"/>
                  <w:tcBorders>
                    <w:top w:val="single" w:color="000000" w:sz="8" w:space="0"/>
                    <w:left w:val="single" w:color="000000" w:sz="8" w:space="0"/>
                    <w:bottom w:val="single" w:color="000000" w:sz="8" w:space="0"/>
                    <w:right w:val="single" w:color="000000" w:sz="8" w:space="0"/>
                  </w:tcBorders>
                  <w:vAlign w:val="top"/>
                </w:tcPr>
                <w:p w14:paraId="2CCD46A6">
                  <w:pPr>
                    <w:keepNext w:val="0"/>
                    <w:keepLines w:val="0"/>
                    <w:pageBreakBefore w:val="0"/>
                    <w:kinsoku/>
                    <w:overflowPunct/>
                    <w:topLinePunct w:val="0"/>
                    <w:autoSpaceDE w:val="0"/>
                    <w:bidi w:val="0"/>
                    <w:snapToGrid/>
                    <w:spacing w:line="360" w:lineRule="auto"/>
                    <w:ind w:firstLine="0" w:firstLineChars="0"/>
                    <w:textAlignment w:val="auto"/>
                    <w:rPr>
                      <w:rFonts w:hint="eastAsia" w:ascii="宋体" w:hAnsi="宋体" w:cs="宋体"/>
                      <w:b/>
                      <w:bCs/>
                      <w:color w:val="auto"/>
                      <w:kern w:val="0"/>
                      <w:szCs w:val="21"/>
                    </w:rPr>
                  </w:pPr>
                  <w:r>
                    <w:rPr>
                      <w:rFonts w:hint="eastAsia" w:ascii="宋体" w:hAnsi="宋体" w:eastAsia="宋体" w:cs="宋体"/>
                      <w:b/>
                      <w:bCs/>
                      <w:color w:val="auto"/>
                      <w:szCs w:val="21"/>
                      <w:lang w:eastAsia="zh-CN"/>
                    </w:rPr>
                    <w:t>考察内容</w:t>
                  </w:r>
                  <w:r>
                    <w:rPr>
                      <w:rFonts w:hint="eastAsia" w:ascii="宋体" w:hAnsi="宋体" w:cs="宋体"/>
                      <w:b/>
                      <w:bCs/>
                      <w:color w:val="auto"/>
                      <w:kern w:val="0"/>
                      <w:szCs w:val="21"/>
                    </w:rPr>
                    <w:t>：</w:t>
                  </w:r>
                </w:p>
                <w:p w14:paraId="298C128C">
                  <w:pPr>
                    <w:keepNext w:val="0"/>
                    <w:keepLines w:val="0"/>
                    <w:pageBreakBefore w:val="0"/>
                    <w:kinsoku/>
                    <w:overflowPunct/>
                    <w:topLinePunct w:val="0"/>
                    <w:autoSpaceDE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szCs w:val="21"/>
                    </w:rPr>
                    <w:t>投标人</w:t>
                  </w:r>
                  <w:r>
                    <w:rPr>
                      <w:rFonts w:hint="eastAsia" w:ascii="宋体" w:hAnsi="宋体" w:cs="宋体"/>
                      <w:color w:val="auto"/>
                      <w:szCs w:val="21"/>
                      <w:lang w:eastAsia="zh-CN"/>
                    </w:rPr>
                    <w:t>拟投入本项目的冷库（</w:t>
                  </w:r>
                  <w:r>
                    <w:rPr>
                      <w:rFonts w:hint="eastAsia" w:ascii="宋体" w:hAnsi="宋体" w:cs="宋体"/>
                      <w:color w:val="auto"/>
                      <w:szCs w:val="21"/>
                    </w:rPr>
                    <w:t>自有或租赁</w:t>
                  </w:r>
                  <w:r>
                    <w:rPr>
                      <w:rFonts w:hint="eastAsia" w:ascii="宋体" w:hAnsi="宋体" w:cs="宋体"/>
                      <w:color w:val="auto"/>
                      <w:szCs w:val="21"/>
                      <w:lang w:eastAsia="zh-CN"/>
                    </w:rPr>
                    <w:t>均可）具有</w:t>
                  </w:r>
                  <w:r>
                    <w:rPr>
                      <w:rFonts w:hint="eastAsia" w:ascii="宋体" w:hAnsi="宋体" w:cs="宋体"/>
                      <w:color w:val="auto"/>
                      <w:szCs w:val="21"/>
                    </w:rPr>
                    <w:t>冷库消毒证明文件</w:t>
                  </w:r>
                  <w:r>
                    <w:rPr>
                      <w:rFonts w:hint="eastAsia" w:ascii="宋体" w:hAnsi="宋体" w:cs="宋体"/>
                      <w:color w:val="auto"/>
                      <w:szCs w:val="21"/>
                      <w:lang w:eastAsia="zh-CN"/>
                    </w:rPr>
                    <w:t>及温度校准文件</w:t>
                  </w:r>
                  <w:r>
                    <w:rPr>
                      <w:rFonts w:hint="eastAsia" w:ascii="宋体" w:hAnsi="宋体" w:cs="宋体"/>
                      <w:color w:val="auto"/>
                      <w:szCs w:val="21"/>
                    </w:rPr>
                    <w:t>（证明文件日期</w:t>
                  </w:r>
                  <w:r>
                    <w:rPr>
                      <w:rFonts w:hint="eastAsia" w:ascii="宋体" w:hAnsi="宋体" w:cs="宋体"/>
                      <w:color w:val="auto"/>
                      <w:szCs w:val="21"/>
                      <w:lang w:eastAsia="zh-CN"/>
                    </w:rPr>
                    <w:t>需</w:t>
                  </w:r>
                  <w:r>
                    <w:rPr>
                      <w:rFonts w:hint="eastAsia" w:ascii="宋体" w:hAnsi="宋体" w:cs="宋体"/>
                      <w:color w:val="auto"/>
                      <w:szCs w:val="21"/>
                    </w:rPr>
                    <w:t>在投标截止时间前）</w:t>
                  </w:r>
                  <w:r>
                    <w:rPr>
                      <w:rFonts w:hint="eastAsia" w:ascii="宋体" w:hAnsi="宋体" w:cs="宋体"/>
                      <w:color w:val="auto"/>
                      <w:szCs w:val="21"/>
                      <w:lang w:eastAsia="zh-CN"/>
                    </w:rPr>
                    <w:t>，否则不得分，</w:t>
                  </w:r>
                  <w:r>
                    <w:rPr>
                      <w:rFonts w:hint="eastAsia" w:ascii="宋体" w:hAnsi="宋体" w:cs="宋体"/>
                      <w:color w:val="auto"/>
                      <w:szCs w:val="21"/>
                    </w:rPr>
                    <w:t xml:space="preserve">在满足消毒要求的基础上，根据冷库（含冷冻库及冷藏库）容积进行评分： </w:t>
                  </w:r>
                </w:p>
                <w:p w14:paraId="54D7A301">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1</w:t>
                  </w:r>
                  <w:r>
                    <w:rPr>
                      <w:rFonts w:hint="eastAsia" w:ascii="宋体" w:hAnsi="宋体" w:cs="宋体"/>
                      <w:color w:val="auto"/>
                      <w:kern w:val="0"/>
                      <w:szCs w:val="21"/>
                      <w:lang w:eastAsia="zh-CN"/>
                    </w:rPr>
                    <w:t>、</w:t>
                  </w:r>
                  <w:r>
                    <w:rPr>
                      <w:rFonts w:hint="eastAsia" w:ascii="宋体" w:hAnsi="宋体" w:cs="宋体"/>
                      <w:color w:val="auto"/>
                      <w:kern w:val="0"/>
                      <w:szCs w:val="21"/>
                    </w:rPr>
                    <w:t>冷库</w:t>
                  </w:r>
                  <w:r>
                    <w:rPr>
                      <w:rFonts w:hint="eastAsia" w:ascii="宋体" w:hAnsi="宋体" w:cs="宋体"/>
                      <w:color w:val="auto"/>
                      <w:kern w:val="0"/>
                      <w:szCs w:val="21"/>
                      <w:lang w:eastAsia="zh-CN"/>
                    </w:rPr>
                    <w:t>容积</w:t>
                  </w:r>
                  <w:r>
                    <w:rPr>
                      <w:rFonts w:hint="eastAsia" w:ascii="宋体" w:hAnsi="宋体" w:cs="宋体"/>
                      <w:color w:val="auto"/>
                      <w:kern w:val="0"/>
                      <w:szCs w:val="21"/>
                    </w:rPr>
                    <w:t>≥1000立方米，得100</w:t>
                  </w:r>
                  <w:r>
                    <w:rPr>
                      <w:rFonts w:hint="eastAsia" w:ascii="宋体" w:hAnsi="宋体" w:cs="宋体"/>
                      <w:color w:val="auto"/>
                      <w:szCs w:val="21"/>
                    </w:rPr>
                    <w:t>分</w:t>
                  </w:r>
                  <w:r>
                    <w:rPr>
                      <w:rFonts w:hint="eastAsia" w:ascii="宋体" w:hAnsi="宋体" w:cs="宋体"/>
                      <w:color w:val="auto"/>
                      <w:kern w:val="0"/>
                      <w:szCs w:val="21"/>
                    </w:rPr>
                    <w:t>；</w:t>
                  </w:r>
                </w:p>
                <w:p w14:paraId="3C9A27C2">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2</w:t>
                  </w:r>
                  <w:r>
                    <w:rPr>
                      <w:rFonts w:hint="eastAsia" w:ascii="宋体" w:hAnsi="宋体" w:cs="宋体"/>
                      <w:color w:val="auto"/>
                      <w:kern w:val="0"/>
                      <w:szCs w:val="21"/>
                      <w:lang w:eastAsia="zh-CN"/>
                    </w:rPr>
                    <w:t>、</w:t>
                  </w:r>
                  <w:r>
                    <w:rPr>
                      <w:rFonts w:hint="eastAsia" w:ascii="宋体" w:hAnsi="宋体" w:cs="宋体"/>
                      <w:color w:val="auto"/>
                      <w:kern w:val="0"/>
                      <w:szCs w:val="21"/>
                    </w:rPr>
                    <w:t>700立方米≤冷库</w:t>
                  </w:r>
                  <w:r>
                    <w:rPr>
                      <w:rFonts w:hint="eastAsia" w:ascii="宋体" w:hAnsi="宋体" w:cs="宋体"/>
                      <w:color w:val="auto"/>
                      <w:kern w:val="0"/>
                      <w:szCs w:val="21"/>
                      <w:lang w:eastAsia="zh-CN"/>
                    </w:rPr>
                    <w:t>容积</w:t>
                  </w:r>
                  <w:r>
                    <w:rPr>
                      <w:rFonts w:hint="eastAsia" w:ascii="宋体" w:hAnsi="宋体" w:cs="宋体"/>
                      <w:color w:val="auto"/>
                      <w:kern w:val="0"/>
                      <w:szCs w:val="21"/>
                    </w:rPr>
                    <w:t>＜1000立方米的得60</w:t>
                  </w:r>
                  <w:r>
                    <w:rPr>
                      <w:rFonts w:hint="eastAsia" w:ascii="宋体" w:hAnsi="宋体" w:cs="宋体"/>
                      <w:color w:val="auto"/>
                      <w:szCs w:val="21"/>
                    </w:rPr>
                    <w:t>分</w:t>
                  </w:r>
                  <w:r>
                    <w:rPr>
                      <w:rFonts w:hint="eastAsia" w:ascii="宋体" w:hAnsi="宋体" w:cs="宋体"/>
                      <w:color w:val="auto"/>
                      <w:kern w:val="0"/>
                      <w:szCs w:val="21"/>
                    </w:rPr>
                    <w:t>；</w:t>
                  </w:r>
                </w:p>
                <w:p w14:paraId="009E7605">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3</w:t>
                  </w:r>
                  <w:r>
                    <w:rPr>
                      <w:rFonts w:hint="eastAsia" w:ascii="宋体" w:hAnsi="宋体" w:cs="宋体"/>
                      <w:color w:val="auto"/>
                      <w:kern w:val="0"/>
                      <w:szCs w:val="21"/>
                      <w:lang w:eastAsia="zh-CN"/>
                    </w:rPr>
                    <w:t>、</w:t>
                  </w:r>
                  <w:r>
                    <w:rPr>
                      <w:rFonts w:hint="eastAsia" w:ascii="宋体" w:hAnsi="宋体" w:cs="宋体"/>
                      <w:color w:val="auto"/>
                      <w:kern w:val="0"/>
                      <w:szCs w:val="21"/>
                    </w:rPr>
                    <w:t>500立方米≤冷库</w:t>
                  </w:r>
                  <w:r>
                    <w:rPr>
                      <w:rFonts w:hint="eastAsia" w:ascii="宋体" w:hAnsi="宋体" w:cs="宋体"/>
                      <w:color w:val="auto"/>
                      <w:kern w:val="0"/>
                      <w:szCs w:val="21"/>
                      <w:lang w:eastAsia="zh-CN"/>
                    </w:rPr>
                    <w:t>容积</w:t>
                  </w:r>
                  <w:r>
                    <w:rPr>
                      <w:rFonts w:hint="eastAsia" w:ascii="宋体" w:hAnsi="宋体" w:cs="宋体"/>
                      <w:color w:val="auto"/>
                      <w:kern w:val="0"/>
                      <w:szCs w:val="21"/>
                    </w:rPr>
                    <w:t>＜700立方米的得30</w:t>
                  </w:r>
                  <w:r>
                    <w:rPr>
                      <w:rFonts w:hint="eastAsia" w:ascii="宋体" w:hAnsi="宋体" w:cs="宋体"/>
                      <w:color w:val="auto"/>
                      <w:szCs w:val="21"/>
                    </w:rPr>
                    <w:t>分</w:t>
                  </w:r>
                  <w:r>
                    <w:rPr>
                      <w:rFonts w:hint="eastAsia" w:ascii="宋体" w:hAnsi="宋体" w:cs="宋体"/>
                      <w:color w:val="auto"/>
                      <w:kern w:val="0"/>
                      <w:szCs w:val="21"/>
                    </w:rPr>
                    <w:t>；</w:t>
                  </w:r>
                </w:p>
                <w:p w14:paraId="27DD3582">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4</w:t>
                  </w:r>
                  <w:r>
                    <w:rPr>
                      <w:rFonts w:hint="eastAsia" w:ascii="宋体" w:hAnsi="宋体" w:cs="宋体"/>
                      <w:color w:val="auto"/>
                      <w:kern w:val="0"/>
                      <w:szCs w:val="21"/>
                      <w:lang w:eastAsia="zh-CN"/>
                    </w:rPr>
                    <w:t>、</w:t>
                  </w:r>
                  <w:r>
                    <w:rPr>
                      <w:rFonts w:hint="eastAsia" w:ascii="宋体" w:hAnsi="宋体" w:cs="宋体"/>
                      <w:color w:val="auto"/>
                      <w:kern w:val="0"/>
                      <w:szCs w:val="21"/>
                    </w:rPr>
                    <w:t>300立方米≤冷库</w:t>
                  </w:r>
                  <w:r>
                    <w:rPr>
                      <w:rFonts w:hint="eastAsia" w:ascii="宋体" w:hAnsi="宋体" w:cs="宋体"/>
                      <w:color w:val="auto"/>
                      <w:kern w:val="0"/>
                      <w:szCs w:val="21"/>
                      <w:lang w:eastAsia="zh-CN"/>
                    </w:rPr>
                    <w:t>容积</w:t>
                  </w:r>
                  <w:r>
                    <w:rPr>
                      <w:rFonts w:hint="eastAsia" w:ascii="宋体" w:hAnsi="宋体" w:cs="宋体"/>
                      <w:color w:val="auto"/>
                      <w:kern w:val="0"/>
                      <w:szCs w:val="21"/>
                    </w:rPr>
                    <w:t>＜500立方米的得10</w:t>
                  </w:r>
                  <w:r>
                    <w:rPr>
                      <w:rFonts w:hint="eastAsia" w:ascii="宋体" w:hAnsi="宋体" w:cs="宋体"/>
                      <w:color w:val="auto"/>
                      <w:szCs w:val="21"/>
                    </w:rPr>
                    <w:t>分</w:t>
                  </w:r>
                  <w:r>
                    <w:rPr>
                      <w:rFonts w:hint="eastAsia" w:ascii="宋体" w:hAnsi="宋体" w:cs="宋体"/>
                      <w:color w:val="auto"/>
                      <w:kern w:val="0"/>
                      <w:szCs w:val="21"/>
                    </w:rPr>
                    <w:t>；</w:t>
                  </w:r>
                </w:p>
                <w:p w14:paraId="7A9C0552">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5</w:t>
                  </w:r>
                  <w:r>
                    <w:rPr>
                      <w:rFonts w:hint="eastAsia" w:ascii="宋体" w:hAnsi="宋体" w:cs="宋体"/>
                      <w:color w:val="auto"/>
                      <w:kern w:val="0"/>
                      <w:szCs w:val="21"/>
                      <w:lang w:eastAsia="zh-CN"/>
                    </w:rPr>
                    <w:t>、其他情况</w:t>
                  </w:r>
                  <w:r>
                    <w:rPr>
                      <w:rFonts w:hint="eastAsia" w:ascii="宋体" w:hAnsi="宋体" w:cs="宋体"/>
                      <w:color w:val="auto"/>
                      <w:kern w:val="0"/>
                      <w:szCs w:val="21"/>
                    </w:rPr>
                    <w:t>不得分。</w:t>
                  </w:r>
                </w:p>
                <w:p w14:paraId="345DF82F">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cs="宋体"/>
                      <w:color w:val="auto"/>
                      <w:szCs w:val="21"/>
                    </w:rPr>
                  </w:pPr>
                  <w:r>
                    <w:rPr>
                      <w:rFonts w:hint="eastAsia" w:ascii="宋体" w:hAnsi="宋体" w:eastAsia="宋体" w:cs="宋体"/>
                      <w:b/>
                      <w:bCs/>
                      <w:color w:val="auto"/>
                      <w:szCs w:val="21"/>
                      <w:lang w:eastAsia="zh-CN"/>
                    </w:rPr>
                    <w:t>证明文件：</w:t>
                  </w:r>
                </w:p>
                <w:p w14:paraId="3CFB6CEB">
                  <w:pPr>
                    <w:keepNext w:val="0"/>
                    <w:keepLines w:val="0"/>
                    <w:pageBreakBefore w:val="0"/>
                    <w:kinsoku/>
                    <w:overflowPunct/>
                    <w:topLinePunct w:val="0"/>
                    <w:autoSpaceDE w:val="0"/>
                    <w:bidi w:val="0"/>
                    <w:snapToGrid/>
                    <w:spacing w:line="360" w:lineRule="auto"/>
                    <w:ind w:firstLine="0" w:firstLineChars="0"/>
                    <w:textAlignment w:val="auto"/>
                    <w:rPr>
                      <w:rFonts w:hint="eastAsia" w:ascii="宋体" w:hAnsi="宋体" w:cs="宋体"/>
                      <w:color w:val="auto"/>
                      <w:szCs w:val="21"/>
                    </w:rPr>
                  </w:pPr>
                  <w:r>
                    <w:rPr>
                      <w:rFonts w:hint="eastAsia" w:ascii="宋体" w:hAnsi="宋体" w:cs="宋体"/>
                      <w:color w:val="auto"/>
                      <w:szCs w:val="21"/>
                      <w:lang w:val="en-US" w:eastAsia="zh-CN"/>
                    </w:rPr>
                    <w:t>1、同时提供</w:t>
                  </w:r>
                  <w:r>
                    <w:rPr>
                      <w:rFonts w:hint="eastAsia" w:ascii="宋体" w:hAnsi="宋体" w:cs="宋体"/>
                      <w:color w:val="auto"/>
                      <w:szCs w:val="21"/>
                    </w:rPr>
                    <w:t>投标人与第三方消毒公司签订的消毒合同</w:t>
                  </w:r>
                  <w:r>
                    <w:rPr>
                      <w:rFonts w:hint="eastAsia" w:ascii="宋体" w:hAnsi="宋体" w:cs="宋体"/>
                      <w:color w:val="auto"/>
                      <w:szCs w:val="21"/>
                      <w:lang w:eastAsia="zh-CN"/>
                    </w:rPr>
                    <w:t>、</w:t>
                  </w:r>
                  <w:r>
                    <w:rPr>
                      <w:rFonts w:hint="eastAsia" w:ascii="宋体" w:hAnsi="宋体" w:cs="宋体"/>
                      <w:color w:val="auto"/>
                      <w:szCs w:val="21"/>
                    </w:rPr>
                    <w:t>第三方消毒公司出具的冷库消毒报告或证明</w:t>
                  </w:r>
                  <w:r>
                    <w:rPr>
                      <w:rFonts w:hint="eastAsia" w:ascii="宋体" w:hAnsi="宋体" w:cs="宋体"/>
                      <w:color w:val="auto"/>
                      <w:szCs w:val="21"/>
                      <w:lang w:eastAsia="zh-CN"/>
                    </w:rPr>
                    <w:t>及</w:t>
                  </w:r>
                  <w:r>
                    <w:rPr>
                      <w:rFonts w:hint="eastAsia" w:ascii="宋体" w:hAnsi="宋体" w:cs="宋体"/>
                      <w:color w:val="auto"/>
                      <w:szCs w:val="21"/>
                    </w:rPr>
                    <w:t>投标截止时间前近两个月的消毒服务费发票</w:t>
                  </w:r>
                  <w:r>
                    <w:rPr>
                      <w:rFonts w:hint="eastAsia" w:ascii="宋体" w:hAnsi="宋体" w:cs="宋体"/>
                      <w:color w:val="auto"/>
                      <w:szCs w:val="21"/>
                      <w:lang w:eastAsia="zh-CN"/>
                    </w:rPr>
                    <w:t>扫描件，</w:t>
                  </w:r>
                  <w:r>
                    <w:rPr>
                      <w:rFonts w:hint="eastAsia" w:ascii="宋体" w:hAnsi="宋体" w:eastAsia="宋体" w:cs="宋体"/>
                      <w:color w:val="auto"/>
                      <w:szCs w:val="21"/>
                    </w:rPr>
                    <w:t>如供应商为新成立企业且成立时间不足</w:t>
                  </w:r>
                  <w:r>
                    <w:rPr>
                      <w:rFonts w:hint="eastAsia" w:hAnsi="宋体" w:cs="宋体"/>
                      <w:color w:val="auto"/>
                      <w:szCs w:val="21"/>
                      <w:lang w:val="en-US" w:eastAsia="zh-CN"/>
                    </w:rPr>
                    <w:t>2</w:t>
                  </w:r>
                  <w:r>
                    <w:rPr>
                      <w:rFonts w:hint="eastAsia" w:ascii="宋体" w:hAnsi="宋体" w:eastAsia="宋体" w:cs="宋体"/>
                      <w:color w:val="auto"/>
                      <w:szCs w:val="21"/>
                    </w:rPr>
                    <w:t>个月的，可提供加盖公章的情况说明或其他相关证明材料</w:t>
                  </w:r>
                  <w:r>
                    <w:rPr>
                      <w:rFonts w:hint="eastAsia" w:hAnsi="宋体" w:cs="宋体"/>
                      <w:color w:val="auto"/>
                      <w:szCs w:val="21"/>
                      <w:lang w:eastAsia="zh-CN"/>
                    </w:rPr>
                    <w:t>即可得分</w:t>
                  </w:r>
                  <w:r>
                    <w:rPr>
                      <w:rFonts w:hint="eastAsia" w:ascii="宋体" w:hAnsi="宋体" w:eastAsia="宋体" w:cs="宋体"/>
                      <w:color w:val="auto"/>
                      <w:szCs w:val="21"/>
                    </w:rPr>
                    <w:t>；</w:t>
                  </w:r>
                  <w:r>
                    <w:rPr>
                      <w:rFonts w:hint="eastAsia" w:ascii="宋体" w:hAnsi="宋体" w:cs="宋体"/>
                      <w:color w:val="auto"/>
                      <w:szCs w:val="21"/>
                    </w:rPr>
                    <w:t xml:space="preserve">；  </w:t>
                  </w:r>
                </w:p>
                <w:p w14:paraId="108D635F">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cs="宋体"/>
                      <w:color w:val="auto"/>
                      <w:szCs w:val="21"/>
                    </w:rPr>
                  </w:pPr>
                  <w:r>
                    <w:rPr>
                      <w:rFonts w:hint="eastAsia" w:ascii="宋体" w:hAnsi="宋体" w:cs="宋体"/>
                      <w:color w:val="auto"/>
                      <w:szCs w:val="21"/>
                    </w:rPr>
                    <w:t>2</w:t>
                  </w:r>
                  <w:r>
                    <w:rPr>
                      <w:rFonts w:hint="eastAsia" w:ascii="宋体" w:hAnsi="宋体" w:cs="宋体"/>
                      <w:color w:val="auto"/>
                      <w:szCs w:val="21"/>
                      <w:lang w:eastAsia="zh-CN"/>
                    </w:rPr>
                    <w:t>、</w:t>
                  </w:r>
                  <w:r>
                    <w:rPr>
                      <w:rFonts w:hint="eastAsia" w:ascii="宋体" w:hAnsi="宋体" w:cs="宋体"/>
                      <w:color w:val="auto"/>
                      <w:szCs w:val="21"/>
                    </w:rPr>
                    <w:t>提供第三方检测机构出具的具有CMA或CNAS</w:t>
                  </w:r>
                  <w:r>
                    <w:rPr>
                      <w:rFonts w:hint="eastAsia" w:ascii="宋体" w:hAnsi="宋体" w:cs="宋体"/>
                      <w:color w:val="auto"/>
                      <w:szCs w:val="21"/>
                      <w:lang w:eastAsia="zh-CN"/>
                    </w:rPr>
                    <w:t>标识</w:t>
                  </w:r>
                  <w:r>
                    <w:rPr>
                      <w:rFonts w:hint="eastAsia" w:ascii="宋体" w:hAnsi="宋体" w:cs="宋体"/>
                      <w:color w:val="auto"/>
                      <w:szCs w:val="21"/>
                    </w:rPr>
                    <w:t>的冷库温度校准报告扫描件，</w:t>
                  </w:r>
                  <w:r>
                    <w:rPr>
                      <w:rFonts w:hint="eastAsia" w:ascii="宋体" w:hAnsi="宋体" w:cs="宋体"/>
                      <w:color w:val="auto"/>
                      <w:szCs w:val="21"/>
                      <w:lang w:val="en-US" w:eastAsia="zh-CN"/>
                    </w:rPr>
                    <w:t>原件备查，</w:t>
                  </w:r>
                  <w:r>
                    <w:rPr>
                      <w:rFonts w:hint="eastAsia" w:ascii="宋体" w:hAnsi="宋体" w:cs="宋体"/>
                      <w:color w:val="auto"/>
                      <w:szCs w:val="21"/>
                    </w:rPr>
                    <w:t>委托单位需为投标人；</w:t>
                  </w:r>
                  <w:r>
                    <w:rPr>
                      <w:rFonts w:hint="eastAsia" w:ascii="宋体" w:hAnsi="宋体" w:cs="宋体"/>
                      <w:color w:val="auto"/>
                      <w:szCs w:val="21"/>
                    </w:rPr>
                    <w:br w:type="textWrapping"/>
                  </w:r>
                  <w:r>
                    <w:rPr>
                      <w:rFonts w:hint="eastAsia" w:ascii="宋体" w:hAnsi="宋体" w:cs="宋体"/>
                      <w:color w:val="auto"/>
                      <w:szCs w:val="21"/>
                    </w:rPr>
                    <w:t>3</w:t>
                  </w:r>
                  <w:r>
                    <w:rPr>
                      <w:rFonts w:hint="eastAsia" w:ascii="宋体" w:hAnsi="宋体" w:cs="宋体"/>
                      <w:color w:val="auto"/>
                      <w:szCs w:val="21"/>
                      <w:lang w:eastAsia="zh-CN"/>
                    </w:rPr>
                    <w:t>、若为</w:t>
                  </w:r>
                  <w:r>
                    <w:rPr>
                      <w:rFonts w:hint="eastAsia" w:ascii="宋体" w:hAnsi="宋体" w:cs="宋体"/>
                      <w:color w:val="auto"/>
                      <w:szCs w:val="21"/>
                    </w:rPr>
                    <w:t>自有冷库</w:t>
                  </w:r>
                  <w:r>
                    <w:rPr>
                      <w:rFonts w:hint="eastAsia" w:ascii="宋体" w:hAnsi="宋体" w:cs="宋体"/>
                      <w:color w:val="auto"/>
                      <w:szCs w:val="21"/>
                      <w:lang w:eastAsia="zh-CN"/>
                    </w:rPr>
                    <w:t>，则</w:t>
                  </w:r>
                  <w:r>
                    <w:rPr>
                      <w:rFonts w:hint="eastAsia" w:ascii="宋体" w:hAnsi="宋体" w:cs="宋体"/>
                      <w:color w:val="auto"/>
                      <w:szCs w:val="21"/>
                    </w:rPr>
                    <w:t>提供冷库工程竣工验收报告或冷库安装合同或冷库转让合同</w:t>
                  </w:r>
                  <w:r>
                    <w:rPr>
                      <w:rFonts w:hint="eastAsia" w:ascii="宋体" w:hAnsi="宋体" w:cs="宋体"/>
                      <w:color w:val="auto"/>
                      <w:szCs w:val="21"/>
                      <w:lang w:eastAsia="zh-CN"/>
                    </w:rPr>
                    <w:t>扫描件</w:t>
                  </w:r>
                  <w:r>
                    <w:rPr>
                      <w:rFonts w:hint="eastAsia" w:ascii="宋体" w:hAnsi="宋体" w:cs="宋体"/>
                      <w:color w:val="auto"/>
                      <w:szCs w:val="21"/>
                    </w:rPr>
                    <w:t>；</w:t>
                  </w:r>
                  <w:r>
                    <w:rPr>
                      <w:rFonts w:hint="eastAsia" w:ascii="宋体" w:hAnsi="宋体" w:cs="宋体"/>
                      <w:color w:val="auto"/>
                      <w:szCs w:val="21"/>
                      <w:lang w:eastAsia="zh-CN"/>
                    </w:rPr>
                    <w:t>若为</w:t>
                  </w:r>
                  <w:r>
                    <w:rPr>
                      <w:rFonts w:hint="eastAsia" w:ascii="宋体" w:hAnsi="宋体" w:cs="宋体"/>
                      <w:color w:val="auto"/>
                      <w:szCs w:val="21"/>
                    </w:rPr>
                    <w:t>租赁冷库</w:t>
                  </w:r>
                  <w:r>
                    <w:rPr>
                      <w:rFonts w:hint="eastAsia" w:ascii="宋体" w:hAnsi="宋体" w:cs="宋体"/>
                      <w:color w:val="auto"/>
                      <w:szCs w:val="21"/>
                      <w:lang w:eastAsia="zh-CN"/>
                    </w:rPr>
                    <w:t>，则</w:t>
                  </w:r>
                  <w:r>
                    <w:rPr>
                      <w:rFonts w:hint="eastAsia" w:ascii="宋体" w:hAnsi="宋体" w:cs="宋体"/>
                      <w:color w:val="auto"/>
                      <w:szCs w:val="21"/>
                    </w:rPr>
                    <w:t>提供冷库租赁合同</w:t>
                  </w:r>
                  <w:r>
                    <w:rPr>
                      <w:rFonts w:hint="eastAsia" w:ascii="宋体" w:hAnsi="宋体" w:cs="宋体"/>
                      <w:color w:val="auto"/>
                      <w:szCs w:val="21"/>
                      <w:lang w:eastAsia="zh-CN"/>
                    </w:rPr>
                    <w:t>扫描件</w:t>
                  </w:r>
                  <w:r>
                    <w:rPr>
                      <w:rFonts w:hint="eastAsia" w:ascii="宋体" w:hAnsi="宋体" w:cs="宋体"/>
                      <w:color w:val="auto"/>
                      <w:szCs w:val="21"/>
                    </w:rPr>
                    <w:t>；</w:t>
                  </w:r>
                </w:p>
                <w:p w14:paraId="67FC5D48">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szCs w:val="21"/>
                    </w:rPr>
                    <w:t>4</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2FDD10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07AA1D34">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66C738B2">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2835" w:type="dxa"/>
                  <w:tcBorders>
                    <w:top w:val="single" w:color="000000" w:sz="8" w:space="0"/>
                    <w:left w:val="single" w:color="000000" w:sz="8" w:space="0"/>
                    <w:bottom w:val="single" w:color="000000" w:sz="8" w:space="0"/>
                    <w:right w:val="single" w:color="000000" w:sz="8" w:space="0"/>
                  </w:tcBorders>
                  <w:vAlign w:val="center"/>
                </w:tcPr>
                <w:p w14:paraId="4BDE6D13">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kern w:val="0"/>
                      <w:szCs w:val="21"/>
                    </w:rPr>
                    <w:t>拟用于本项目生产基地情况</w:t>
                  </w:r>
                </w:p>
              </w:tc>
              <w:tc>
                <w:tcPr>
                  <w:tcW w:w="681" w:type="dxa"/>
                  <w:tcBorders>
                    <w:top w:val="single" w:color="000000" w:sz="8" w:space="0"/>
                    <w:left w:val="single" w:color="000000" w:sz="8" w:space="0"/>
                    <w:bottom w:val="single" w:color="000000" w:sz="8" w:space="0"/>
                    <w:right w:val="single" w:color="000000" w:sz="8" w:space="0"/>
                  </w:tcBorders>
                  <w:vAlign w:val="center"/>
                </w:tcPr>
                <w:p w14:paraId="738E5BEC">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5</w:t>
                  </w:r>
                </w:p>
              </w:tc>
              <w:tc>
                <w:tcPr>
                  <w:tcW w:w="4196" w:type="dxa"/>
                  <w:tcBorders>
                    <w:top w:val="single" w:color="000000" w:sz="8" w:space="0"/>
                    <w:left w:val="single" w:color="000000" w:sz="8" w:space="0"/>
                    <w:bottom w:val="single" w:color="000000" w:sz="8" w:space="0"/>
                    <w:right w:val="single" w:color="000000" w:sz="8" w:space="0"/>
                  </w:tcBorders>
                  <w:vAlign w:val="top"/>
                </w:tcPr>
                <w:p w14:paraId="492EA954">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eastAsia="宋体" w:cs="宋体"/>
                      <w:b/>
                      <w:bCs/>
                      <w:color w:val="auto"/>
                      <w:szCs w:val="21"/>
                      <w:lang w:eastAsia="zh-CN"/>
                    </w:rPr>
                    <w:t>考察内容</w:t>
                  </w:r>
                  <w:r>
                    <w:rPr>
                      <w:rFonts w:hint="eastAsia" w:ascii="宋体" w:hAnsi="宋体" w:cs="宋体"/>
                      <w:b/>
                      <w:bCs/>
                      <w:color w:val="auto"/>
                      <w:kern w:val="0"/>
                      <w:szCs w:val="21"/>
                    </w:rPr>
                    <w:t>：</w:t>
                  </w:r>
                </w:p>
                <w:p w14:paraId="3E4390E4">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1</w:t>
                  </w:r>
                  <w:r>
                    <w:rPr>
                      <w:rFonts w:hint="eastAsia" w:ascii="宋体" w:hAnsi="宋体" w:cs="宋体"/>
                      <w:color w:val="auto"/>
                      <w:kern w:val="0"/>
                      <w:szCs w:val="21"/>
                      <w:lang w:eastAsia="zh-CN"/>
                    </w:rPr>
                    <w:t>、</w:t>
                  </w:r>
                  <w:r>
                    <w:rPr>
                      <w:rFonts w:hint="eastAsia" w:ascii="宋体" w:hAnsi="宋体" w:cs="宋体"/>
                      <w:color w:val="auto"/>
                      <w:kern w:val="0"/>
                      <w:szCs w:val="21"/>
                    </w:rPr>
                    <w:t>根据投标人拟用于本项目生产基地</w:t>
                  </w:r>
                  <w:r>
                    <w:rPr>
                      <w:rFonts w:hint="eastAsia" w:ascii="宋体" w:hAnsi="宋体" w:cs="宋体"/>
                      <w:color w:val="auto"/>
                      <w:kern w:val="0"/>
                      <w:szCs w:val="21"/>
                      <w:lang w:eastAsia="zh-CN"/>
                    </w:rPr>
                    <w:t>（自有或租赁）</w:t>
                  </w:r>
                  <w:r>
                    <w:rPr>
                      <w:rFonts w:hint="eastAsia" w:ascii="宋体" w:hAnsi="宋体" w:cs="宋体"/>
                      <w:color w:val="auto"/>
                      <w:kern w:val="0"/>
                      <w:szCs w:val="21"/>
                    </w:rPr>
                    <w:t>面积进行评分：</w:t>
                  </w:r>
                </w:p>
                <w:p w14:paraId="44BF33FE">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（1）面积≥2000亩的得50</w:t>
                  </w:r>
                  <w:r>
                    <w:rPr>
                      <w:rFonts w:hint="eastAsia" w:ascii="宋体" w:hAnsi="宋体" w:cs="宋体"/>
                      <w:color w:val="auto"/>
                      <w:szCs w:val="21"/>
                    </w:rPr>
                    <w:t>分</w:t>
                  </w:r>
                  <w:r>
                    <w:rPr>
                      <w:rFonts w:hint="eastAsia" w:ascii="宋体" w:hAnsi="宋体" w:cs="宋体"/>
                      <w:color w:val="auto"/>
                      <w:kern w:val="0"/>
                      <w:szCs w:val="21"/>
                    </w:rPr>
                    <w:t>；</w:t>
                  </w:r>
                </w:p>
                <w:p w14:paraId="0A485353">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（2）1000亩≤面积＜2000亩的得40</w:t>
                  </w:r>
                  <w:r>
                    <w:rPr>
                      <w:rFonts w:hint="eastAsia" w:ascii="宋体" w:hAnsi="宋体" w:cs="宋体"/>
                      <w:color w:val="auto"/>
                      <w:szCs w:val="21"/>
                    </w:rPr>
                    <w:t>分</w:t>
                  </w:r>
                  <w:r>
                    <w:rPr>
                      <w:rFonts w:hint="eastAsia" w:ascii="宋体" w:hAnsi="宋体" w:cs="宋体"/>
                      <w:color w:val="auto"/>
                      <w:kern w:val="0"/>
                      <w:szCs w:val="21"/>
                    </w:rPr>
                    <w:t>；</w:t>
                  </w:r>
                </w:p>
                <w:p w14:paraId="17AAC63F">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（3）500亩≤面积＜1000亩的得30</w:t>
                  </w:r>
                  <w:r>
                    <w:rPr>
                      <w:rFonts w:hint="eastAsia" w:ascii="宋体" w:hAnsi="宋体" w:cs="宋体"/>
                      <w:color w:val="auto"/>
                      <w:szCs w:val="21"/>
                    </w:rPr>
                    <w:t>分</w:t>
                  </w:r>
                  <w:r>
                    <w:rPr>
                      <w:rFonts w:hint="eastAsia" w:ascii="宋体" w:hAnsi="宋体" w:cs="宋体"/>
                      <w:color w:val="auto"/>
                      <w:kern w:val="0"/>
                      <w:szCs w:val="21"/>
                    </w:rPr>
                    <w:t>；</w:t>
                  </w:r>
                </w:p>
                <w:p w14:paraId="1A027CF9">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（4）</w:t>
                  </w:r>
                  <w:r>
                    <w:rPr>
                      <w:rFonts w:hint="eastAsia" w:ascii="宋体" w:hAnsi="宋体" w:cs="宋体"/>
                      <w:color w:val="auto"/>
                      <w:kern w:val="0"/>
                      <w:szCs w:val="21"/>
                      <w:lang w:val="en-US" w:eastAsia="zh-CN"/>
                    </w:rPr>
                    <w:t>50</w:t>
                  </w:r>
                  <w:r>
                    <w:rPr>
                      <w:rFonts w:hint="eastAsia" w:ascii="宋体" w:hAnsi="宋体" w:cs="宋体"/>
                      <w:color w:val="auto"/>
                      <w:kern w:val="0"/>
                      <w:szCs w:val="21"/>
                    </w:rPr>
                    <w:t>亩≤面积＜500亩的得10</w:t>
                  </w:r>
                  <w:r>
                    <w:rPr>
                      <w:rFonts w:hint="eastAsia" w:ascii="宋体" w:hAnsi="宋体" w:cs="宋体"/>
                      <w:color w:val="auto"/>
                      <w:szCs w:val="21"/>
                    </w:rPr>
                    <w:t>分</w:t>
                  </w:r>
                  <w:r>
                    <w:rPr>
                      <w:rFonts w:hint="eastAsia" w:ascii="宋体" w:hAnsi="宋体" w:cs="宋体"/>
                      <w:color w:val="auto"/>
                      <w:kern w:val="0"/>
                      <w:szCs w:val="21"/>
                    </w:rPr>
                    <w:t>；</w:t>
                  </w:r>
                </w:p>
                <w:p w14:paraId="47F95A42">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（5）</w:t>
                  </w:r>
                  <w:r>
                    <w:rPr>
                      <w:rFonts w:hint="eastAsia" w:ascii="宋体" w:hAnsi="宋体" w:cs="宋体"/>
                      <w:color w:val="auto"/>
                      <w:kern w:val="0"/>
                      <w:szCs w:val="21"/>
                      <w:lang w:eastAsia="zh-CN"/>
                    </w:rPr>
                    <w:t>其他情况</w:t>
                  </w:r>
                  <w:r>
                    <w:rPr>
                      <w:rFonts w:hint="eastAsia" w:ascii="宋体" w:hAnsi="宋体" w:cs="宋体"/>
                      <w:color w:val="auto"/>
                      <w:kern w:val="0"/>
                      <w:szCs w:val="21"/>
                    </w:rPr>
                    <w:t>不得分。</w:t>
                  </w:r>
                </w:p>
                <w:p w14:paraId="17A03F6D">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2</w:t>
                  </w:r>
                  <w:r>
                    <w:rPr>
                      <w:rFonts w:hint="eastAsia" w:ascii="宋体" w:hAnsi="宋体" w:cs="宋体"/>
                      <w:color w:val="auto"/>
                      <w:kern w:val="0"/>
                      <w:szCs w:val="21"/>
                      <w:lang w:eastAsia="zh-CN"/>
                    </w:rPr>
                    <w:t>、</w:t>
                  </w:r>
                  <w:r>
                    <w:rPr>
                      <w:rFonts w:hint="eastAsia" w:ascii="宋体" w:hAnsi="宋体" w:cs="宋体"/>
                      <w:color w:val="auto"/>
                      <w:kern w:val="0"/>
                      <w:szCs w:val="21"/>
                    </w:rPr>
                    <w:t>202</w:t>
                  </w:r>
                  <w:r>
                    <w:rPr>
                      <w:rFonts w:hint="eastAsia" w:ascii="宋体" w:hAnsi="宋体" w:cs="宋体"/>
                      <w:color w:val="auto"/>
                      <w:kern w:val="0"/>
                      <w:szCs w:val="21"/>
                      <w:lang w:val="en-US" w:eastAsia="zh-CN"/>
                    </w:rPr>
                    <w:t>3</w:t>
                  </w:r>
                  <w:r>
                    <w:rPr>
                      <w:rFonts w:hint="eastAsia" w:ascii="宋体" w:hAnsi="宋体" w:cs="宋体"/>
                      <w:color w:val="auto"/>
                      <w:kern w:val="0"/>
                      <w:szCs w:val="21"/>
                    </w:rPr>
                    <w:t>年10月1日至本项目投标截止日</w:t>
                  </w:r>
                  <w:r>
                    <w:rPr>
                      <w:rFonts w:hint="eastAsia" w:ascii="宋体" w:hAnsi="宋体" w:cs="宋体"/>
                      <w:color w:val="auto"/>
                      <w:kern w:val="0"/>
                      <w:szCs w:val="21"/>
                      <w:lang w:eastAsia="zh-CN"/>
                    </w:rPr>
                    <w:t>，生产基地</w:t>
                  </w:r>
                  <w:r>
                    <w:rPr>
                      <w:rFonts w:hint="eastAsia" w:ascii="宋体" w:hAnsi="宋体" w:cs="宋体"/>
                      <w:color w:val="auto"/>
                      <w:kern w:val="0"/>
                      <w:szCs w:val="21"/>
                    </w:rPr>
                    <w:t>具有</w:t>
                  </w:r>
                  <w:r>
                    <w:rPr>
                      <w:rFonts w:hint="eastAsia" w:ascii="宋体" w:hAnsi="宋体" w:cs="宋体"/>
                      <w:color w:val="auto"/>
                      <w:kern w:val="0"/>
                      <w:szCs w:val="21"/>
                      <w:lang w:eastAsia="zh-CN"/>
                    </w:rPr>
                    <w:t>由第三方检测机构出具的具有</w:t>
                  </w:r>
                  <w:r>
                    <w:rPr>
                      <w:rFonts w:hint="eastAsia" w:ascii="宋体" w:hAnsi="宋体" w:cs="宋体"/>
                      <w:color w:val="auto"/>
                      <w:kern w:val="0"/>
                      <w:szCs w:val="21"/>
                    </w:rPr>
                    <w:t>CMA</w:t>
                  </w:r>
                  <w:r>
                    <w:rPr>
                      <w:rFonts w:hint="eastAsia" w:ascii="宋体" w:hAnsi="宋体" w:cs="宋体"/>
                      <w:color w:val="auto"/>
                      <w:kern w:val="0"/>
                      <w:szCs w:val="21"/>
                      <w:lang w:eastAsia="zh-CN"/>
                    </w:rPr>
                    <w:t>或</w:t>
                  </w:r>
                  <w:r>
                    <w:rPr>
                      <w:rFonts w:hint="eastAsia" w:ascii="宋体" w:hAnsi="宋体" w:cs="宋体"/>
                      <w:color w:val="auto"/>
                      <w:kern w:val="0"/>
                      <w:szCs w:val="21"/>
                    </w:rPr>
                    <w:t>CNAS</w:t>
                  </w:r>
                  <w:r>
                    <w:rPr>
                      <w:rFonts w:hint="eastAsia" w:ascii="宋体" w:hAnsi="宋体" w:cs="宋体"/>
                      <w:color w:val="auto"/>
                      <w:kern w:val="0"/>
                      <w:szCs w:val="21"/>
                      <w:lang w:eastAsia="zh-CN"/>
                    </w:rPr>
                    <w:t>标识的检测</w:t>
                  </w:r>
                  <w:r>
                    <w:rPr>
                      <w:rFonts w:hint="eastAsia" w:ascii="宋体" w:hAnsi="宋体" w:cs="宋体"/>
                      <w:color w:val="auto"/>
                      <w:kern w:val="0"/>
                      <w:szCs w:val="21"/>
                    </w:rPr>
                    <w:t>报告情况进行评分：</w:t>
                  </w:r>
                </w:p>
                <w:p w14:paraId="58F71897">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（1）具有合格（或达标或符合或同等意义表述）的灌溉水</w:t>
                  </w:r>
                  <w:r>
                    <w:rPr>
                      <w:rFonts w:hint="eastAsia" w:ascii="宋体" w:hAnsi="宋体" w:cs="宋体"/>
                      <w:color w:val="auto"/>
                      <w:kern w:val="0"/>
                      <w:szCs w:val="21"/>
                      <w:lang w:eastAsia="zh-CN"/>
                    </w:rPr>
                    <w:t>或灌溉水</w:t>
                  </w:r>
                  <w:r>
                    <w:rPr>
                      <w:rFonts w:hint="eastAsia" w:ascii="宋体" w:hAnsi="宋体" w:cs="宋体"/>
                      <w:color w:val="auto"/>
                      <w:kern w:val="0"/>
                      <w:szCs w:val="21"/>
                    </w:rPr>
                    <w:t>源检测报告的，得30</w:t>
                  </w:r>
                  <w:r>
                    <w:rPr>
                      <w:rFonts w:hint="eastAsia" w:ascii="宋体" w:hAnsi="宋体" w:cs="宋体"/>
                      <w:color w:val="auto"/>
                      <w:szCs w:val="21"/>
                    </w:rPr>
                    <w:t>分</w:t>
                  </w:r>
                  <w:r>
                    <w:rPr>
                      <w:rFonts w:hint="eastAsia" w:ascii="宋体" w:hAnsi="宋体" w:cs="宋体"/>
                      <w:color w:val="auto"/>
                      <w:kern w:val="0"/>
                      <w:szCs w:val="21"/>
                    </w:rPr>
                    <w:t>；</w:t>
                  </w:r>
                </w:p>
                <w:p w14:paraId="71EF86FD">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（2）具有合格（或达标或符合或同等意义表述）的基地土壤检测报告的，得20</w:t>
                  </w:r>
                  <w:r>
                    <w:rPr>
                      <w:rFonts w:hint="eastAsia" w:ascii="宋体" w:hAnsi="宋体" w:cs="宋体"/>
                      <w:color w:val="auto"/>
                      <w:szCs w:val="21"/>
                    </w:rPr>
                    <w:t>分</w:t>
                  </w:r>
                  <w:r>
                    <w:rPr>
                      <w:rFonts w:hint="eastAsia" w:ascii="宋体" w:hAnsi="宋体" w:cs="宋体"/>
                      <w:color w:val="auto"/>
                      <w:kern w:val="0"/>
                      <w:szCs w:val="21"/>
                    </w:rPr>
                    <w:t>；</w:t>
                  </w:r>
                </w:p>
                <w:p w14:paraId="2C511032">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以上</w:t>
                  </w:r>
                  <w:r>
                    <w:rPr>
                      <w:rFonts w:hint="eastAsia" w:ascii="宋体" w:hAnsi="宋体" w:cs="宋体"/>
                      <w:color w:val="auto"/>
                      <w:kern w:val="0"/>
                      <w:szCs w:val="21"/>
                      <w:lang w:eastAsia="zh-CN"/>
                    </w:rPr>
                    <w:t>两大</w:t>
                  </w:r>
                  <w:r>
                    <w:rPr>
                      <w:rFonts w:hint="eastAsia" w:ascii="宋体" w:hAnsi="宋体" w:cs="宋体"/>
                      <w:color w:val="auto"/>
                      <w:kern w:val="0"/>
                      <w:szCs w:val="21"/>
                    </w:rPr>
                    <w:t>项累计最高得100</w:t>
                  </w:r>
                  <w:r>
                    <w:rPr>
                      <w:rFonts w:hint="eastAsia" w:ascii="宋体" w:hAnsi="宋体" w:cs="宋体"/>
                      <w:color w:val="auto"/>
                      <w:szCs w:val="21"/>
                    </w:rPr>
                    <w:t>分</w:t>
                  </w:r>
                  <w:r>
                    <w:rPr>
                      <w:rFonts w:hint="eastAsia" w:ascii="宋体" w:hAnsi="宋体" w:cs="宋体"/>
                      <w:color w:val="auto"/>
                      <w:kern w:val="0"/>
                      <w:szCs w:val="21"/>
                    </w:rPr>
                    <w:t>。</w:t>
                  </w:r>
                </w:p>
                <w:p w14:paraId="367F55FB">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b/>
                      <w:bCs/>
                      <w:color w:val="auto"/>
                      <w:kern w:val="0"/>
                      <w:szCs w:val="21"/>
                    </w:rPr>
                  </w:pPr>
                  <w:r>
                    <w:rPr>
                      <w:rFonts w:hint="eastAsia" w:ascii="宋体" w:hAnsi="宋体" w:cs="宋体"/>
                      <w:b/>
                      <w:bCs/>
                      <w:color w:val="auto"/>
                      <w:kern w:val="0"/>
                      <w:szCs w:val="21"/>
                      <w:lang w:eastAsia="zh-CN"/>
                    </w:rPr>
                    <w:t>证明文件</w:t>
                  </w:r>
                  <w:r>
                    <w:rPr>
                      <w:rFonts w:hint="eastAsia" w:ascii="宋体" w:hAnsi="宋体" w:cs="宋体"/>
                      <w:b/>
                      <w:bCs/>
                      <w:color w:val="auto"/>
                      <w:kern w:val="0"/>
                      <w:szCs w:val="21"/>
                    </w:rPr>
                    <w:t>：</w:t>
                  </w:r>
                </w:p>
                <w:p w14:paraId="624828F5">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kern w:val="0"/>
                      <w:szCs w:val="21"/>
                    </w:rPr>
                  </w:pPr>
                  <w:r>
                    <w:rPr>
                      <w:rFonts w:hint="eastAsia" w:ascii="宋体" w:hAnsi="宋体" w:cs="宋体"/>
                      <w:color w:val="auto"/>
                      <w:kern w:val="0"/>
                      <w:szCs w:val="21"/>
                    </w:rPr>
                    <w:t>1</w:t>
                  </w:r>
                  <w:r>
                    <w:rPr>
                      <w:rFonts w:hint="eastAsia" w:ascii="宋体" w:hAnsi="宋体" w:cs="宋体"/>
                      <w:color w:val="auto"/>
                      <w:kern w:val="0"/>
                      <w:szCs w:val="21"/>
                      <w:lang w:eastAsia="zh-CN"/>
                    </w:rPr>
                    <w:t>、若为自有基地，则</w:t>
                  </w:r>
                  <w:r>
                    <w:rPr>
                      <w:rFonts w:hint="eastAsia" w:ascii="宋体" w:hAnsi="宋体" w:cs="宋体"/>
                      <w:color w:val="auto"/>
                      <w:kern w:val="0"/>
                      <w:szCs w:val="21"/>
                    </w:rPr>
                    <w:t>提供自有基地土地证明文件</w:t>
                  </w:r>
                  <w:r>
                    <w:rPr>
                      <w:rFonts w:hint="eastAsia" w:ascii="宋体" w:hAnsi="宋体" w:cs="宋体"/>
                      <w:color w:val="auto"/>
                      <w:kern w:val="0"/>
                      <w:szCs w:val="21"/>
                      <w:lang w:eastAsia="zh-CN"/>
                    </w:rPr>
                    <w:t>；若为租赁基地，则提供</w:t>
                  </w:r>
                  <w:r>
                    <w:rPr>
                      <w:rFonts w:hint="eastAsia" w:ascii="宋体" w:hAnsi="宋体" w:cs="宋体"/>
                      <w:color w:val="auto"/>
                      <w:kern w:val="0"/>
                      <w:szCs w:val="21"/>
                    </w:rPr>
                    <w:t>土地租赁合</w:t>
                  </w:r>
                  <w:r>
                    <w:rPr>
                      <w:rFonts w:hint="eastAsia" w:ascii="宋体" w:hAnsi="宋体" w:eastAsia="宋体" w:cs="宋体"/>
                      <w:color w:val="auto"/>
                      <w:kern w:val="0"/>
                      <w:szCs w:val="21"/>
                    </w:rPr>
                    <w:t>同（协议）；</w:t>
                  </w:r>
                </w:p>
                <w:p w14:paraId="0D4FA057">
                  <w:pPr>
                    <w:pStyle w:val="37"/>
                    <w:keepNext w:val="0"/>
                    <w:keepLines w:val="0"/>
                    <w:pageBreakBefore w:val="0"/>
                    <w:widowControl/>
                    <w:tabs>
                      <w:tab w:val="left" w:pos="900"/>
                      <w:tab w:val="left" w:pos="1820"/>
                      <w:tab w:val="left" w:pos="2740"/>
                      <w:tab w:val="left" w:pos="3660"/>
                      <w:tab w:val="left" w:pos="5480"/>
                      <w:tab w:val="left" w:pos="6400"/>
                      <w:tab w:val="left" w:pos="7320"/>
                      <w:tab w:val="left" w:pos="8240"/>
                      <w:tab w:val="left" w:pos="10060"/>
                      <w:tab w:val="left" w:pos="10980"/>
                      <w:tab w:val="left" w:pos="11900"/>
                      <w:tab w:val="left" w:pos="12820"/>
                      <w:tab w:val="left" w:pos="14640"/>
                    </w:tabs>
                    <w:kinsoku/>
                    <w:overflowPunct/>
                    <w:topLinePunct w:val="0"/>
                    <w:bidi w:val="0"/>
                    <w:snapToGrid/>
                    <w:spacing w:line="360" w:lineRule="auto"/>
                    <w:ind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shd w:val="clear" w:color="auto" w:fill="FFFFFF"/>
                    </w:rPr>
                    <w:t>提供第三方检测机构出具的具有CMA或</w:t>
                  </w:r>
                  <w:r>
                    <w:rPr>
                      <w:rFonts w:hint="eastAsia" w:ascii="宋体" w:hAnsi="宋体" w:eastAsia="宋体" w:cs="宋体"/>
                      <w:color w:val="auto"/>
                      <w:sz w:val="21"/>
                      <w:szCs w:val="21"/>
                      <w:shd w:val="clear" w:color="auto" w:fill="FFFFFF"/>
                      <w:lang w:eastAsia="zh-CN"/>
                    </w:rPr>
                    <w:t>或</w:t>
                  </w:r>
                  <w:r>
                    <w:rPr>
                      <w:rFonts w:hint="eastAsia" w:ascii="宋体" w:hAnsi="宋体" w:eastAsia="宋体" w:cs="宋体"/>
                      <w:color w:val="auto"/>
                      <w:sz w:val="21"/>
                      <w:szCs w:val="21"/>
                      <w:shd w:val="clear" w:color="auto" w:fill="FFFFFF"/>
                    </w:rPr>
                    <w:t>CNAS</w:t>
                  </w:r>
                  <w:r>
                    <w:rPr>
                      <w:rFonts w:hint="eastAsia" w:ascii="宋体" w:hAnsi="宋体" w:eastAsia="宋体" w:cs="宋体"/>
                      <w:color w:val="auto"/>
                      <w:sz w:val="21"/>
                      <w:szCs w:val="21"/>
                      <w:shd w:val="clear" w:color="auto" w:fill="FFFFFF"/>
                      <w:lang w:eastAsia="zh-CN"/>
                    </w:rPr>
                    <w:t>标识</w:t>
                  </w:r>
                  <w:r>
                    <w:rPr>
                      <w:rFonts w:hint="eastAsia" w:ascii="宋体" w:hAnsi="宋体" w:eastAsia="宋体" w:cs="宋体"/>
                      <w:color w:val="auto"/>
                      <w:sz w:val="21"/>
                      <w:szCs w:val="21"/>
                      <w:shd w:val="clear" w:color="auto" w:fill="FFFFFF"/>
                    </w:rPr>
                    <w:t>的检测报告，委托单位需为投标人；检测报告应在全国认证认可信息公共服务平台（http://cx.cnca.cn/）上进行查询，提供查询截图。若检测报告在全国认证认可信息公共服务平台无法查询的，需要求提供监管机构的证明材料，证明检验检测报告真实有效且为合法机构颁发。</w:t>
                  </w:r>
                </w:p>
                <w:p w14:paraId="7C3391CC">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kern w:val="0"/>
                      <w:szCs w:val="21"/>
                    </w:rPr>
                    <w:t>3</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5DEC5E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64A7156A">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17564194">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2835" w:type="dxa"/>
                  <w:tcBorders>
                    <w:top w:val="single" w:color="000000" w:sz="8" w:space="0"/>
                    <w:left w:val="single" w:color="000000" w:sz="8" w:space="0"/>
                    <w:bottom w:val="single" w:color="000000" w:sz="8" w:space="0"/>
                    <w:right w:val="single" w:color="000000" w:sz="8" w:space="0"/>
                  </w:tcBorders>
                  <w:vAlign w:val="center"/>
                </w:tcPr>
                <w:p w14:paraId="55EFB0DD">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kern w:val="0"/>
                      <w:szCs w:val="21"/>
                    </w:rPr>
                    <w:t>拟投入本项目的配送场所面积</w:t>
                  </w:r>
                </w:p>
              </w:tc>
              <w:tc>
                <w:tcPr>
                  <w:tcW w:w="681" w:type="dxa"/>
                  <w:tcBorders>
                    <w:top w:val="single" w:color="000000" w:sz="8" w:space="0"/>
                    <w:left w:val="single" w:color="000000" w:sz="8" w:space="0"/>
                    <w:bottom w:val="single" w:color="000000" w:sz="8" w:space="0"/>
                    <w:right w:val="single" w:color="000000" w:sz="8" w:space="0"/>
                  </w:tcBorders>
                  <w:vAlign w:val="center"/>
                </w:tcPr>
                <w:p w14:paraId="0A672B2D">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5</w:t>
                  </w:r>
                </w:p>
              </w:tc>
              <w:tc>
                <w:tcPr>
                  <w:tcW w:w="4196" w:type="dxa"/>
                  <w:tcBorders>
                    <w:top w:val="single" w:color="000000" w:sz="8" w:space="0"/>
                    <w:left w:val="single" w:color="000000" w:sz="8" w:space="0"/>
                    <w:bottom w:val="single" w:color="000000" w:sz="8" w:space="0"/>
                    <w:right w:val="single" w:color="000000" w:sz="8" w:space="0"/>
                  </w:tcBorders>
                  <w:vAlign w:val="center"/>
                </w:tcPr>
                <w:p w14:paraId="31EFD4D7">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b/>
                      <w:bCs/>
                      <w:color w:val="auto"/>
                      <w:kern w:val="0"/>
                      <w:szCs w:val="21"/>
                      <w:lang w:eastAsia="zh-CN"/>
                    </w:rPr>
                    <w:t>考察内容</w:t>
                  </w:r>
                  <w:r>
                    <w:rPr>
                      <w:rFonts w:hint="eastAsia" w:ascii="宋体" w:hAnsi="宋体" w:cs="宋体"/>
                      <w:b/>
                      <w:bCs/>
                      <w:color w:val="auto"/>
                      <w:kern w:val="0"/>
                      <w:szCs w:val="21"/>
                    </w:rPr>
                    <w:t>：</w:t>
                  </w:r>
                </w:p>
                <w:p w14:paraId="2431A137">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投标人自有或租赁的配送场所面积：</w:t>
                  </w:r>
                </w:p>
                <w:p w14:paraId="66D4D15E">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1</w:t>
                  </w:r>
                  <w:r>
                    <w:rPr>
                      <w:rFonts w:hint="eastAsia" w:ascii="宋体" w:hAnsi="宋体" w:cs="宋体"/>
                      <w:color w:val="auto"/>
                      <w:kern w:val="0"/>
                      <w:szCs w:val="21"/>
                      <w:lang w:eastAsia="zh-CN"/>
                    </w:rPr>
                    <w:t>、</w:t>
                  </w:r>
                  <w:r>
                    <w:rPr>
                      <w:rFonts w:hint="eastAsia" w:ascii="宋体" w:hAnsi="宋体" w:cs="宋体"/>
                      <w:color w:val="auto"/>
                      <w:kern w:val="0"/>
                      <w:szCs w:val="21"/>
                    </w:rPr>
                    <w:t>配送场所面积≥4000平方米的得100</w:t>
                  </w:r>
                  <w:r>
                    <w:rPr>
                      <w:rFonts w:hint="eastAsia" w:ascii="宋体" w:hAnsi="宋体" w:cs="宋体"/>
                      <w:color w:val="auto"/>
                      <w:szCs w:val="21"/>
                    </w:rPr>
                    <w:t>分</w:t>
                  </w:r>
                  <w:r>
                    <w:rPr>
                      <w:rFonts w:hint="eastAsia" w:ascii="宋体" w:hAnsi="宋体" w:cs="宋体"/>
                      <w:color w:val="auto"/>
                      <w:kern w:val="0"/>
                      <w:szCs w:val="21"/>
                    </w:rPr>
                    <w:t>；</w:t>
                  </w:r>
                </w:p>
                <w:p w14:paraId="1118689C">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2</w:t>
                  </w:r>
                  <w:r>
                    <w:rPr>
                      <w:rFonts w:hint="eastAsia" w:ascii="宋体" w:hAnsi="宋体" w:cs="宋体"/>
                      <w:color w:val="auto"/>
                      <w:kern w:val="0"/>
                      <w:szCs w:val="21"/>
                      <w:lang w:eastAsia="zh-CN"/>
                    </w:rPr>
                    <w:t>、</w:t>
                  </w:r>
                  <w:r>
                    <w:rPr>
                      <w:rFonts w:hint="eastAsia" w:ascii="宋体" w:hAnsi="宋体" w:cs="宋体"/>
                      <w:color w:val="auto"/>
                      <w:kern w:val="0"/>
                      <w:szCs w:val="21"/>
                    </w:rPr>
                    <w:t>3000平方米≤配送场所面积＜4000平方米的得70</w:t>
                  </w:r>
                  <w:r>
                    <w:rPr>
                      <w:rFonts w:hint="eastAsia" w:ascii="宋体" w:hAnsi="宋体" w:cs="宋体"/>
                      <w:color w:val="auto"/>
                      <w:szCs w:val="21"/>
                    </w:rPr>
                    <w:t>分</w:t>
                  </w:r>
                  <w:r>
                    <w:rPr>
                      <w:rFonts w:hint="eastAsia" w:ascii="宋体" w:hAnsi="宋体" w:cs="宋体"/>
                      <w:color w:val="auto"/>
                      <w:kern w:val="0"/>
                      <w:szCs w:val="21"/>
                    </w:rPr>
                    <w:t>；</w:t>
                  </w:r>
                </w:p>
                <w:p w14:paraId="59566774">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3</w:t>
                  </w:r>
                  <w:r>
                    <w:rPr>
                      <w:rFonts w:hint="eastAsia" w:ascii="宋体" w:hAnsi="宋体" w:cs="宋体"/>
                      <w:color w:val="auto"/>
                      <w:kern w:val="0"/>
                      <w:szCs w:val="21"/>
                      <w:lang w:eastAsia="zh-CN"/>
                    </w:rPr>
                    <w:t>、</w:t>
                  </w:r>
                  <w:r>
                    <w:rPr>
                      <w:rFonts w:hint="eastAsia" w:ascii="宋体" w:hAnsi="宋体" w:cs="宋体"/>
                      <w:color w:val="auto"/>
                      <w:kern w:val="0"/>
                      <w:szCs w:val="21"/>
                    </w:rPr>
                    <w:t>2000平方米≤配送场所面积＜3000平方米的得50</w:t>
                  </w:r>
                  <w:r>
                    <w:rPr>
                      <w:rFonts w:hint="eastAsia" w:ascii="宋体" w:hAnsi="宋体" w:cs="宋体"/>
                      <w:color w:val="auto"/>
                      <w:szCs w:val="21"/>
                    </w:rPr>
                    <w:t>分</w:t>
                  </w:r>
                  <w:r>
                    <w:rPr>
                      <w:rFonts w:hint="eastAsia" w:ascii="宋体" w:hAnsi="宋体" w:cs="宋体"/>
                      <w:color w:val="auto"/>
                      <w:kern w:val="0"/>
                      <w:szCs w:val="21"/>
                    </w:rPr>
                    <w:t>；</w:t>
                  </w:r>
                </w:p>
                <w:p w14:paraId="30C9006B">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4</w:t>
                  </w:r>
                  <w:r>
                    <w:rPr>
                      <w:rFonts w:hint="eastAsia" w:ascii="宋体" w:hAnsi="宋体" w:cs="宋体"/>
                      <w:color w:val="auto"/>
                      <w:kern w:val="0"/>
                      <w:szCs w:val="21"/>
                      <w:lang w:eastAsia="zh-CN"/>
                    </w:rPr>
                    <w:t>、</w:t>
                  </w:r>
                  <w:r>
                    <w:rPr>
                      <w:rFonts w:hint="eastAsia" w:ascii="宋体" w:hAnsi="宋体" w:cs="宋体"/>
                      <w:color w:val="auto"/>
                      <w:kern w:val="0"/>
                      <w:szCs w:val="21"/>
                    </w:rPr>
                    <w:t>1000平方米≤配送场所面积＜2000平方米的得30</w:t>
                  </w:r>
                  <w:r>
                    <w:rPr>
                      <w:rFonts w:hint="eastAsia" w:ascii="宋体" w:hAnsi="宋体" w:cs="宋体"/>
                      <w:color w:val="auto"/>
                      <w:szCs w:val="21"/>
                    </w:rPr>
                    <w:t>分</w:t>
                  </w:r>
                  <w:r>
                    <w:rPr>
                      <w:rFonts w:hint="eastAsia" w:ascii="宋体" w:hAnsi="宋体" w:cs="宋体"/>
                      <w:color w:val="auto"/>
                      <w:kern w:val="0"/>
                      <w:szCs w:val="21"/>
                    </w:rPr>
                    <w:t>；</w:t>
                  </w:r>
                </w:p>
                <w:p w14:paraId="0E5BBE82">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5</w:t>
                  </w:r>
                  <w:r>
                    <w:rPr>
                      <w:rFonts w:hint="eastAsia" w:ascii="宋体" w:hAnsi="宋体" w:cs="宋体"/>
                      <w:color w:val="auto"/>
                      <w:kern w:val="0"/>
                      <w:szCs w:val="21"/>
                      <w:lang w:eastAsia="zh-CN"/>
                    </w:rPr>
                    <w:t>、</w:t>
                  </w:r>
                  <w:r>
                    <w:rPr>
                      <w:rFonts w:hint="eastAsia" w:ascii="宋体" w:hAnsi="宋体" w:cs="宋体"/>
                      <w:color w:val="auto"/>
                      <w:kern w:val="0"/>
                      <w:szCs w:val="21"/>
                    </w:rPr>
                    <w:t>500平方米≤配送场所面积＜1000平方米的得10</w:t>
                  </w:r>
                  <w:r>
                    <w:rPr>
                      <w:rFonts w:hint="eastAsia" w:ascii="宋体" w:hAnsi="宋体" w:cs="宋体"/>
                      <w:color w:val="auto"/>
                      <w:szCs w:val="21"/>
                    </w:rPr>
                    <w:t>分</w:t>
                  </w:r>
                  <w:r>
                    <w:rPr>
                      <w:rFonts w:hint="eastAsia" w:ascii="宋体" w:hAnsi="宋体" w:cs="宋体"/>
                      <w:color w:val="auto"/>
                      <w:kern w:val="0"/>
                      <w:szCs w:val="21"/>
                    </w:rPr>
                    <w:t>。</w:t>
                  </w:r>
                </w:p>
                <w:p w14:paraId="606651A4">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6</w:t>
                  </w:r>
                  <w:r>
                    <w:rPr>
                      <w:rFonts w:hint="eastAsia" w:ascii="宋体" w:hAnsi="宋体" w:cs="宋体"/>
                      <w:color w:val="auto"/>
                      <w:kern w:val="0"/>
                      <w:szCs w:val="21"/>
                      <w:lang w:eastAsia="zh-CN"/>
                    </w:rPr>
                    <w:t>、其他情况</w:t>
                  </w:r>
                  <w:r>
                    <w:rPr>
                      <w:rFonts w:hint="eastAsia" w:ascii="宋体" w:hAnsi="宋体" w:cs="宋体"/>
                      <w:color w:val="auto"/>
                      <w:kern w:val="0"/>
                      <w:szCs w:val="21"/>
                    </w:rPr>
                    <w:t>不得分。</w:t>
                  </w:r>
                </w:p>
                <w:p w14:paraId="16944AF7">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b/>
                      <w:bCs/>
                      <w:color w:val="auto"/>
                      <w:kern w:val="0"/>
                      <w:szCs w:val="21"/>
                    </w:rPr>
                  </w:pPr>
                  <w:r>
                    <w:rPr>
                      <w:rFonts w:hint="eastAsia" w:ascii="宋体" w:hAnsi="宋体" w:cs="宋体"/>
                      <w:b/>
                      <w:bCs/>
                      <w:color w:val="auto"/>
                      <w:kern w:val="0"/>
                      <w:szCs w:val="21"/>
                      <w:lang w:eastAsia="zh-CN"/>
                    </w:rPr>
                    <w:t>证明文件</w:t>
                  </w:r>
                  <w:r>
                    <w:rPr>
                      <w:rFonts w:hint="eastAsia" w:ascii="宋体" w:hAnsi="宋体" w:cs="宋体"/>
                      <w:b/>
                      <w:bCs/>
                      <w:color w:val="auto"/>
                      <w:kern w:val="0"/>
                      <w:szCs w:val="21"/>
                    </w:rPr>
                    <w:t>：</w:t>
                  </w:r>
                </w:p>
                <w:p w14:paraId="6BC9E430">
                  <w:pPr>
                    <w:keepNext w:val="0"/>
                    <w:keepLines w:val="0"/>
                    <w:pageBreakBefore w:val="0"/>
                    <w:widowControl/>
                    <w:kinsoku/>
                    <w:overflowPunct/>
                    <w:topLinePunct w:val="0"/>
                    <w:bidi w:val="0"/>
                    <w:snapToGrid/>
                    <w:spacing w:line="360" w:lineRule="auto"/>
                    <w:ind w:firstLine="0" w:firstLineChars="0"/>
                    <w:textAlignment w:val="auto"/>
                    <w:rPr>
                      <w:rFonts w:hint="eastAsia" w:ascii="宋体" w:hAnsi="宋体" w:cs="宋体"/>
                      <w:color w:val="auto"/>
                      <w:kern w:val="0"/>
                      <w:szCs w:val="21"/>
                    </w:rPr>
                  </w:pPr>
                  <w:r>
                    <w:rPr>
                      <w:rFonts w:hint="eastAsia" w:ascii="宋体" w:hAnsi="宋体" w:cs="宋体"/>
                      <w:color w:val="auto"/>
                      <w:kern w:val="0"/>
                      <w:szCs w:val="21"/>
                    </w:rPr>
                    <w:t>1</w:t>
                  </w:r>
                  <w:r>
                    <w:rPr>
                      <w:rFonts w:hint="eastAsia" w:ascii="宋体" w:hAnsi="宋体" w:cs="宋体"/>
                      <w:color w:val="auto"/>
                      <w:kern w:val="0"/>
                      <w:szCs w:val="21"/>
                      <w:lang w:eastAsia="zh-CN"/>
                    </w:rPr>
                    <w:t>、若为自有场所，则</w:t>
                  </w:r>
                  <w:r>
                    <w:rPr>
                      <w:rFonts w:hint="eastAsia" w:ascii="宋体" w:hAnsi="宋体" w:cs="宋体"/>
                      <w:color w:val="auto"/>
                      <w:kern w:val="0"/>
                      <w:szCs w:val="21"/>
                    </w:rPr>
                    <w:t>提供自有房产证明</w:t>
                  </w:r>
                  <w:r>
                    <w:rPr>
                      <w:rFonts w:hint="eastAsia" w:ascii="宋体" w:hAnsi="宋体" w:cs="宋体"/>
                      <w:color w:val="auto"/>
                      <w:kern w:val="0"/>
                      <w:szCs w:val="21"/>
                      <w:lang w:eastAsia="zh-CN"/>
                    </w:rPr>
                    <w:t>扫描件及</w:t>
                  </w:r>
                  <w:r>
                    <w:rPr>
                      <w:rFonts w:hint="eastAsia" w:ascii="宋体" w:hAnsi="宋体" w:cs="宋体"/>
                      <w:color w:val="auto"/>
                      <w:kern w:val="0"/>
                      <w:szCs w:val="21"/>
                    </w:rPr>
                    <w:t>配送场所现场照片</w:t>
                  </w:r>
                  <w:r>
                    <w:rPr>
                      <w:rFonts w:hint="eastAsia" w:ascii="宋体" w:hAnsi="宋体" w:cs="宋体"/>
                      <w:color w:val="auto"/>
                      <w:kern w:val="0"/>
                      <w:szCs w:val="21"/>
                      <w:lang w:eastAsia="zh-CN"/>
                    </w:rPr>
                    <w:t>；若为租赁场所，则提供</w:t>
                  </w:r>
                  <w:r>
                    <w:rPr>
                      <w:rFonts w:hint="eastAsia" w:ascii="宋体" w:hAnsi="宋体" w:cs="宋体"/>
                      <w:color w:val="auto"/>
                      <w:kern w:val="0"/>
                      <w:szCs w:val="21"/>
                    </w:rPr>
                    <w:t>租赁合同关键页</w:t>
                  </w:r>
                  <w:r>
                    <w:rPr>
                      <w:rFonts w:hint="eastAsia" w:ascii="宋体" w:hAnsi="宋体" w:cs="宋体"/>
                      <w:color w:val="auto"/>
                      <w:kern w:val="0"/>
                      <w:szCs w:val="21"/>
                      <w:lang w:eastAsia="zh-CN"/>
                    </w:rPr>
                    <w:t>扫描件</w:t>
                  </w:r>
                  <w:r>
                    <w:rPr>
                      <w:rFonts w:hint="eastAsia" w:ascii="宋体" w:hAnsi="宋体" w:cs="宋体"/>
                      <w:color w:val="auto"/>
                      <w:kern w:val="0"/>
                      <w:szCs w:val="21"/>
                    </w:rPr>
                    <w:t>（包括但不限于：合同名称页、合同主要内容页、合同签订日期页、合同双方签字盖章页）和配送场所现场照片；</w:t>
                  </w:r>
                </w:p>
                <w:p w14:paraId="632E2B92">
                  <w:pPr>
                    <w:keepNext w:val="0"/>
                    <w:keepLines w:val="0"/>
                    <w:pageBreakBefore w:val="0"/>
                    <w:widowControl/>
                    <w:kinsoku/>
                    <w:wordWrap w:val="0"/>
                    <w:overflowPunct/>
                    <w:topLinePunct w:val="0"/>
                    <w:bidi w:val="0"/>
                    <w:snapToGrid/>
                    <w:spacing w:line="360" w:lineRule="auto"/>
                    <w:ind w:firstLine="0" w:firstLineChars="0"/>
                    <w:textAlignment w:val="auto"/>
                    <w:rPr>
                      <w:rFonts w:hint="eastAsia" w:ascii="宋体" w:hAnsi="宋体" w:eastAsia="宋体" w:cs="宋体"/>
                      <w:color w:val="auto"/>
                      <w:kern w:val="2"/>
                      <w:sz w:val="21"/>
                      <w:szCs w:val="21"/>
                      <w:lang w:val="zh-CN" w:eastAsia="zh-CN" w:bidi="ar-SA"/>
                    </w:rPr>
                  </w:pPr>
                  <w:r>
                    <w:rPr>
                      <w:rFonts w:hint="eastAsia" w:ascii="宋体" w:hAnsi="宋体" w:cs="宋体"/>
                      <w:color w:val="auto"/>
                      <w:kern w:val="0"/>
                      <w:szCs w:val="21"/>
                    </w:rPr>
                    <w:t>2</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5BE065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7431A0B4">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25F0202E">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w:t>
                  </w:r>
                </w:p>
              </w:tc>
              <w:tc>
                <w:tcPr>
                  <w:tcW w:w="2835" w:type="dxa"/>
                  <w:tcBorders>
                    <w:top w:val="single" w:color="000000" w:sz="8" w:space="0"/>
                    <w:left w:val="single" w:color="000000" w:sz="8" w:space="0"/>
                    <w:bottom w:val="single" w:color="000000" w:sz="8" w:space="0"/>
                    <w:right w:val="single" w:color="000000" w:sz="8" w:space="0"/>
                  </w:tcBorders>
                  <w:vAlign w:val="center"/>
                </w:tcPr>
                <w:p w14:paraId="7738AAFA">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拟投入本项目的车辆</w:t>
                  </w:r>
                </w:p>
              </w:tc>
              <w:tc>
                <w:tcPr>
                  <w:tcW w:w="681" w:type="dxa"/>
                  <w:tcBorders>
                    <w:top w:val="single" w:color="000000" w:sz="8" w:space="0"/>
                    <w:left w:val="single" w:color="000000" w:sz="8" w:space="0"/>
                    <w:bottom w:val="single" w:color="000000" w:sz="8" w:space="0"/>
                    <w:right w:val="single" w:color="000000" w:sz="8" w:space="0"/>
                  </w:tcBorders>
                  <w:vAlign w:val="center"/>
                </w:tcPr>
                <w:p w14:paraId="23C9B568">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rPr>
                    <w:t>6</w:t>
                  </w:r>
                </w:p>
              </w:tc>
              <w:tc>
                <w:tcPr>
                  <w:tcW w:w="4196" w:type="dxa"/>
                  <w:tcBorders>
                    <w:top w:val="single" w:color="000000" w:sz="8" w:space="0"/>
                    <w:left w:val="single" w:color="000000" w:sz="8" w:space="0"/>
                    <w:bottom w:val="single" w:color="000000" w:sz="8" w:space="0"/>
                    <w:right w:val="single" w:color="000000" w:sz="8" w:space="0"/>
                  </w:tcBorders>
                  <w:vAlign w:val="center"/>
                </w:tcPr>
                <w:p w14:paraId="1DD23130">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b/>
                      <w:bCs/>
                      <w:color w:val="auto"/>
                      <w:kern w:val="0"/>
                      <w:szCs w:val="21"/>
                    </w:rPr>
                  </w:pPr>
                  <w:r>
                    <w:rPr>
                      <w:rFonts w:hint="eastAsia" w:ascii="宋体" w:hAnsi="宋体" w:cs="宋体"/>
                      <w:b/>
                      <w:bCs/>
                      <w:color w:val="auto"/>
                      <w:kern w:val="0"/>
                      <w:szCs w:val="21"/>
                      <w:lang w:eastAsia="zh-CN"/>
                    </w:rPr>
                    <w:t>考察内容</w:t>
                  </w:r>
                  <w:r>
                    <w:rPr>
                      <w:rFonts w:hint="eastAsia" w:ascii="宋体" w:hAnsi="宋体" w:eastAsia="宋体" w:cs="宋体"/>
                      <w:b/>
                      <w:bCs/>
                      <w:color w:val="auto"/>
                      <w:kern w:val="0"/>
                      <w:szCs w:val="21"/>
                    </w:rPr>
                    <w:t>：</w:t>
                  </w:r>
                </w:p>
                <w:p w14:paraId="34CA0A60">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投标人</w:t>
                  </w:r>
                  <w:r>
                    <w:rPr>
                      <w:rFonts w:hint="eastAsia" w:ascii="宋体" w:hAnsi="宋体" w:cs="宋体"/>
                      <w:color w:val="auto"/>
                      <w:szCs w:val="21"/>
                      <w:lang w:eastAsia="zh-CN"/>
                    </w:rPr>
                    <w:t>拟投入本项目</w:t>
                  </w:r>
                  <w:r>
                    <w:rPr>
                      <w:rFonts w:hint="eastAsia" w:ascii="宋体" w:hAnsi="宋体" w:eastAsia="宋体" w:cs="宋体"/>
                      <w:color w:val="auto"/>
                      <w:szCs w:val="21"/>
                    </w:rPr>
                    <w:t>的配送车辆</w:t>
                  </w:r>
                  <w:r>
                    <w:rPr>
                      <w:rFonts w:hint="eastAsia" w:ascii="宋体" w:hAnsi="宋体" w:cs="宋体"/>
                      <w:color w:val="auto"/>
                      <w:szCs w:val="21"/>
                      <w:lang w:eastAsia="zh-CN"/>
                    </w:rPr>
                    <w:t>（</w:t>
                  </w:r>
                  <w:r>
                    <w:rPr>
                      <w:rFonts w:hint="eastAsia" w:ascii="宋体" w:hAnsi="宋体" w:eastAsia="宋体" w:cs="宋体"/>
                      <w:color w:val="auto"/>
                      <w:szCs w:val="21"/>
                    </w:rPr>
                    <w:t>自有或租赁</w:t>
                  </w:r>
                  <w:r>
                    <w:rPr>
                      <w:rFonts w:hint="eastAsia" w:ascii="宋体" w:hAnsi="宋体" w:cs="宋体"/>
                      <w:color w:val="auto"/>
                      <w:szCs w:val="21"/>
                      <w:lang w:eastAsia="zh-CN"/>
                    </w:rPr>
                    <w:t>均可）</w:t>
                  </w:r>
                  <w:r>
                    <w:rPr>
                      <w:rFonts w:hint="eastAsia" w:ascii="宋体" w:hAnsi="宋体" w:eastAsia="宋体" w:cs="宋体"/>
                      <w:color w:val="auto"/>
                      <w:szCs w:val="21"/>
                    </w:rPr>
                    <w:t>情况：</w:t>
                  </w:r>
                </w:p>
                <w:p w14:paraId="2A685E9B">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cs="宋体"/>
                      <w:color w:val="auto"/>
                      <w:szCs w:val="21"/>
                      <w:lang w:eastAsia="zh-CN"/>
                    </w:rPr>
                    <w:t>、</w:t>
                  </w:r>
                  <w:r>
                    <w:rPr>
                      <w:rFonts w:hint="eastAsia" w:ascii="宋体" w:hAnsi="宋体" w:eastAsia="宋体" w:cs="宋体"/>
                      <w:color w:val="auto"/>
                      <w:szCs w:val="21"/>
                    </w:rPr>
                    <w:t>每投入一辆冷藏车辆</w:t>
                  </w:r>
                  <w:r>
                    <w:rPr>
                      <w:rFonts w:hint="eastAsia" w:ascii="宋体" w:hAnsi="宋体" w:cs="宋体"/>
                      <w:color w:val="auto"/>
                      <w:szCs w:val="21"/>
                      <w:lang w:eastAsia="zh-CN"/>
                    </w:rPr>
                    <w:t>的</w:t>
                  </w:r>
                  <w:r>
                    <w:rPr>
                      <w:rFonts w:hint="eastAsia" w:ascii="宋体" w:hAnsi="宋体" w:eastAsia="宋体" w:cs="宋体"/>
                      <w:color w:val="auto"/>
                      <w:szCs w:val="21"/>
                    </w:rPr>
                    <w:t>得10分，</w:t>
                  </w:r>
                  <w:r>
                    <w:rPr>
                      <w:rFonts w:hint="eastAsia" w:ascii="宋体" w:hAnsi="宋体" w:cs="宋体"/>
                      <w:color w:val="auto"/>
                      <w:szCs w:val="21"/>
                      <w:lang w:eastAsia="zh-CN"/>
                    </w:rPr>
                    <w:t>本小项</w:t>
                  </w:r>
                  <w:r>
                    <w:rPr>
                      <w:rFonts w:hint="eastAsia" w:ascii="宋体" w:hAnsi="宋体" w:eastAsia="宋体" w:cs="宋体"/>
                      <w:color w:val="auto"/>
                      <w:szCs w:val="21"/>
                    </w:rPr>
                    <w:t>最高得50分</w:t>
                  </w:r>
                  <w:r>
                    <w:rPr>
                      <w:rFonts w:hint="eastAsia" w:ascii="宋体" w:hAnsi="宋体" w:cs="宋体"/>
                      <w:color w:val="auto"/>
                      <w:szCs w:val="21"/>
                      <w:lang w:eastAsia="zh-CN"/>
                    </w:rPr>
                    <w:t>；</w:t>
                  </w:r>
                </w:p>
                <w:p w14:paraId="5EEF5521">
                  <w:pPr>
                    <w:keepNext w:val="0"/>
                    <w:keepLines w:val="0"/>
                    <w:pageBreakBefore w:val="0"/>
                    <w:kinsoku/>
                    <w:overflowPunct/>
                    <w:topLinePunct w:val="0"/>
                    <w:autoSpaceDE w:val="0"/>
                    <w:autoSpaceDN w:val="0"/>
                    <w:bidi w:val="0"/>
                    <w:adjustRightInd w:val="0"/>
                    <w:snapToGrid/>
                    <w:spacing w:line="360" w:lineRule="auto"/>
                    <w:ind w:firstLine="0" w:firstLineChars="0"/>
                    <w:textAlignment w:val="auto"/>
                    <w:rPr>
                      <w:rFonts w:hint="eastAsia" w:ascii="宋体" w:hAnsi="宋体" w:eastAsia="宋体" w:cs="宋体"/>
                      <w:color w:val="auto"/>
                      <w:kern w:val="0"/>
                      <w:szCs w:val="21"/>
                    </w:rPr>
                  </w:pPr>
                  <w:r>
                    <w:rPr>
                      <w:rFonts w:hint="eastAsia" w:ascii="宋体" w:hAnsi="宋体" w:eastAsia="宋体" w:cs="宋体"/>
                      <w:color w:val="auto"/>
                      <w:kern w:val="0"/>
                      <w:szCs w:val="21"/>
                    </w:rPr>
                    <w:t>2</w:t>
                  </w:r>
                  <w:r>
                    <w:rPr>
                      <w:rFonts w:hint="eastAsia" w:ascii="宋体" w:hAnsi="宋体" w:cs="宋体"/>
                      <w:color w:val="auto"/>
                      <w:kern w:val="0"/>
                      <w:szCs w:val="21"/>
                      <w:lang w:eastAsia="zh-CN"/>
                    </w:rPr>
                    <w:t>、</w:t>
                  </w:r>
                  <w:r>
                    <w:rPr>
                      <w:rFonts w:hint="eastAsia" w:ascii="宋体" w:hAnsi="宋体" w:eastAsia="宋体" w:cs="宋体"/>
                      <w:color w:val="auto"/>
                      <w:kern w:val="0"/>
                      <w:szCs w:val="21"/>
                    </w:rPr>
                    <w:t>每投入一辆配送车辆（无需冷藏功能，但具有冷藏功能的车辆也可得分）</w:t>
                  </w:r>
                  <w:r>
                    <w:rPr>
                      <w:rFonts w:hint="eastAsia" w:ascii="宋体" w:hAnsi="宋体" w:cs="宋体"/>
                      <w:color w:val="auto"/>
                      <w:kern w:val="0"/>
                      <w:szCs w:val="21"/>
                      <w:lang w:eastAsia="zh-CN"/>
                    </w:rPr>
                    <w:t>的</w:t>
                  </w:r>
                  <w:r>
                    <w:rPr>
                      <w:rFonts w:hint="eastAsia" w:ascii="宋体" w:hAnsi="宋体" w:eastAsia="宋体" w:cs="宋体"/>
                      <w:color w:val="auto"/>
                      <w:kern w:val="0"/>
                      <w:szCs w:val="21"/>
                    </w:rPr>
                    <w:t>得10</w:t>
                  </w:r>
                  <w:r>
                    <w:rPr>
                      <w:rFonts w:hint="eastAsia" w:ascii="宋体" w:hAnsi="宋体" w:eastAsia="宋体" w:cs="宋体"/>
                      <w:color w:val="auto"/>
                      <w:szCs w:val="21"/>
                    </w:rPr>
                    <w:t>分</w:t>
                  </w:r>
                  <w:r>
                    <w:rPr>
                      <w:rFonts w:hint="eastAsia" w:ascii="宋体" w:hAnsi="宋体" w:eastAsia="宋体" w:cs="宋体"/>
                      <w:color w:val="auto"/>
                      <w:kern w:val="0"/>
                      <w:szCs w:val="21"/>
                    </w:rPr>
                    <w:t>，</w:t>
                  </w:r>
                  <w:r>
                    <w:rPr>
                      <w:rFonts w:hint="eastAsia" w:ascii="宋体" w:hAnsi="宋体" w:cs="宋体"/>
                      <w:color w:val="auto"/>
                      <w:szCs w:val="21"/>
                      <w:lang w:eastAsia="zh-CN"/>
                    </w:rPr>
                    <w:t>本小项</w:t>
                  </w:r>
                  <w:r>
                    <w:rPr>
                      <w:rFonts w:hint="eastAsia" w:ascii="宋体" w:hAnsi="宋体" w:eastAsia="宋体" w:cs="宋体"/>
                      <w:color w:val="auto"/>
                      <w:kern w:val="0"/>
                      <w:szCs w:val="21"/>
                    </w:rPr>
                    <w:t>最高得50</w:t>
                  </w:r>
                  <w:r>
                    <w:rPr>
                      <w:rFonts w:hint="eastAsia" w:ascii="宋体" w:hAnsi="宋体" w:eastAsia="宋体" w:cs="宋体"/>
                      <w:color w:val="auto"/>
                      <w:szCs w:val="21"/>
                    </w:rPr>
                    <w:t>分</w:t>
                  </w:r>
                  <w:r>
                    <w:rPr>
                      <w:rFonts w:hint="eastAsia" w:ascii="宋体" w:hAnsi="宋体" w:eastAsia="宋体" w:cs="宋体"/>
                      <w:color w:val="auto"/>
                      <w:kern w:val="0"/>
                      <w:szCs w:val="21"/>
                    </w:rPr>
                    <w:t>。</w:t>
                  </w:r>
                </w:p>
                <w:p w14:paraId="593DAC38">
                  <w:pPr>
                    <w:keepNext w:val="0"/>
                    <w:keepLines w:val="0"/>
                    <w:pageBreakBefore w:val="0"/>
                    <w:kinsoku/>
                    <w:overflowPunct/>
                    <w:topLinePunct w:val="0"/>
                    <w:autoSpaceDE w:val="0"/>
                    <w:autoSpaceDN w:val="0"/>
                    <w:bidi w:val="0"/>
                    <w:adjustRightInd w:val="0"/>
                    <w:snapToGrid/>
                    <w:spacing w:line="360" w:lineRule="auto"/>
                    <w:ind w:firstLine="0" w:firstLineChars="0"/>
                    <w:jc w:val="left"/>
                    <w:textAlignment w:val="auto"/>
                    <w:rPr>
                      <w:rFonts w:hint="eastAsia" w:ascii="宋体" w:hAnsi="宋体" w:eastAsia="宋体" w:cs="宋体"/>
                      <w:color w:val="auto"/>
                      <w:szCs w:val="21"/>
                    </w:rPr>
                  </w:pPr>
                  <w:r>
                    <w:rPr>
                      <w:rFonts w:hint="eastAsia" w:ascii="宋体" w:hAnsi="宋体" w:eastAsia="宋体" w:cs="宋体"/>
                      <w:color w:val="auto"/>
                      <w:kern w:val="0"/>
                      <w:szCs w:val="21"/>
                    </w:rPr>
                    <w:t>以上2项累计得分，</w:t>
                  </w:r>
                  <w:r>
                    <w:rPr>
                      <w:rFonts w:hint="eastAsia" w:ascii="宋体" w:hAnsi="宋体" w:eastAsia="宋体" w:cs="宋体"/>
                      <w:color w:val="auto"/>
                      <w:szCs w:val="21"/>
                    </w:rPr>
                    <w:t>同一车辆不能重复得分，</w:t>
                  </w:r>
                  <w:r>
                    <w:rPr>
                      <w:rFonts w:hint="eastAsia" w:ascii="宋体" w:hAnsi="宋体" w:eastAsia="宋体" w:cs="宋体"/>
                      <w:color w:val="auto"/>
                      <w:kern w:val="0"/>
                      <w:szCs w:val="21"/>
                    </w:rPr>
                    <w:t>最高得100</w:t>
                  </w:r>
                  <w:r>
                    <w:rPr>
                      <w:rFonts w:hint="eastAsia" w:ascii="宋体" w:hAnsi="宋体" w:eastAsia="宋体" w:cs="宋体"/>
                      <w:color w:val="auto"/>
                      <w:szCs w:val="21"/>
                    </w:rPr>
                    <w:t>分</w:t>
                  </w:r>
                  <w:r>
                    <w:rPr>
                      <w:rFonts w:hint="eastAsia" w:ascii="宋体" w:hAnsi="宋体" w:eastAsia="宋体" w:cs="宋体"/>
                      <w:color w:val="auto"/>
                      <w:kern w:val="0"/>
                      <w:szCs w:val="21"/>
                    </w:rPr>
                    <w:t>。</w:t>
                  </w:r>
                </w:p>
                <w:p w14:paraId="346B0B64">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b/>
                      <w:bCs/>
                      <w:color w:val="auto"/>
                      <w:kern w:val="0"/>
                      <w:szCs w:val="21"/>
                    </w:rPr>
                  </w:pPr>
                  <w:r>
                    <w:rPr>
                      <w:rFonts w:hint="eastAsia" w:ascii="宋体" w:hAnsi="宋体" w:cs="宋体"/>
                      <w:b/>
                      <w:bCs/>
                      <w:color w:val="auto"/>
                      <w:kern w:val="0"/>
                      <w:szCs w:val="21"/>
                      <w:lang w:eastAsia="zh-CN"/>
                    </w:rPr>
                    <w:t>证明文件</w:t>
                  </w:r>
                  <w:r>
                    <w:rPr>
                      <w:rFonts w:hint="eastAsia" w:ascii="宋体" w:hAnsi="宋体" w:eastAsia="宋体" w:cs="宋体"/>
                      <w:b/>
                      <w:bCs/>
                      <w:color w:val="auto"/>
                      <w:kern w:val="0"/>
                      <w:szCs w:val="21"/>
                    </w:rPr>
                    <w:t>：</w:t>
                  </w:r>
                </w:p>
                <w:p w14:paraId="36F3A9D6">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kern w:val="0"/>
                      <w:szCs w:val="21"/>
                    </w:rPr>
                  </w:pPr>
                  <w:r>
                    <w:rPr>
                      <w:rFonts w:hint="eastAsia" w:ascii="宋体" w:hAnsi="宋体" w:eastAsia="宋体" w:cs="宋体"/>
                      <w:color w:val="auto"/>
                      <w:kern w:val="0"/>
                      <w:szCs w:val="21"/>
                    </w:rPr>
                    <w:t>1</w:t>
                  </w:r>
                  <w:r>
                    <w:rPr>
                      <w:rFonts w:hint="eastAsia" w:ascii="宋体" w:hAnsi="宋体" w:cs="宋体"/>
                      <w:color w:val="auto"/>
                      <w:kern w:val="0"/>
                      <w:szCs w:val="21"/>
                      <w:lang w:eastAsia="zh-CN"/>
                    </w:rPr>
                    <w:t>、若为自有车辆，则</w:t>
                  </w:r>
                  <w:r>
                    <w:rPr>
                      <w:rFonts w:hint="eastAsia" w:ascii="宋体" w:hAnsi="宋体" w:eastAsia="宋体" w:cs="宋体"/>
                      <w:color w:val="auto"/>
                      <w:kern w:val="0"/>
                      <w:szCs w:val="21"/>
                    </w:rPr>
                    <w:t>同时提供①车辆行驶证（年审在有效期内）</w:t>
                  </w:r>
                  <w:r>
                    <w:rPr>
                      <w:rFonts w:hint="eastAsia" w:ascii="宋体" w:hAnsi="宋体" w:cs="宋体"/>
                      <w:color w:val="auto"/>
                      <w:kern w:val="0"/>
                      <w:szCs w:val="21"/>
                      <w:lang w:eastAsia="zh-CN"/>
                    </w:rPr>
                    <w:t>扫描件</w:t>
                  </w:r>
                  <w:r>
                    <w:rPr>
                      <w:rFonts w:hint="eastAsia" w:ascii="宋体" w:hAnsi="宋体" w:eastAsia="宋体" w:cs="宋体"/>
                      <w:color w:val="auto"/>
                      <w:kern w:val="0"/>
                      <w:szCs w:val="21"/>
                    </w:rPr>
                    <w:t>；②车辆购置发票</w:t>
                  </w:r>
                  <w:r>
                    <w:rPr>
                      <w:rFonts w:hint="eastAsia" w:ascii="宋体" w:hAnsi="宋体" w:eastAsia="宋体" w:cs="宋体"/>
                      <w:bCs/>
                      <w:color w:val="auto"/>
                      <w:szCs w:val="21"/>
                    </w:rPr>
                    <w:t>或车辆登记证</w:t>
                  </w:r>
                  <w:r>
                    <w:rPr>
                      <w:rFonts w:hint="eastAsia" w:ascii="宋体" w:hAnsi="宋体" w:eastAsia="宋体" w:cs="宋体"/>
                      <w:color w:val="auto"/>
                      <w:kern w:val="0"/>
                      <w:szCs w:val="21"/>
                    </w:rPr>
                    <w:t>扫描件，车辆所有人</w:t>
                  </w:r>
                  <w:r>
                    <w:rPr>
                      <w:rFonts w:hint="eastAsia" w:ascii="宋体" w:hAnsi="宋体" w:cs="宋体"/>
                      <w:color w:val="auto"/>
                      <w:kern w:val="0"/>
                      <w:szCs w:val="21"/>
                      <w:lang w:eastAsia="zh-CN"/>
                    </w:rPr>
                    <w:t>需</w:t>
                  </w:r>
                  <w:r>
                    <w:rPr>
                      <w:rFonts w:hint="eastAsia" w:ascii="宋体" w:hAnsi="宋体" w:eastAsia="宋体" w:cs="宋体"/>
                      <w:color w:val="auto"/>
                      <w:kern w:val="0"/>
                      <w:szCs w:val="21"/>
                    </w:rPr>
                    <w:t>为投标单位或投标人法定代表人；③车头完整正面图片（含车牌号码）；</w:t>
                  </w:r>
                </w:p>
                <w:p w14:paraId="3B891278">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kern w:val="0"/>
                      <w:szCs w:val="21"/>
                      <w:lang w:eastAsia="zh-CN"/>
                    </w:rPr>
                  </w:pPr>
                  <w:r>
                    <w:rPr>
                      <w:rFonts w:hint="eastAsia" w:ascii="宋体" w:hAnsi="宋体" w:eastAsia="宋体" w:cs="宋体"/>
                      <w:color w:val="auto"/>
                      <w:kern w:val="0"/>
                      <w:szCs w:val="21"/>
                    </w:rPr>
                    <w:t>2</w:t>
                  </w:r>
                  <w:r>
                    <w:rPr>
                      <w:rFonts w:hint="eastAsia" w:ascii="宋体" w:hAnsi="宋体" w:cs="宋体"/>
                      <w:color w:val="auto"/>
                      <w:kern w:val="0"/>
                      <w:szCs w:val="21"/>
                      <w:lang w:eastAsia="zh-CN"/>
                    </w:rPr>
                    <w:t>、若为租赁车辆，则</w:t>
                  </w:r>
                  <w:r>
                    <w:rPr>
                      <w:rFonts w:hint="eastAsia" w:ascii="宋体" w:hAnsi="宋体" w:eastAsia="宋体" w:cs="宋体"/>
                      <w:color w:val="auto"/>
                      <w:kern w:val="0"/>
                      <w:szCs w:val="21"/>
                    </w:rPr>
                    <w:t>同时提供①车辆行驶证（年审在有效期内）扫描件；②车头完整正面图片（含车牌号码）；③提供车辆租赁合同</w:t>
                  </w:r>
                  <w:r>
                    <w:rPr>
                      <w:rFonts w:hint="eastAsia" w:ascii="宋体" w:hAnsi="宋体" w:cs="宋体"/>
                      <w:color w:val="auto"/>
                      <w:kern w:val="0"/>
                      <w:szCs w:val="21"/>
                      <w:lang w:eastAsia="zh-CN"/>
                    </w:rPr>
                    <w:t>（租期能保证本合同履约要求的）</w:t>
                  </w:r>
                  <w:r>
                    <w:rPr>
                      <w:rFonts w:hint="eastAsia" w:ascii="宋体" w:hAnsi="宋体" w:eastAsia="宋体" w:cs="宋体"/>
                      <w:color w:val="auto"/>
                      <w:kern w:val="0"/>
                      <w:szCs w:val="21"/>
                    </w:rPr>
                    <w:t>；④提供本项目招标公告发布之日前任意一次的租金发票及银行流水</w:t>
                  </w:r>
                  <w:r>
                    <w:rPr>
                      <w:rFonts w:hint="eastAsia" w:ascii="宋体" w:hAnsi="宋体" w:eastAsia="宋体" w:cs="宋体"/>
                      <w:color w:val="auto"/>
                      <w:kern w:val="0"/>
                      <w:szCs w:val="21"/>
                      <w:lang w:eastAsia="zh-CN"/>
                    </w:rPr>
                    <w:t>；</w:t>
                  </w:r>
                </w:p>
                <w:p w14:paraId="437A1F19">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Cs w:val="21"/>
                    </w:rPr>
                    <w:t>3</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28685E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6364C5CB">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79E8D225">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w:t>
                  </w:r>
                </w:p>
              </w:tc>
              <w:tc>
                <w:tcPr>
                  <w:tcW w:w="2835" w:type="dxa"/>
                  <w:tcBorders>
                    <w:top w:val="single" w:color="000000" w:sz="8" w:space="0"/>
                    <w:left w:val="single" w:color="000000" w:sz="8" w:space="0"/>
                    <w:bottom w:val="single" w:color="000000" w:sz="8" w:space="0"/>
                    <w:right w:val="single" w:color="000000" w:sz="8" w:space="0"/>
                  </w:tcBorders>
                  <w:vAlign w:val="center"/>
                </w:tcPr>
                <w:p w14:paraId="2439FCD9">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Cs w:val="21"/>
                      <w:lang w:eastAsia="zh-CN"/>
                    </w:rPr>
                    <w:t>拟投入</w:t>
                  </w:r>
                  <w:r>
                    <w:rPr>
                      <w:rFonts w:hint="eastAsia" w:ascii="宋体" w:hAnsi="宋体" w:eastAsia="宋体" w:cs="宋体"/>
                      <w:color w:val="auto"/>
                      <w:kern w:val="0"/>
                      <w:szCs w:val="21"/>
                    </w:rPr>
                    <w:t>食品安全检测</w:t>
                  </w:r>
                  <w:r>
                    <w:rPr>
                      <w:rFonts w:hint="eastAsia" w:ascii="宋体" w:hAnsi="宋体" w:cs="宋体"/>
                      <w:color w:val="auto"/>
                      <w:kern w:val="0"/>
                      <w:szCs w:val="21"/>
                      <w:lang w:eastAsia="zh-CN"/>
                    </w:rPr>
                    <w:t>设备情况</w:t>
                  </w:r>
                </w:p>
              </w:tc>
              <w:tc>
                <w:tcPr>
                  <w:tcW w:w="681" w:type="dxa"/>
                  <w:tcBorders>
                    <w:top w:val="single" w:color="000000" w:sz="8" w:space="0"/>
                    <w:left w:val="single" w:color="000000" w:sz="8" w:space="0"/>
                    <w:bottom w:val="single" w:color="000000" w:sz="8" w:space="0"/>
                    <w:right w:val="single" w:color="000000" w:sz="8" w:space="0"/>
                  </w:tcBorders>
                  <w:vAlign w:val="center"/>
                </w:tcPr>
                <w:p w14:paraId="3AF68711">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rPr>
                    <w:t>6</w:t>
                  </w:r>
                </w:p>
              </w:tc>
              <w:tc>
                <w:tcPr>
                  <w:tcW w:w="4196" w:type="dxa"/>
                  <w:tcBorders>
                    <w:top w:val="single" w:color="000000" w:sz="8" w:space="0"/>
                    <w:left w:val="single" w:color="000000" w:sz="8" w:space="0"/>
                    <w:bottom w:val="single" w:color="000000" w:sz="8" w:space="0"/>
                    <w:right w:val="single" w:color="000000" w:sz="8" w:space="0"/>
                  </w:tcBorders>
                  <w:vAlign w:val="center"/>
                </w:tcPr>
                <w:p w14:paraId="4F4F7B94">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b/>
                      <w:bCs/>
                      <w:color w:val="auto"/>
                      <w:kern w:val="0"/>
                      <w:szCs w:val="21"/>
                    </w:rPr>
                  </w:pPr>
                  <w:r>
                    <w:rPr>
                      <w:rFonts w:hint="eastAsia" w:ascii="宋体" w:hAnsi="宋体" w:cs="宋体"/>
                      <w:b/>
                      <w:bCs/>
                      <w:color w:val="auto"/>
                      <w:szCs w:val="21"/>
                      <w:lang w:eastAsia="zh-CN"/>
                    </w:rPr>
                    <w:t>考察内容</w:t>
                  </w:r>
                  <w:r>
                    <w:rPr>
                      <w:rFonts w:hint="eastAsia" w:ascii="宋体" w:hAnsi="宋体" w:eastAsia="宋体" w:cs="宋体"/>
                      <w:b/>
                      <w:bCs/>
                      <w:color w:val="auto"/>
                      <w:kern w:val="0"/>
                      <w:szCs w:val="21"/>
                    </w:rPr>
                    <w:t>：</w:t>
                  </w:r>
                </w:p>
                <w:p w14:paraId="691A122D">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kern w:val="0"/>
                      <w:szCs w:val="21"/>
                    </w:rPr>
                  </w:pPr>
                  <w:r>
                    <w:rPr>
                      <w:rFonts w:hint="eastAsia" w:ascii="宋体" w:hAnsi="宋体" w:eastAsia="宋体" w:cs="宋体"/>
                      <w:color w:val="auto"/>
                      <w:kern w:val="0"/>
                      <w:szCs w:val="21"/>
                    </w:rPr>
                    <w:t>投标人具有检测室，否则不得分，在此基础上，投标人具有仪器</w:t>
                  </w:r>
                  <w:r>
                    <w:rPr>
                      <w:rFonts w:hint="eastAsia" w:ascii="宋体" w:hAnsi="宋体" w:cs="宋体"/>
                      <w:color w:val="auto"/>
                      <w:kern w:val="0"/>
                      <w:szCs w:val="21"/>
                      <w:lang w:eastAsia="zh-CN"/>
                    </w:rPr>
                    <w:t>情况（自有或租赁均可）</w:t>
                  </w:r>
                  <w:r>
                    <w:rPr>
                      <w:rFonts w:hint="eastAsia" w:ascii="宋体" w:hAnsi="宋体" w:eastAsia="宋体" w:cs="宋体"/>
                      <w:color w:val="auto"/>
                      <w:kern w:val="0"/>
                      <w:szCs w:val="21"/>
                    </w:rPr>
                    <w:t>：</w:t>
                  </w:r>
                </w:p>
                <w:p w14:paraId="2F688646">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1、农药残留类检测仪的，得20分；</w:t>
                  </w:r>
                </w:p>
                <w:p w14:paraId="1849D672">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2、重金属类检测仪的，得20分；</w:t>
                  </w:r>
                </w:p>
                <w:p w14:paraId="26C13DAE">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3、兽药残留类检测仪的，得20分；</w:t>
                  </w:r>
                </w:p>
                <w:p w14:paraId="1BD4F32B">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4、肉类水分类检测仪的，得20分；</w:t>
                  </w:r>
                </w:p>
                <w:p w14:paraId="4C1395A9">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5、微生物类检测仪的，得20分；</w:t>
                  </w:r>
                </w:p>
                <w:p w14:paraId="67AEB8E8">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同一台仪器只计一次分，不重复计分。</w:t>
                  </w:r>
                </w:p>
                <w:p w14:paraId="1DE1700B">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本项最高100分。</w:t>
                  </w:r>
                </w:p>
                <w:p w14:paraId="042DB800">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cs="宋体"/>
                      <w:b/>
                      <w:bCs/>
                      <w:color w:val="auto"/>
                      <w:kern w:val="0"/>
                      <w:szCs w:val="21"/>
                      <w:lang w:eastAsia="zh-CN"/>
                    </w:rPr>
                    <w:t>证明文件</w:t>
                  </w:r>
                  <w:r>
                    <w:rPr>
                      <w:rFonts w:hint="eastAsia" w:ascii="宋体" w:hAnsi="宋体" w:eastAsia="宋体" w:cs="宋体"/>
                      <w:b/>
                      <w:bCs/>
                      <w:color w:val="auto"/>
                      <w:kern w:val="0"/>
                      <w:szCs w:val="21"/>
                    </w:rPr>
                    <w:t>：</w:t>
                  </w:r>
                </w:p>
                <w:p w14:paraId="12C3122B">
                  <w:pPr>
                    <w:keepNext w:val="0"/>
                    <w:keepLines w:val="0"/>
                    <w:pageBreakBefore w:val="0"/>
                    <w:kinsoku/>
                    <w:overflowPunct/>
                    <w:topLinePunct w:val="0"/>
                    <w:bidi w:val="0"/>
                    <w:snapToGrid/>
                    <w:spacing w:line="360" w:lineRule="auto"/>
                    <w:ind w:firstLine="0" w:firstLineChars="0"/>
                    <w:textAlignment w:val="auto"/>
                    <w:rPr>
                      <w:rFonts w:hint="eastAsia" w:ascii="宋体" w:hAnsi="宋体" w:cs="宋体"/>
                      <w:color w:val="auto"/>
                      <w:kern w:val="0"/>
                      <w:szCs w:val="21"/>
                      <w:lang w:eastAsia="zh-CN"/>
                    </w:rPr>
                  </w:pPr>
                  <w:r>
                    <w:rPr>
                      <w:rFonts w:hint="eastAsia" w:ascii="宋体" w:hAnsi="宋体" w:eastAsia="宋体" w:cs="宋体"/>
                      <w:color w:val="auto"/>
                      <w:kern w:val="0"/>
                      <w:szCs w:val="21"/>
                    </w:rPr>
                    <w:t>1</w:t>
                  </w:r>
                  <w:r>
                    <w:rPr>
                      <w:rFonts w:hint="eastAsia" w:ascii="宋体" w:hAnsi="宋体" w:cs="宋体"/>
                      <w:color w:val="auto"/>
                      <w:kern w:val="0"/>
                      <w:szCs w:val="21"/>
                      <w:lang w:eastAsia="zh-CN"/>
                    </w:rPr>
                    <w:t>、提供检测室整体照片；</w:t>
                  </w:r>
                </w:p>
                <w:p w14:paraId="5E923DA9">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kern w:val="0"/>
                      <w:szCs w:val="21"/>
                    </w:rPr>
                  </w:pP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若为自有仪器，则</w:t>
                  </w:r>
                  <w:r>
                    <w:rPr>
                      <w:rFonts w:hint="eastAsia" w:ascii="宋体" w:hAnsi="宋体" w:eastAsia="宋体" w:cs="宋体"/>
                      <w:color w:val="auto"/>
                      <w:kern w:val="0"/>
                      <w:szCs w:val="21"/>
                    </w:rPr>
                    <w:t>提供以投标人名称为抬头的仪器购置发票(若抬头非投标供应商名称，则须同时提供公对公银行转账截图)及仪器照片</w:t>
                  </w:r>
                  <w:r>
                    <w:rPr>
                      <w:rFonts w:hint="eastAsia" w:ascii="宋体" w:hAnsi="宋体" w:cs="宋体"/>
                      <w:color w:val="auto"/>
                      <w:kern w:val="0"/>
                      <w:szCs w:val="21"/>
                      <w:lang w:eastAsia="zh-CN"/>
                    </w:rPr>
                    <w:t>；若为租赁仪器，则提供租赁合同</w:t>
                  </w:r>
                  <w:r>
                    <w:rPr>
                      <w:rFonts w:hint="eastAsia" w:ascii="宋体" w:hAnsi="宋体" w:eastAsia="宋体" w:cs="宋体"/>
                      <w:color w:val="auto"/>
                      <w:kern w:val="0"/>
                      <w:szCs w:val="21"/>
                    </w:rPr>
                    <w:t>及仪器照片</w:t>
                  </w:r>
                  <w:r>
                    <w:rPr>
                      <w:rFonts w:hint="eastAsia" w:ascii="宋体" w:hAnsi="宋体" w:cs="宋体"/>
                      <w:color w:val="auto"/>
                      <w:kern w:val="0"/>
                      <w:szCs w:val="21"/>
                      <w:lang w:eastAsia="zh-CN"/>
                    </w:rPr>
                    <w:t>；</w:t>
                  </w:r>
                </w:p>
                <w:p w14:paraId="3CC65B5C">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Cs w:val="21"/>
                      <w:lang w:val="en-US" w:eastAsia="zh-CN"/>
                    </w:rPr>
                    <w:t>2</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73B750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restart"/>
                  <w:tcBorders>
                    <w:top w:val="single" w:color="000000" w:sz="8" w:space="0"/>
                    <w:left w:val="single" w:color="000000" w:sz="8" w:space="0"/>
                    <w:right w:val="single" w:color="000000" w:sz="8" w:space="0"/>
                  </w:tcBorders>
                </w:tcPr>
                <w:p w14:paraId="514CDD8F">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sz w:val="24"/>
                      <w:highlight w:val="none"/>
                    </w:rPr>
                  </w:pPr>
                  <w:r>
                    <w:rPr>
                      <w:rFonts w:hint="eastAsia" w:ascii="宋体" w:hAnsi="宋体" w:eastAsia="宋体" w:cs="宋体"/>
                      <w:b/>
                      <w:bCs/>
                      <w:color w:val="0000FF"/>
                      <w:highlight w:val="none"/>
                    </w:rPr>
                    <w:t>3</w:t>
                  </w:r>
                </w:p>
              </w:tc>
              <w:tc>
                <w:tcPr>
                  <w:tcW w:w="4196" w:type="dxa"/>
                  <w:gridSpan w:val="3"/>
                  <w:tcBorders>
                    <w:top w:val="single" w:color="000000" w:sz="8" w:space="0"/>
                    <w:left w:val="single" w:color="000000" w:sz="8" w:space="0"/>
                    <w:bottom w:val="single" w:color="000000" w:sz="8" w:space="0"/>
                    <w:right w:val="single" w:color="000000" w:sz="8" w:space="0"/>
                  </w:tcBorders>
                </w:tcPr>
                <w:p w14:paraId="73EF4162">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sz w:val="24"/>
                      <w:highlight w:val="none"/>
                      <w:lang w:eastAsia="zh-CN"/>
                    </w:rPr>
                  </w:pPr>
                  <w:r>
                    <w:rPr>
                      <w:rFonts w:hint="eastAsia" w:ascii="宋体" w:hAnsi="宋体" w:eastAsia="宋体" w:cs="宋体"/>
                      <w:b/>
                      <w:bCs/>
                      <w:color w:val="0000FF"/>
                      <w:sz w:val="24"/>
                      <w:highlight w:val="none"/>
                      <w:lang w:eastAsia="zh-CN"/>
                    </w:rPr>
                    <w:t>商务部分</w:t>
                  </w:r>
                </w:p>
              </w:tc>
              <w:tc>
                <w:tcPr>
                  <w:tcW w:w="4196" w:type="dxa"/>
                  <w:tcBorders>
                    <w:top w:val="single" w:color="000000" w:sz="8" w:space="0"/>
                    <w:left w:val="single" w:color="000000" w:sz="8" w:space="0"/>
                    <w:bottom w:val="single" w:color="000000" w:sz="8" w:space="0"/>
                    <w:right w:val="single" w:color="000000" w:sz="8" w:space="0"/>
                  </w:tcBorders>
                </w:tcPr>
                <w:p w14:paraId="1BF0D078">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default" w:ascii="宋体" w:hAnsi="宋体" w:eastAsia="宋体" w:cs="宋体"/>
                      <w:b/>
                      <w:bCs/>
                      <w:color w:val="0000FF"/>
                      <w:sz w:val="24"/>
                      <w:highlight w:val="none"/>
                      <w:lang w:val="en-US" w:eastAsia="zh-CN"/>
                    </w:rPr>
                  </w:pPr>
                  <w:r>
                    <w:rPr>
                      <w:rFonts w:hint="eastAsia" w:ascii="宋体" w:hAnsi="宋体" w:cs="宋体"/>
                      <w:b/>
                      <w:bCs/>
                      <w:color w:val="0000FF"/>
                      <w:sz w:val="24"/>
                      <w:highlight w:val="none"/>
                      <w:lang w:val="en-US" w:eastAsia="zh-CN"/>
                    </w:rPr>
                    <w:t>31</w:t>
                  </w:r>
                </w:p>
              </w:tc>
            </w:tr>
            <w:tr w14:paraId="6EF17E1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46B5EF20">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8392" w:type="dxa"/>
                  <w:gridSpan w:val="4"/>
                  <w:tcBorders>
                    <w:top w:val="single" w:color="000000" w:sz="8" w:space="0"/>
                    <w:left w:val="single" w:color="000000" w:sz="8" w:space="0"/>
                    <w:bottom w:val="single" w:color="000000" w:sz="8" w:space="0"/>
                    <w:right w:val="single" w:color="000000" w:sz="8" w:space="0"/>
                  </w:tcBorders>
                </w:tcPr>
                <w:p w14:paraId="5247F256">
                  <w:pPr>
                    <w:pageBreakBefore w:val="0"/>
                    <w:kinsoku/>
                    <w:wordWrap w:val="0"/>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szCs w:val="21"/>
                      <w:highlight w:val="none"/>
                    </w:rPr>
                  </w:pPr>
                </w:p>
              </w:tc>
            </w:tr>
            <w:tr w14:paraId="3DCAEE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shd w:val="clear" w:color="auto" w:fill="E6EFFA"/>
                  <w:vAlign w:val="center"/>
                </w:tcPr>
                <w:p w14:paraId="2881622A">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2DBF4BE5">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序号</w:t>
                  </w:r>
                </w:p>
              </w:tc>
              <w:tc>
                <w:tcPr>
                  <w:tcW w:w="2835"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128C6E4D">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评分因素</w:t>
                  </w:r>
                </w:p>
              </w:tc>
              <w:tc>
                <w:tcPr>
                  <w:tcW w:w="681"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02197318">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权重(%)</w:t>
                  </w:r>
                </w:p>
              </w:tc>
              <w:tc>
                <w:tcPr>
                  <w:tcW w:w="4196"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4D060603">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评分准则</w:t>
                  </w:r>
                </w:p>
              </w:tc>
            </w:tr>
            <w:tr w14:paraId="5289A8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14E46768">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710923BB">
                  <w:pPr>
                    <w:pageBreakBefore w:val="0"/>
                    <w:kinsoku/>
                    <w:overflowPunct/>
                    <w:topLinePunct w:val="0"/>
                    <w:autoSpaceDE/>
                    <w:autoSpaceDN/>
                    <w:bidi w:val="0"/>
                    <w:spacing w:beforeAutospacing="0" w:afterAutospacing="0" w:line="360" w:lineRule="auto"/>
                    <w:ind w:left="0" w:leftChars="0" w:right="0" w:rightChars="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p>
              </w:tc>
              <w:tc>
                <w:tcPr>
                  <w:tcW w:w="2835" w:type="dxa"/>
                  <w:tcBorders>
                    <w:top w:val="single" w:color="000000" w:sz="8" w:space="0"/>
                    <w:left w:val="single" w:color="000000" w:sz="8" w:space="0"/>
                    <w:bottom w:val="single" w:color="000000" w:sz="8" w:space="0"/>
                    <w:right w:val="single" w:color="000000" w:sz="8" w:space="0"/>
                  </w:tcBorders>
                  <w:vAlign w:val="center"/>
                </w:tcPr>
                <w:p w14:paraId="125A1153">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zh-CN"/>
                    </w:rPr>
                    <w:t>通过相关认证情况</w:t>
                  </w:r>
                </w:p>
              </w:tc>
              <w:tc>
                <w:tcPr>
                  <w:tcW w:w="681" w:type="dxa"/>
                  <w:tcBorders>
                    <w:top w:val="single" w:color="000000" w:sz="8" w:space="0"/>
                    <w:left w:val="single" w:color="000000" w:sz="8" w:space="0"/>
                    <w:bottom w:val="single" w:color="000000" w:sz="8" w:space="0"/>
                    <w:right w:val="single" w:color="000000" w:sz="8" w:space="0"/>
                  </w:tcBorders>
                  <w:vAlign w:val="center"/>
                </w:tcPr>
                <w:p w14:paraId="0DF390DE">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5</w:t>
                  </w:r>
                </w:p>
              </w:tc>
              <w:tc>
                <w:tcPr>
                  <w:tcW w:w="4196" w:type="dxa"/>
                  <w:tcBorders>
                    <w:top w:val="single" w:color="000000" w:sz="8" w:space="0"/>
                    <w:left w:val="single" w:color="000000" w:sz="8" w:space="0"/>
                    <w:bottom w:val="single" w:color="000000" w:sz="8" w:space="0"/>
                    <w:right w:val="single" w:color="000000" w:sz="8" w:space="0"/>
                  </w:tcBorders>
                  <w:vAlign w:val="top"/>
                </w:tcPr>
                <w:p w14:paraId="48BBA9AC">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b/>
                      <w:bCs/>
                      <w:color w:val="auto"/>
                      <w:szCs w:val="21"/>
                    </w:rPr>
                  </w:pPr>
                  <w:r>
                    <w:rPr>
                      <w:rFonts w:hint="eastAsia" w:ascii="宋体" w:hAnsi="宋体" w:cs="宋体"/>
                      <w:b/>
                      <w:bCs/>
                      <w:color w:val="auto"/>
                      <w:szCs w:val="21"/>
                      <w:lang w:eastAsia="zh-CN"/>
                    </w:rPr>
                    <w:t>考察内容</w:t>
                  </w:r>
                  <w:r>
                    <w:rPr>
                      <w:rFonts w:hint="eastAsia" w:ascii="宋体" w:hAnsi="宋体" w:eastAsia="宋体" w:cs="宋体"/>
                      <w:b/>
                      <w:bCs/>
                      <w:color w:val="auto"/>
                      <w:szCs w:val="21"/>
                    </w:rPr>
                    <w:t>：</w:t>
                  </w:r>
                </w:p>
                <w:p w14:paraId="5BC31C76">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color w:val="auto"/>
                      <w:szCs w:val="21"/>
                    </w:rPr>
                  </w:pPr>
                  <w:r>
                    <w:rPr>
                      <w:rFonts w:hint="eastAsia" w:ascii="宋体" w:hAnsi="宋体" w:eastAsia="宋体" w:cs="宋体"/>
                      <w:color w:val="auto"/>
                      <w:szCs w:val="21"/>
                    </w:rPr>
                    <w:t>投标人具有认证情况：</w:t>
                  </w:r>
                </w:p>
                <w:p w14:paraId="079335FA">
                  <w:pPr>
                    <w:keepNext w:val="0"/>
                    <w:keepLines w:val="0"/>
                    <w:pageBreakBefore w:val="0"/>
                    <w:widowControl/>
                    <w:kinsoku/>
                    <w:overflowPunct/>
                    <w:topLinePunct w:val="0"/>
                    <w:autoSpaceDE w:val="0"/>
                    <w:autoSpaceDN w:val="0"/>
                    <w:bidi w:val="0"/>
                    <w:adjustRightInd w:val="0"/>
                    <w:snapToGrid/>
                    <w:spacing w:line="360" w:lineRule="auto"/>
                    <w:ind w:firstLine="0" w:firstLineChars="0"/>
                    <w:jc w:val="left"/>
                    <w:textAlignment w:val="auto"/>
                    <w:rPr>
                      <w:rFonts w:hint="eastAsia" w:ascii="宋体" w:hAnsi="宋体" w:eastAsia="宋体" w:cs="宋体"/>
                      <w:color w:val="auto"/>
                      <w:szCs w:val="21"/>
                      <w:lang w:val="zh-CN"/>
                    </w:rPr>
                  </w:pPr>
                  <w:r>
                    <w:rPr>
                      <w:rFonts w:hint="eastAsia" w:ascii="宋体" w:hAnsi="宋体" w:eastAsia="宋体" w:cs="宋体"/>
                      <w:color w:val="auto"/>
                      <w:szCs w:val="21"/>
                      <w:lang w:val="zh-CN"/>
                    </w:rPr>
                    <w:t>1</w:t>
                  </w:r>
                  <w:r>
                    <w:rPr>
                      <w:rFonts w:hint="eastAsia" w:ascii="宋体" w:hAnsi="宋体" w:cs="宋体"/>
                      <w:color w:val="auto"/>
                      <w:szCs w:val="21"/>
                      <w:lang w:val="zh-CN"/>
                    </w:rPr>
                    <w:t>、</w:t>
                  </w:r>
                  <w:r>
                    <w:rPr>
                      <w:rFonts w:hint="eastAsia" w:ascii="宋体" w:hAnsi="宋体" w:eastAsia="宋体" w:cs="宋体"/>
                      <w:color w:val="auto"/>
                      <w:szCs w:val="21"/>
                      <w:lang w:val="zh-CN"/>
                    </w:rPr>
                    <w:t>具有环境管理体系认证证书得</w:t>
                  </w:r>
                  <w:r>
                    <w:rPr>
                      <w:rFonts w:hint="eastAsia" w:ascii="宋体" w:hAnsi="宋体" w:eastAsia="宋体" w:cs="宋体"/>
                      <w:color w:val="auto"/>
                      <w:szCs w:val="21"/>
                    </w:rPr>
                    <w:t>20分</w:t>
                  </w:r>
                  <w:r>
                    <w:rPr>
                      <w:rFonts w:hint="eastAsia" w:ascii="宋体" w:hAnsi="宋体" w:eastAsia="宋体" w:cs="宋体"/>
                      <w:color w:val="auto"/>
                      <w:szCs w:val="21"/>
                      <w:lang w:val="zh-CN"/>
                    </w:rPr>
                    <w:t>；</w:t>
                  </w:r>
                </w:p>
                <w:p w14:paraId="6F365DA8">
                  <w:pPr>
                    <w:keepNext w:val="0"/>
                    <w:keepLines w:val="0"/>
                    <w:pageBreakBefore w:val="0"/>
                    <w:widowControl/>
                    <w:kinsoku/>
                    <w:overflowPunct/>
                    <w:topLinePunct w:val="0"/>
                    <w:autoSpaceDE w:val="0"/>
                    <w:autoSpaceDN w:val="0"/>
                    <w:bidi w:val="0"/>
                    <w:adjustRightInd w:val="0"/>
                    <w:snapToGrid/>
                    <w:spacing w:line="360" w:lineRule="auto"/>
                    <w:ind w:firstLine="0" w:firstLineChars="0"/>
                    <w:jc w:val="left"/>
                    <w:textAlignment w:val="auto"/>
                    <w:rPr>
                      <w:rFonts w:hint="eastAsia" w:ascii="宋体" w:hAnsi="宋体" w:eastAsia="宋体" w:cs="宋体"/>
                      <w:color w:val="auto"/>
                      <w:szCs w:val="21"/>
                      <w:lang w:val="zh-CN"/>
                    </w:rPr>
                  </w:pPr>
                  <w:r>
                    <w:rPr>
                      <w:rFonts w:hint="eastAsia" w:ascii="宋体" w:hAnsi="宋体" w:eastAsia="宋体" w:cs="宋体"/>
                      <w:color w:val="auto"/>
                      <w:szCs w:val="21"/>
                      <w:lang w:val="zh-CN"/>
                    </w:rPr>
                    <w:t>2</w:t>
                  </w:r>
                  <w:r>
                    <w:rPr>
                      <w:rFonts w:hint="eastAsia" w:ascii="宋体" w:hAnsi="宋体" w:cs="宋体"/>
                      <w:color w:val="auto"/>
                      <w:szCs w:val="21"/>
                      <w:lang w:val="zh-CN"/>
                    </w:rPr>
                    <w:t>、</w:t>
                  </w:r>
                  <w:r>
                    <w:rPr>
                      <w:rFonts w:hint="eastAsia" w:ascii="宋体" w:hAnsi="宋体" w:eastAsia="宋体" w:cs="宋体"/>
                      <w:color w:val="auto"/>
                      <w:szCs w:val="21"/>
                      <w:lang w:val="zh-CN"/>
                    </w:rPr>
                    <w:t>具有质量管理体系认证证书得</w:t>
                  </w:r>
                  <w:r>
                    <w:rPr>
                      <w:rFonts w:hint="eastAsia" w:ascii="宋体" w:hAnsi="宋体" w:eastAsia="宋体" w:cs="宋体"/>
                      <w:color w:val="auto"/>
                      <w:szCs w:val="21"/>
                    </w:rPr>
                    <w:t>20分</w:t>
                  </w:r>
                  <w:r>
                    <w:rPr>
                      <w:rFonts w:hint="eastAsia" w:ascii="宋体" w:hAnsi="宋体" w:eastAsia="宋体" w:cs="宋体"/>
                      <w:color w:val="auto"/>
                      <w:szCs w:val="21"/>
                      <w:lang w:val="zh-CN"/>
                    </w:rPr>
                    <w:t>；</w:t>
                  </w:r>
                </w:p>
                <w:p w14:paraId="25126366">
                  <w:pPr>
                    <w:keepNext w:val="0"/>
                    <w:keepLines w:val="0"/>
                    <w:pageBreakBefore w:val="0"/>
                    <w:widowControl/>
                    <w:kinsoku/>
                    <w:overflowPunct/>
                    <w:topLinePunct w:val="0"/>
                    <w:autoSpaceDE w:val="0"/>
                    <w:autoSpaceDN w:val="0"/>
                    <w:bidi w:val="0"/>
                    <w:adjustRightInd w:val="0"/>
                    <w:snapToGrid/>
                    <w:spacing w:line="360" w:lineRule="auto"/>
                    <w:ind w:firstLine="0" w:firstLineChars="0"/>
                    <w:jc w:val="left"/>
                    <w:textAlignment w:val="auto"/>
                    <w:rPr>
                      <w:rFonts w:hint="eastAsia" w:ascii="宋体" w:hAnsi="宋体" w:eastAsia="宋体" w:cs="宋体"/>
                      <w:color w:val="auto"/>
                      <w:szCs w:val="21"/>
                      <w:lang w:val="zh-CN"/>
                    </w:rPr>
                  </w:pPr>
                  <w:r>
                    <w:rPr>
                      <w:rFonts w:hint="eastAsia" w:ascii="宋体" w:hAnsi="宋体" w:eastAsia="宋体" w:cs="宋体"/>
                      <w:color w:val="auto"/>
                      <w:szCs w:val="21"/>
                    </w:rPr>
                    <w:t>3</w:t>
                  </w:r>
                  <w:r>
                    <w:rPr>
                      <w:rFonts w:hint="eastAsia" w:ascii="宋体" w:hAnsi="宋体" w:cs="宋体"/>
                      <w:color w:val="auto"/>
                      <w:szCs w:val="21"/>
                      <w:lang w:val="zh-CN"/>
                    </w:rPr>
                    <w:t>、</w:t>
                  </w:r>
                  <w:r>
                    <w:rPr>
                      <w:rFonts w:hint="eastAsia" w:ascii="宋体" w:hAnsi="宋体" w:eastAsia="宋体" w:cs="宋体"/>
                      <w:color w:val="auto"/>
                      <w:szCs w:val="21"/>
                      <w:lang w:val="zh-CN"/>
                    </w:rPr>
                    <w:t>具有职业健康安全管理体系认证证书得</w:t>
                  </w:r>
                  <w:r>
                    <w:rPr>
                      <w:rFonts w:hint="eastAsia" w:ascii="宋体" w:hAnsi="宋体" w:eastAsia="宋体" w:cs="宋体"/>
                      <w:color w:val="auto"/>
                      <w:szCs w:val="21"/>
                    </w:rPr>
                    <w:t>20分</w:t>
                  </w:r>
                  <w:r>
                    <w:rPr>
                      <w:rFonts w:hint="eastAsia" w:ascii="宋体" w:hAnsi="宋体" w:eastAsia="宋体" w:cs="宋体"/>
                      <w:color w:val="auto"/>
                      <w:szCs w:val="21"/>
                      <w:lang w:val="zh-CN"/>
                    </w:rPr>
                    <w:t>；</w:t>
                  </w:r>
                </w:p>
                <w:p w14:paraId="6E5B6F86">
                  <w:pPr>
                    <w:keepNext w:val="0"/>
                    <w:keepLines w:val="0"/>
                    <w:pageBreakBefore w:val="0"/>
                    <w:widowControl/>
                    <w:kinsoku/>
                    <w:overflowPunct/>
                    <w:topLinePunct w:val="0"/>
                    <w:autoSpaceDE w:val="0"/>
                    <w:autoSpaceDN w:val="0"/>
                    <w:bidi w:val="0"/>
                    <w:adjustRightInd w:val="0"/>
                    <w:snapToGrid/>
                    <w:spacing w:line="360" w:lineRule="auto"/>
                    <w:ind w:firstLine="0" w:firstLineChars="0"/>
                    <w:jc w:val="left"/>
                    <w:textAlignment w:val="auto"/>
                    <w:rPr>
                      <w:rFonts w:hint="eastAsia" w:ascii="宋体" w:hAnsi="宋体" w:eastAsia="宋体" w:cs="宋体"/>
                      <w:color w:val="auto"/>
                      <w:szCs w:val="21"/>
                      <w:lang w:val="zh-CN"/>
                    </w:rPr>
                  </w:pPr>
                  <w:r>
                    <w:rPr>
                      <w:rFonts w:hint="eastAsia" w:ascii="宋体" w:hAnsi="宋体" w:eastAsia="宋体" w:cs="宋体"/>
                      <w:color w:val="auto"/>
                      <w:szCs w:val="21"/>
                    </w:rPr>
                    <w:t>4</w:t>
                  </w:r>
                  <w:r>
                    <w:rPr>
                      <w:rFonts w:hint="eastAsia" w:ascii="宋体" w:hAnsi="宋体" w:cs="宋体"/>
                      <w:color w:val="auto"/>
                      <w:szCs w:val="21"/>
                      <w:lang w:val="zh-CN"/>
                    </w:rPr>
                    <w:t>、</w:t>
                  </w:r>
                  <w:r>
                    <w:rPr>
                      <w:rFonts w:hint="eastAsia" w:ascii="宋体" w:hAnsi="宋体" w:eastAsia="宋体" w:cs="宋体"/>
                      <w:color w:val="auto"/>
                      <w:szCs w:val="21"/>
                      <w:lang w:val="zh-CN"/>
                    </w:rPr>
                    <w:t>具有食品安全管理体系认证证书得</w:t>
                  </w:r>
                  <w:r>
                    <w:rPr>
                      <w:rFonts w:hint="eastAsia" w:ascii="宋体" w:hAnsi="宋体" w:eastAsia="宋体" w:cs="宋体"/>
                      <w:color w:val="auto"/>
                      <w:szCs w:val="21"/>
                    </w:rPr>
                    <w:t>20分</w:t>
                  </w:r>
                  <w:r>
                    <w:rPr>
                      <w:rFonts w:hint="eastAsia" w:ascii="宋体" w:hAnsi="宋体" w:eastAsia="宋体" w:cs="宋体"/>
                      <w:color w:val="auto"/>
                      <w:szCs w:val="21"/>
                      <w:lang w:val="zh-CN"/>
                    </w:rPr>
                    <w:t xml:space="preserve">； </w:t>
                  </w:r>
                </w:p>
                <w:p w14:paraId="3441A5C2">
                  <w:pPr>
                    <w:keepNext w:val="0"/>
                    <w:keepLines w:val="0"/>
                    <w:pageBreakBefore w:val="0"/>
                    <w:widowControl/>
                    <w:kinsoku/>
                    <w:overflowPunct/>
                    <w:topLinePunct w:val="0"/>
                    <w:autoSpaceDE w:val="0"/>
                    <w:autoSpaceDN w:val="0"/>
                    <w:bidi w:val="0"/>
                    <w:adjustRightInd w:val="0"/>
                    <w:snapToGrid/>
                    <w:spacing w:line="360" w:lineRule="auto"/>
                    <w:ind w:firstLine="0" w:firstLineChars="0"/>
                    <w:jc w:val="left"/>
                    <w:textAlignment w:val="auto"/>
                    <w:rPr>
                      <w:rFonts w:hint="eastAsia" w:ascii="宋体" w:hAnsi="宋体" w:eastAsia="宋体" w:cs="宋体"/>
                      <w:color w:val="auto"/>
                      <w:szCs w:val="21"/>
                      <w:lang w:val="zh-CN"/>
                    </w:rPr>
                  </w:pPr>
                  <w:r>
                    <w:rPr>
                      <w:rFonts w:hint="eastAsia" w:ascii="宋体" w:hAnsi="宋体" w:eastAsia="宋体" w:cs="宋体"/>
                      <w:color w:val="auto"/>
                      <w:szCs w:val="21"/>
                      <w:lang w:val="zh-CN"/>
                    </w:rPr>
                    <w:t>5</w:t>
                  </w:r>
                  <w:r>
                    <w:rPr>
                      <w:rFonts w:hint="eastAsia" w:ascii="宋体" w:hAnsi="宋体" w:cs="宋体"/>
                      <w:color w:val="auto"/>
                      <w:szCs w:val="21"/>
                      <w:lang w:val="zh-CN"/>
                    </w:rPr>
                    <w:t>、</w:t>
                  </w:r>
                  <w:r>
                    <w:rPr>
                      <w:rFonts w:hint="eastAsia" w:ascii="宋体" w:hAnsi="宋体" w:eastAsia="宋体" w:cs="宋体"/>
                      <w:color w:val="auto"/>
                      <w:szCs w:val="21"/>
                      <w:lang w:val="zh-CN"/>
                    </w:rPr>
                    <w:t>具有HACCP危害分析与关键控制点体系认证证书得</w:t>
                  </w:r>
                  <w:r>
                    <w:rPr>
                      <w:rFonts w:hint="eastAsia" w:ascii="宋体" w:hAnsi="宋体" w:eastAsia="宋体" w:cs="宋体"/>
                      <w:color w:val="auto"/>
                      <w:szCs w:val="21"/>
                    </w:rPr>
                    <w:t>20分</w:t>
                  </w:r>
                  <w:r>
                    <w:rPr>
                      <w:rFonts w:hint="eastAsia" w:ascii="宋体" w:hAnsi="宋体" w:eastAsia="宋体" w:cs="宋体"/>
                      <w:color w:val="auto"/>
                      <w:szCs w:val="21"/>
                      <w:lang w:val="zh-CN"/>
                    </w:rPr>
                    <w:t>；</w:t>
                  </w:r>
                </w:p>
                <w:p w14:paraId="7AA6EAEB">
                  <w:pPr>
                    <w:keepNext w:val="0"/>
                    <w:keepLines w:val="0"/>
                    <w:pageBreakBefore w:val="0"/>
                    <w:widowControl/>
                    <w:kinsoku/>
                    <w:overflowPunct/>
                    <w:topLinePunct w:val="0"/>
                    <w:autoSpaceDE w:val="0"/>
                    <w:autoSpaceDN w:val="0"/>
                    <w:bidi w:val="0"/>
                    <w:adjustRightInd w:val="0"/>
                    <w:snapToGrid/>
                    <w:spacing w:line="360" w:lineRule="auto"/>
                    <w:ind w:firstLine="0" w:firstLineChars="0"/>
                    <w:jc w:val="left"/>
                    <w:textAlignment w:val="auto"/>
                    <w:rPr>
                      <w:rFonts w:hint="eastAsia" w:ascii="宋体" w:hAnsi="宋体" w:eastAsia="宋体" w:cs="宋体"/>
                      <w:color w:val="auto"/>
                      <w:szCs w:val="21"/>
                      <w:lang w:val="zh-CN"/>
                    </w:rPr>
                  </w:pPr>
                  <w:r>
                    <w:rPr>
                      <w:rFonts w:hint="eastAsia" w:ascii="宋体" w:hAnsi="宋体" w:eastAsia="宋体" w:cs="宋体"/>
                      <w:color w:val="auto"/>
                      <w:szCs w:val="21"/>
                      <w:lang w:val="zh-CN"/>
                    </w:rPr>
                    <w:t>以上</w:t>
                  </w:r>
                  <w:r>
                    <w:rPr>
                      <w:rFonts w:hint="eastAsia" w:ascii="宋体" w:hAnsi="宋体" w:eastAsia="宋体" w:cs="宋体"/>
                      <w:color w:val="auto"/>
                      <w:szCs w:val="21"/>
                    </w:rPr>
                    <w:t>5</w:t>
                  </w:r>
                  <w:r>
                    <w:rPr>
                      <w:rFonts w:hint="eastAsia" w:ascii="宋体" w:hAnsi="宋体" w:eastAsia="宋体" w:cs="宋体"/>
                      <w:color w:val="auto"/>
                      <w:szCs w:val="21"/>
                      <w:lang w:val="zh-CN"/>
                    </w:rPr>
                    <w:t>项累加计分，最高得100</w:t>
                  </w:r>
                  <w:r>
                    <w:rPr>
                      <w:rFonts w:hint="eastAsia" w:ascii="宋体" w:hAnsi="宋体" w:eastAsia="宋体" w:cs="宋体"/>
                      <w:color w:val="auto"/>
                      <w:szCs w:val="21"/>
                    </w:rPr>
                    <w:t>分</w:t>
                  </w:r>
                  <w:r>
                    <w:rPr>
                      <w:rFonts w:hint="eastAsia" w:ascii="宋体" w:hAnsi="宋体" w:eastAsia="宋体" w:cs="宋体"/>
                      <w:color w:val="auto"/>
                      <w:szCs w:val="21"/>
                      <w:lang w:val="zh-CN"/>
                    </w:rPr>
                    <w:t>。</w:t>
                  </w:r>
                </w:p>
                <w:p w14:paraId="70B395AB">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color w:val="auto"/>
                      <w:szCs w:val="21"/>
                    </w:rPr>
                  </w:pPr>
                  <w:r>
                    <w:rPr>
                      <w:rFonts w:hint="eastAsia" w:ascii="宋体" w:hAnsi="宋体" w:cs="宋体"/>
                      <w:b/>
                      <w:bCs/>
                      <w:color w:val="auto"/>
                      <w:szCs w:val="21"/>
                      <w:lang w:eastAsia="zh-CN"/>
                    </w:rPr>
                    <w:t>证明文件</w:t>
                  </w:r>
                  <w:r>
                    <w:rPr>
                      <w:rFonts w:hint="eastAsia" w:ascii="宋体" w:hAnsi="宋体" w:eastAsia="宋体" w:cs="宋体"/>
                      <w:b/>
                      <w:bCs/>
                      <w:color w:val="auto"/>
                      <w:szCs w:val="21"/>
                    </w:rPr>
                    <w:t>：</w:t>
                  </w:r>
                </w:p>
                <w:p w14:paraId="4C289FCF">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color w:val="auto"/>
                      <w:szCs w:val="21"/>
                      <w:lang w:eastAsia="zh-CN"/>
                    </w:rPr>
                  </w:pPr>
                  <w:r>
                    <w:rPr>
                      <w:rFonts w:hint="eastAsia" w:ascii="宋体" w:hAnsi="宋体" w:cs="宋体"/>
                      <w:color w:val="auto"/>
                      <w:szCs w:val="21"/>
                      <w:lang w:val="en-US" w:eastAsia="zh-CN"/>
                    </w:rPr>
                    <w:t>1、</w:t>
                  </w:r>
                  <w:r>
                    <w:rPr>
                      <w:rFonts w:hint="eastAsia" w:ascii="宋体" w:hAnsi="宋体" w:eastAsia="宋体" w:cs="宋体"/>
                      <w:color w:val="auto"/>
                      <w:szCs w:val="21"/>
                    </w:rPr>
                    <w:t>提供有效期内的认证证书扫描件以及全国认证认可信息公共服务平台（认e云）（http://cx.cnca.cn/）的认证信息截图（包括但不限于证书编号、证书状态、证书到期日期、组织名称、发证机构名称）并体现网址</w:t>
                  </w:r>
                  <w:r>
                    <w:rPr>
                      <w:rFonts w:hint="eastAsia" w:ascii="宋体" w:hAnsi="宋体" w:cs="宋体"/>
                      <w:color w:val="auto"/>
                      <w:szCs w:val="21"/>
                      <w:lang w:eastAsia="zh-CN"/>
                    </w:rPr>
                    <w:t>；</w:t>
                  </w:r>
                </w:p>
                <w:p w14:paraId="46C05726">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bCs/>
                      <w:color w:val="auto"/>
                      <w:kern w:val="2"/>
                      <w:sz w:val="21"/>
                      <w:szCs w:val="21"/>
                      <w:lang w:val="zh-CN" w:eastAsia="zh-CN" w:bidi="ar-SA"/>
                    </w:rPr>
                  </w:pPr>
                  <w:r>
                    <w:rPr>
                      <w:rFonts w:hint="eastAsia" w:ascii="宋体" w:hAnsi="宋体" w:cs="宋体"/>
                      <w:color w:val="auto"/>
                      <w:kern w:val="0"/>
                      <w:szCs w:val="21"/>
                    </w:rPr>
                    <w:t>2</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6D45BA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0159003E">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03E34382">
                  <w:pPr>
                    <w:pageBreakBefore w:val="0"/>
                    <w:kinsoku/>
                    <w:wordWrap w:val="0"/>
                    <w:overflowPunct/>
                    <w:topLinePunct w:val="0"/>
                    <w:autoSpaceDE/>
                    <w:autoSpaceDN/>
                    <w:bidi w:val="0"/>
                    <w:spacing w:beforeAutospacing="0" w:afterAutospacing="0" w:line="360" w:lineRule="auto"/>
                    <w:ind w:left="0" w:leftChars="0" w:right="0" w:rightChars="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2</w:t>
                  </w:r>
                </w:p>
              </w:tc>
              <w:tc>
                <w:tcPr>
                  <w:tcW w:w="2835" w:type="dxa"/>
                  <w:tcBorders>
                    <w:top w:val="single" w:color="000000" w:sz="8" w:space="0"/>
                    <w:left w:val="single" w:color="000000" w:sz="8" w:space="0"/>
                    <w:bottom w:val="single" w:color="000000" w:sz="8" w:space="0"/>
                    <w:right w:val="single" w:color="000000" w:sz="8" w:space="0"/>
                  </w:tcBorders>
                  <w:vAlign w:val="center"/>
                </w:tcPr>
                <w:p w14:paraId="737FE375">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rPr>
                    <w:t>投标人同类项目业绩情况</w:t>
                  </w:r>
                </w:p>
              </w:tc>
              <w:tc>
                <w:tcPr>
                  <w:tcW w:w="681" w:type="dxa"/>
                  <w:tcBorders>
                    <w:top w:val="single" w:color="000000" w:sz="8" w:space="0"/>
                    <w:left w:val="single" w:color="000000" w:sz="8" w:space="0"/>
                    <w:bottom w:val="single" w:color="000000" w:sz="8" w:space="0"/>
                    <w:right w:val="single" w:color="000000" w:sz="8" w:space="0"/>
                  </w:tcBorders>
                  <w:vAlign w:val="center"/>
                </w:tcPr>
                <w:p w14:paraId="4EE6D506">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rPr>
                    <w:t>5</w:t>
                  </w:r>
                </w:p>
              </w:tc>
              <w:tc>
                <w:tcPr>
                  <w:tcW w:w="4196" w:type="dxa"/>
                  <w:tcBorders>
                    <w:top w:val="single" w:color="000000" w:sz="8" w:space="0"/>
                    <w:left w:val="single" w:color="000000" w:sz="8" w:space="0"/>
                    <w:bottom w:val="single" w:color="000000" w:sz="8" w:space="0"/>
                    <w:right w:val="single" w:color="000000" w:sz="8" w:space="0"/>
                  </w:tcBorders>
                  <w:vAlign w:val="top"/>
                </w:tcPr>
                <w:p w14:paraId="77A64849">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b/>
                      <w:bCs/>
                      <w:color w:val="auto"/>
                      <w:szCs w:val="21"/>
                    </w:rPr>
                  </w:pPr>
                  <w:r>
                    <w:rPr>
                      <w:rFonts w:hint="eastAsia" w:ascii="宋体" w:hAnsi="宋体" w:cs="宋体"/>
                      <w:b/>
                      <w:bCs/>
                      <w:color w:val="auto"/>
                      <w:szCs w:val="21"/>
                      <w:lang w:eastAsia="zh-CN"/>
                    </w:rPr>
                    <w:t>考察内容</w:t>
                  </w:r>
                  <w:r>
                    <w:rPr>
                      <w:rFonts w:hint="eastAsia" w:ascii="宋体" w:hAnsi="宋体" w:eastAsia="宋体" w:cs="宋体"/>
                      <w:b/>
                      <w:bCs/>
                      <w:color w:val="auto"/>
                      <w:szCs w:val="21"/>
                    </w:rPr>
                    <w:t>：</w:t>
                  </w:r>
                </w:p>
                <w:p w14:paraId="2172B531">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color w:val="auto"/>
                      <w:szCs w:val="21"/>
                    </w:rPr>
                  </w:pPr>
                  <w:r>
                    <w:rPr>
                      <w:rFonts w:hint="eastAsia" w:ascii="宋体" w:hAnsi="宋体" w:eastAsia="宋体" w:cs="宋体"/>
                      <w:color w:val="auto"/>
                      <w:szCs w:val="21"/>
                    </w:rPr>
                    <w:t>20</w:t>
                  </w:r>
                  <w:r>
                    <w:rPr>
                      <w:rFonts w:hint="eastAsia" w:ascii="宋体" w:hAnsi="宋体" w:cs="宋体"/>
                      <w:color w:val="auto"/>
                      <w:szCs w:val="21"/>
                      <w:lang w:val="en-US" w:eastAsia="zh-CN"/>
                    </w:rPr>
                    <w:t>20</w:t>
                  </w:r>
                  <w:r>
                    <w:rPr>
                      <w:rFonts w:hint="eastAsia" w:ascii="宋体" w:hAnsi="宋体" w:eastAsia="宋体" w:cs="宋体"/>
                      <w:color w:val="auto"/>
                      <w:szCs w:val="21"/>
                    </w:rPr>
                    <w:t>年1月1日至本项目投标截止</w:t>
                  </w:r>
                  <w:r>
                    <w:rPr>
                      <w:rFonts w:hint="eastAsia" w:ascii="宋体" w:hAnsi="宋体" w:cs="宋体"/>
                      <w:color w:val="auto"/>
                      <w:szCs w:val="21"/>
                      <w:lang w:eastAsia="zh-CN"/>
                    </w:rPr>
                    <w:t>之日</w:t>
                  </w:r>
                  <w:r>
                    <w:rPr>
                      <w:rFonts w:hint="eastAsia" w:ascii="宋体" w:hAnsi="宋体" w:eastAsia="宋体" w:cs="宋体"/>
                      <w:color w:val="auto"/>
                      <w:szCs w:val="21"/>
                    </w:rPr>
                    <w:t>（以合同签订日期为准），投标人</w:t>
                  </w:r>
                  <w:r>
                    <w:rPr>
                      <w:rFonts w:hint="eastAsia" w:ascii="宋体" w:hAnsi="宋体" w:cs="宋体"/>
                      <w:color w:val="auto"/>
                      <w:szCs w:val="21"/>
                      <w:lang w:eastAsia="zh-CN"/>
                    </w:rPr>
                    <w:t>具有</w:t>
                  </w:r>
                  <w:r>
                    <w:rPr>
                      <w:rFonts w:hint="eastAsia" w:ascii="宋体" w:hAnsi="宋体" w:eastAsia="宋体" w:cs="宋体"/>
                      <w:color w:val="auto"/>
                      <w:kern w:val="0"/>
                      <w:szCs w:val="21"/>
                    </w:rPr>
                    <w:t>行政机关或事业单位</w:t>
                  </w:r>
                  <w:r>
                    <w:rPr>
                      <w:rFonts w:hint="eastAsia" w:ascii="宋体" w:hAnsi="宋体" w:cs="宋体"/>
                      <w:color w:val="auto"/>
                      <w:kern w:val="0"/>
                      <w:szCs w:val="21"/>
                      <w:lang w:eastAsia="zh-CN"/>
                    </w:rPr>
                    <w:t>委托的</w:t>
                  </w:r>
                  <w:r>
                    <w:rPr>
                      <w:rFonts w:hint="eastAsia" w:ascii="宋体" w:hAnsi="宋体" w:eastAsia="宋体" w:cs="宋体"/>
                      <w:color w:val="auto"/>
                      <w:kern w:val="0"/>
                      <w:szCs w:val="21"/>
                    </w:rPr>
                    <w:t>食材配送</w:t>
                  </w:r>
                  <w:r>
                    <w:rPr>
                      <w:rFonts w:hint="eastAsia" w:ascii="宋体" w:hAnsi="宋体" w:cs="宋体"/>
                      <w:color w:val="auto"/>
                      <w:kern w:val="0"/>
                      <w:szCs w:val="21"/>
                      <w:lang w:eastAsia="zh-CN"/>
                    </w:rPr>
                    <w:t>项目</w:t>
                  </w:r>
                  <w:r>
                    <w:rPr>
                      <w:rFonts w:hint="eastAsia" w:ascii="宋体" w:hAnsi="宋体" w:eastAsia="宋体" w:cs="宋体"/>
                      <w:color w:val="auto"/>
                      <w:szCs w:val="21"/>
                    </w:rPr>
                    <w:t>业绩的，每提供1个项目</w:t>
                  </w:r>
                  <w:r>
                    <w:rPr>
                      <w:rFonts w:hint="eastAsia" w:ascii="宋体" w:hAnsi="宋体" w:cs="宋体"/>
                      <w:color w:val="auto"/>
                      <w:szCs w:val="21"/>
                      <w:lang w:eastAsia="zh-CN"/>
                    </w:rPr>
                    <w:t>且</w:t>
                  </w:r>
                  <w:r>
                    <w:rPr>
                      <w:rFonts w:hint="eastAsia" w:ascii="宋体" w:hAnsi="宋体" w:eastAsia="宋体" w:cs="宋体"/>
                      <w:color w:val="auto"/>
                      <w:szCs w:val="21"/>
                    </w:rPr>
                    <w:t>履约（或验收）评价为优秀或非常满意或同等最高评价的履约（或验收）报告（证明）文件的得20分，同一项目续签不重复得分，最高得100分。</w:t>
                  </w:r>
                </w:p>
                <w:p w14:paraId="6A4CFB0A">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b/>
                      <w:bCs/>
                      <w:color w:val="auto"/>
                      <w:szCs w:val="21"/>
                    </w:rPr>
                  </w:pPr>
                  <w:r>
                    <w:rPr>
                      <w:rFonts w:hint="eastAsia" w:ascii="宋体" w:hAnsi="宋体" w:cs="宋体"/>
                      <w:b/>
                      <w:bCs/>
                      <w:color w:val="auto"/>
                      <w:szCs w:val="21"/>
                      <w:lang w:eastAsia="zh-CN"/>
                    </w:rPr>
                    <w:t>证明文件</w:t>
                  </w:r>
                  <w:r>
                    <w:rPr>
                      <w:rFonts w:hint="eastAsia" w:ascii="宋体" w:hAnsi="宋体" w:eastAsia="宋体" w:cs="宋体"/>
                      <w:b/>
                      <w:bCs/>
                      <w:color w:val="auto"/>
                      <w:szCs w:val="21"/>
                    </w:rPr>
                    <w:t>：</w:t>
                  </w:r>
                </w:p>
                <w:p w14:paraId="066ABC8F">
                  <w:pPr>
                    <w:keepNext w:val="0"/>
                    <w:keepLines w:val="0"/>
                    <w:pageBreakBefore w:val="0"/>
                    <w:widowControl/>
                    <w:kinsoku/>
                    <w:wordWrap w:val="0"/>
                    <w:overflowPunct/>
                    <w:topLinePunct w:val="0"/>
                    <w:bidi w:val="0"/>
                    <w:snapToGrid/>
                    <w:spacing w:line="360" w:lineRule="auto"/>
                    <w:ind w:firstLine="0" w:firstLineChars="0"/>
                    <w:jc w:val="left"/>
                    <w:textAlignment w:val="auto"/>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cs="宋体"/>
                      <w:color w:val="auto"/>
                      <w:szCs w:val="21"/>
                      <w:lang w:eastAsia="zh-CN"/>
                    </w:rPr>
                    <w:t>、同时</w:t>
                  </w:r>
                  <w:r>
                    <w:rPr>
                      <w:rFonts w:hint="eastAsia" w:ascii="宋体" w:hAnsi="宋体" w:eastAsia="宋体" w:cs="宋体"/>
                      <w:color w:val="auto"/>
                      <w:szCs w:val="21"/>
                    </w:rPr>
                    <w:t>提供合同关键</w:t>
                  </w:r>
                  <w:r>
                    <w:rPr>
                      <w:rFonts w:hint="eastAsia" w:ascii="宋体" w:hAnsi="宋体" w:cs="宋体"/>
                      <w:color w:val="auto"/>
                      <w:szCs w:val="21"/>
                      <w:lang w:eastAsia="zh-CN"/>
                    </w:rPr>
                    <w:t>页</w:t>
                  </w:r>
                  <w:r>
                    <w:rPr>
                      <w:rFonts w:hint="eastAsia" w:ascii="宋体" w:hAnsi="宋体" w:eastAsia="宋体" w:cs="宋体"/>
                      <w:color w:val="auto"/>
                      <w:szCs w:val="21"/>
                    </w:rPr>
                    <w:t>（包括但不限于：合同名称页、合同主要内容页、合同签订日期页、合同双方签字盖章页）及加盖甲方公章（或甲方业务章）</w:t>
                  </w:r>
                  <w:r>
                    <w:rPr>
                      <w:rFonts w:hint="eastAsia" w:ascii="宋体" w:hAnsi="宋体" w:cs="宋体"/>
                      <w:color w:val="auto"/>
                      <w:szCs w:val="21"/>
                      <w:lang w:eastAsia="zh-CN"/>
                    </w:rPr>
                    <w:t>的</w:t>
                  </w:r>
                  <w:r>
                    <w:rPr>
                      <w:rFonts w:hint="eastAsia" w:ascii="宋体" w:hAnsi="宋体" w:eastAsia="宋体" w:cs="宋体"/>
                      <w:color w:val="auto"/>
                      <w:szCs w:val="21"/>
                    </w:rPr>
                    <w:t>履约（或验收）报告（证明），通过合同关键信息无法判断是否得分的，还须同时提供能证明得分的其它证明资料，如项目报告或合同甲方出具的证明文件等。</w:t>
                  </w:r>
                </w:p>
                <w:p w14:paraId="3F0E7063">
                  <w:pPr>
                    <w:keepNext w:val="0"/>
                    <w:keepLines w:val="0"/>
                    <w:pageBreakBefore w:val="0"/>
                    <w:widowControl/>
                    <w:kinsoku/>
                    <w:wordWrap w:val="0"/>
                    <w:overflowPunct/>
                    <w:topLinePunct w:val="0"/>
                    <w:bidi w:val="0"/>
                    <w:snapToGrid/>
                    <w:spacing w:line="360" w:lineRule="auto"/>
                    <w:ind w:firstLine="0" w:firstLineChars="0"/>
                    <w:jc w:val="left"/>
                    <w:textAlignment w:val="auto"/>
                    <w:rPr>
                      <w:rFonts w:hint="eastAsia" w:ascii="宋体" w:hAnsi="宋体" w:eastAsia="宋体" w:cs="宋体"/>
                      <w:bCs/>
                      <w:color w:val="auto"/>
                      <w:kern w:val="2"/>
                      <w:sz w:val="21"/>
                      <w:szCs w:val="21"/>
                      <w:lang w:val="zh-CN" w:eastAsia="zh-CN" w:bidi="ar-SA"/>
                    </w:rPr>
                  </w:pPr>
                  <w:r>
                    <w:rPr>
                      <w:rFonts w:hint="eastAsia" w:ascii="宋体" w:hAnsi="宋体" w:eastAsia="宋体" w:cs="宋体"/>
                      <w:color w:val="auto"/>
                      <w:szCs w:val="21"/>
                    </w:rPr>
                    <w:t>2</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020674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22D8ACEF">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42E4FCDE">
                  <w:pPr>
                    <w:pageBreakBefore w:val="0"/>
                    <w:kinsoku/>
                    <w:overflowPunct/>
                    <w:topLinePunct w:val="0"/>
                    <w:autoSpaceDE/>
                    <w:autoSpaceDN/>
                    <w:bidi w:val="0"/>
                    <w:spacing w:beforeAutospacing="0" w:afterAutospacing="0" w:line="360" w:lineRule="auto"/>
                    <w:ind w:left="0" w:leftChars="0" w:right="0" w:rightChars="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3</w:t>
                  </w:r>
                </w:p>
              </w:tc>
              <w:tc>
                <w:tcPr>
                  <w:tcW w:w="2835" w:type="dxa"/>
                  <w:tcBorders>
                    <w:top w:val="single" w:color="000000" w:sz="8" w:space="0"/>
                    <w:left w:val="single" w:color="000000" w:sz="8" w:space="0"/>
                    <w:bottom w:val="single" w:color="000000" w:sz="8" w:space="0"/>
                    <w:right w:val="single" w:color="000000" w:sz="8" w:space="0"/>
                  </w:tcBorders>
                  <w:vAlign w:val="center"/>
                </w:tcPr>
                <w:p w14:paraId="317A20A6">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zh-CN" w:eastAsia="zh-CN" w:bidi="ar-SA"/>
                    </w:rPr>
                  </w:pPr>
                  <w:r>
                    <w:rPr>
                      <w:rFonts w:hint="eastAsia" w:ascii="宋体" w:hAnsi="宋体" w:eastAsia="宋体" w:cs="宋体"/>
                      <w:color w:val="auto"/>
                      <w:szCs w:val="21"/>
                    </w:rPr>
                    <w:t>投标人获奖情况</w:t>
                  </w:r>
                </w:p>
              </w:tc>
              <w:tc>
                <w:tcPr>
                  <w:tcW w:w="681" w:type="dxa"/>
                  <w:tcBorders>
                    <w:top w:val="single" w:color="000000" w:sz="8" w:space="0"/>
                    <w:left w:val="single" w:color="000000" w:sz="8" w:space="0"/>
                    <w:bottom w:val="single" w:color="000000" w:sz="8" w:space="0"/>
                    <w:right w:val="single" w:color="000000" w:sz="8" w:space="0"/>
                  </w:tcBorders>
                  <w:vAlign w:val="center"/>
                </w:tcPr>
                <w:p w14:paraId="78A8F612">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5</w:t>
                  </w:r>
                </w:p>
              </w:tc>
              <w:tc>
                <w:tcPr>
                  <w:tcW w:w="4196" w:type="dxa"/>
                  <w:tcBorders>
                    <w:top w:val="single" w:color="000000" w:sz="8" w:space="0"/>
                    <w:left w:val="single" w:color="000000" w:sz="8" w:space="0"/>
                    <w:bottom w:val="single" w:color="000000" w:sz="8" w:space="0"/>
                    <w:right w:val="single" w:color="000000" w:sz="8" w:space="0"/>
                  </w:tcBorders>
                  <w:vAlign w:val="top"/>
                </w:tcPr>
                <w:p w14:paraId="4212E6AE">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b/>
                      <w:bCs/>
                      <w:color w:val="auto"/>
                      <w:szCs w:val="21"/>
                    </w:rPr>
                  </w:pPr>
                  <w:r>
                    <w:rPr>
                      <w:rFonts w:hint="eastAsia" w:ascii="宋体" w:hAnsi="宋体" w:cs="宋体"/>
                      <w:b/>
                      <w:bCs/>
                      <w:color w:val="auto"/>
                      <w:szCs w:val="21"/>
                      <w:lang w:eastAsia="zh-CN"/>
                    </w:rPr>
                    <w:t>考察内容</w:t>
                  </w:r>
                  <w:r>
                    <w:rPr>
                      <w:rFonts w:hint="eastAsia" w:ascii="宋体" w:hAnsi="宋体" w:eastAsia="宋体" w:cs="宋体"/>
                      <w:b/>
                      <w:bCs/>
                      <w:color w:val="auto"/>
                      <w:szCs w:val="21"/>
                    </w:rPr>
                    <w:t>：</w:t>
                  </w:r>
                </w:p>
                <w:p w14:paraId="3D05A461">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b/>
                      <w:bCs/>
                      <w:color w:val="auto"/>
                      <w:szCs w:val="21"/>
                    </w:rPr>
                  </w:pPr>
                  <w:r>
                    <w:rPr>
                      <w:rFonts w:hint="eastAsia" w:ascii="宋体" w:hAnsi="宋体" w:eastAsia="宋体" w:cs="宋体"/>
                      <w:color w:val="auto"/>
                      <w:szCs w:val="21"/>
                    </w:rPr>
                    <w:t>投标人获奖情况：</w:t>
                  </w:r>
                </w:p>
                <w:p w14:paraId="7AE51D27">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color w:val="auto"/>
                      <w:szCs w:val="21"/>
                      <w:lang w:eastAsia="zh-CN"/>
                    </w:rPr>
                  </w:pPr>
                  <w:r>
                    <w:rPr>
                      <w:rFonts w:hint="eastAsia" w:ascii="宋体" w:hAnsi="宋体" w:cs="宋体"/>
                      <w:color w:val="auto"/>
                      <w:szCs w:val="21"/>
                      <w:lang w:eastAsia="zh-CN"/>
                    </w:rPr>
                    <w:t>每</w:t>
                  </w:r>
                  <w:r>
                    <w:rPr>
                      <w:rFonts w:hint="eastAsia" w:ascii="宋体" w:hAnsi="宋体" w:eastAsia="宋体" w:cs="宋体"/>
                      <w:color w:val="auto"/>
                      <w:szCs w:val="21"/>
                    </w:rPr>
                    <w:t>获得</w:t>
                  </w:r>
                  <w:r>
                    <w:rPr>
                      <w:rFonts w:hint="eastAsia" w:ascii="宋体" w:hAnsi="宋体" w:eastAsia="宋体" w:cs="宋体"/>
                      <w:color w:val="auto"/>
                      <w:kern w:val="0"/>
                      <w:szCs w:val="21"/>
                    </w:rPr>
                    <w:t>1项市级</w:t>
                  </w:r>
                  <w:r>
                    <w:rPr>
                      <w:rFonts w:hint="eastAsia" w:ascii="宋体" w:hAnsi="宋体" w:cs="宋体"/>
                      <w:color w:val="auto"/>
                      <w:kern w:val="0"/>
                      <w:szCs w:val="21"/>
                      <w:lang w:eastAsia="zh-CN"/>
                    </w:rPr>
                    <w:t>（</w:t>
                  </w:r>
                  <w:r>
                    <w:rPr>
                      <w:rFonts w:hint="eastAsia" w:ascii="宋体" w:hAnsi="宋体" w:eastAsia="宋体" w:cs="宋体"/>
                      <w:color w:val="auto"/>
                      <w:kern w:val="0"/>
                      <w:szCs w:val="21"/>
                    </w:rPr>
                    <w:t>或以上</w:t>
                  </w:r>
                  <w:r>
                    <w:rPr>
                      <w:rFonts w:hint="eastAsia" w:ascii="宋体" w:hAnsi="宋体" w:cs="宋体"/>
                      <w:color w:val="auto"/>
                      <w:kern w:val="0"/>
                      <w:szCs w:val="21"/>
                      <w:lang w:eastAsia="zh-CN"/>
                    </w:rPr>
                    <w:t>）</w:t>
                  </w:r>
                  <w:r>
                    <w:rPr>
                      <w:rFonts w:hint="eastAsia" w:ascii="宋体" w:hAnsi="宋体" w:eastAsia="宋体" w:cs="宋体"/>
                      <w:color w:val="auto"/>
                      <w:kern w:val="0"/>
                      <w:szCs w:val="21"/>
                    </w:rPr>
                    <w:t>行政机关或事业单位或协会颁发的农业类荣誉</w:t>
                  </w:r>
                  <w:r>
                    <w:rPr>
                      <w:rFonts w:hint="eastAsia" w:ascii="宋体" w:hAnsi="宋体" w:cs="宋体"/>
                      <w:color w:val="auto"/>
                      <w:kern w:val="0"/>
                      <w:szCs w:val="21"/>
                      <w:lang w:eastAsia="zh-CN"/>
                    </w:rPr>
                    <w:t>的</w:t>
                  </w:r>
                  <w:r>
                    <w:rPr>
                      <w:rFonts w:hint="eastAsia" w:ascii="宋体" w:hAnsi="宋体" w:eastAsia="宋体" w:cs="宋体"/>
                      <w:color w:val="auto"/>
                      <w:kern w:val="0"/>
                      <w:szCs w:val="21"/>
                    </w:rPr>
                    <w:t>得35</w:t>
                  </w:r>
                  <w:r>
                    <w:rPr>
                      <w:rFonts w:hint="eastAsia" w:ascii="宋体" w:hAnsi="宋体" w:eastAsia="宋体" w:cs="宋体"/>
                      <w:color w:val="auto"/>
                      <w:szCs w:val="21"/>
                    </w:rPr>
                    <w:t>分</w:t>
                  </w:r>
                  <w:r>
                    <w:rPr>
                      <w:rFonts w:hint="eastAsia" w:ascii="宋体" w:hAnsi="宋体" w:eastAsia="宋体" w:cs="宋体"/>
                      <w:color w:val="auto"/>
                      <w:kern w:val="0"/>
                      <w:szCs w:val="21"/>
                    </w:rPr>
                    <w:t>，</w:t>
                  </w:r>
                  <w:r>
                    <w:rPr>
                      <w:rFonts w:hint="eastAsia" w:ascii="宋体" w:hAnsi="宋体" w:cs="宋体"/>
                      <w:color w:val="auto"/>
                      <w:kern w:val="0"/>
                      <w:szCs w:val="21"/>
                      <w:lang w:eastAsia="zh-CN"/>
                    </w:rPr>
                    <w:t>本项</w:t>
                  </w:r>
                  <w:r>
                    <w:rPr>
                      <w:rFonts w:hint="eastAsia" w:ascii="宋体" w:hAnsi="宋体" w:eastAsia="宋体" w:cs="宋体"/>
                      <w:color w:val="auto"/>
                      <w:kern w:val="0"/>
                      <w:szCs w:val="21"/>
                    </w:rPr>
                    <w:t>最高得100</w:t>
                  </w:r>
                  <w:r>
                    <w:rPr>
                      <w:rFonts w:hint="eastAsia" w:ascii="宋体" w:hAnsi="宋体" w:eastAsia="宋体" w:cs="宋体"/>
                      <w:color w:val="auto"/>
                      <w:szCs w:val="21"/>
                    </w:rPr>
                    <w:t>分</w:t>
                  </w:r>
                  <w:r>
                    <w:rPr>
                      <w:rFonts w:hint="eastAsia" w:ascii="宋体" w:hAnsi="宋体" w:cs="宋体"/>
                      <w:color w:val="auto"/>
                      <w:szCs w:val="21"/>
                      <w:lang w:eastAsia="zh-CN"/>
                    </w:rPr>
                    <w:t>。</w:t>
                  </w:r>
                </w:p>
                <w:p w14:paraId="055B2E4A">
                  <w:pPr>
                    <w:keepNext w:val="0"/>
                    <w:keepLines w:val="0"/>
                    <w:pageBreakBefore w:val="0"/>
                    <w:widowControl/>
                    <w:kinsoku/>
                    <w:overflowPunct/>
                    <w:topLinePunct w:val="0"/>
                    <w:bidi w:val="0"/>
                    <w:snapToGrid/>
                    <w:spacing w:line="360" w:lineRule="auto"/>
                    <w:ind w:firstLine="0" w:firstLineChars="0"/>
                    <w:jc w:val="left"/>
                    <w:textAlignment w:val="auto"/>
                    <w:rPr>
                      <w:rFonts w:hint="eastAsia" w:ascii="宋体" w:hAnsi="宋体" w:eastAsia="宋体" w:cs="宋体"/>
                      <w:color w:val="auto"/>
                      <w:szCs w:val="21"/>
                    </w:rPr>
                  </w:pPr>
                  <w:r>
                    <w:rPr>
                      <w:rFonts w:hint="eastAsia" w:ascii="宋体" w:hAnsi="宋体" w:cs="宋体"/>
                      <w:b/>
                      <w:bCs/>
                      <w:color w:val="auto"/>
                      <w:szCs w:val="21"/>
                      <w:lang w:eastAsia="zh-CN"/>
                    </w:rPr>
                    <w:t>证明文件</w:t>
                  </w:r>
                  <w:r>
                    <w:rPr>
                      <w:rFonts w:hint="eastAsia" w:ascii="宋体" w:hAnsi="宋体" w:eastAsia="宋体" w:cs="宋体"/>
                      <w:b/>
                      <w:bCs/>
                      <w:color w:val="auto"/>
                      <w:szCs w:val="21"/>
                    </w:rPr>
                    <w:t>：</w:t>
                  </w:r>
                  <w:r>
                    <w:rPr>
                      <w:rFonts w:hint="eastAsia" w:ascii="宋体" w:hAnsi="宋体" w:eastAsia="宋体" w:cs="宋体"/>
                      <w:color w:val="auto"/>
                      <w:szCs w:val="21"/>
                    </w:rPr>
                    <w:t xml:space="preserve"> </w:t>
                  </w:r>
                </w:p>
                <w:p w14:paraId="69D01828">
                  <w:pPr>
                    <w:keepNext w:val="0"/>
                    <w:keepLines w:val="0"/>
                    <w:pageBreakBefore w:val="0"/>
                    <w:widowControl/>
                    <w:kinsoku/>
                    <w:wordWrap w:val="0"/>
                    <w:overflowPunct/>
                    <w:topLinePunct w:val="0"/>
                    <w:bidi w:val="0"/>
                    <w:snapToGrid/>
                    <w:spacing w:line="360" w:lineRule="auto"/>
                    <w:ind w:firstLine="0" w:firstLineChars="0"/>
                    <w:jc w:val="left"/>
                    <w:textAlignment w:val="auto"/>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cs="宋体"/>
                      <w:color w:val="auto"/>
                      <w:szCs w:val="21"/>
                      <w:lang w:eastAsia="zh-CN"/>
                    </w:rPr>
                    <w:t>、</w:t>
                  </w:r>
                  <w:r>
                    <w:rPr>
                      <w:rFonts w:hint="eastAsia" w:ascii="宋体" w:hAnsi="宋体" w:eastAsia="宋体" w:cs="宋体"/>
                      <w:color w:val="auto"/>
                      <w:szCs w:val="21"/>
                    </w:rPr>
                    <w:t>提供奖项照片或获奖（荣誉）证书</w:t>
                  </w:r>
                  <w:r>
                    <w:rPr>
                      <w:rFonts w:hint="eastAsia" w:ascii="宋体" w:hAnsi="宋体" w:cs="宋体"/>
                      <w:color w:val="auto"/>
                      <w:szCs w:val="21"/>
                      <w:lang w:eastAsia="zh-CN"/>
                    </w:rPr>
                    <w:t>扫描件，</w:t>
                  </w:r>
                  <w:r>
                    <w:rPr>
                      <w:rFonts w:hint="eastAsia" w:ascii="宋体" w:hAnsi="宋体" w:cs="宋体"/>
                      <w:color w:val="auto"/>
                      <w:szCs w:val="21"/>
                      <w:lang w:val="en-US" w:eastAsia="zh-CN"/>
                    </w:rPr>
                    <w:t>原件备查</w:t>
                  </w:r>
                  <w:r>
                    <w:rPr>
                      <w:rFonts w:hint="eastAsia" w:ascii="宋体" w:hAnsi="宋体" w:eastAsia="宋体" w:cs="宋体"/>
                      <w:color w:val="auto"/>
                      <w:szCs w:val="21"/>
                    </w:rPr>
                    <w:t>。</w:t>
                  </w:r>
                  <w:r>
                    <w:rPr>
                      <w:rFonts w:hint="eastAsia" w:ascii="宋体" w:hAnsi="宋体" w:eastAsia="宋体" w:cs="宋体"/>
                      <w:color w:val="auto"/>
                      <w:szCs w:val="21"/>
                      <w:lang w:val="en-US" w:eastAsia="zh-CN"/>
                    </w:rPr>
                    <w:t>若为协会颁发的，则还需要同时提供该机构在中国社会组织政务服务平台（网址 https://chinanpo.mca.gov.cn)的查询“正常”页面截图；或该协会(机构）由政府部门或行政事业单位审批的证明文件扫描件，否则不予认可，视为无效证书；</w:t>
                  </w:r>
                </w:p>
                <w:p w14:paraId="0EDFC1F9">
                  <w:pPr>
                    <w:keepNext w:val="0"/>
                    <w:keepLines w:val="0"/>
                    <w:pageBreakBefore w:val="0"/>
                    <w:widowControl/>
                    <w:kinsoku/>
                    <w:wordWrap w:val="0"/>
                    <w:overflowPunct/>
                    <w:topLinePunct w:val="0"/>
                    <w:bidi w:val="0"/>
                    <w:snapToGrid/>
                    <w:spacing w:line="360" w:lineRule="auto"/>
                    <w:ind w:firstLine="0" w:firstLineChars="0"/>
                    <w:textAlignment w:val="auto"/>
                    <w:rPr>
                      <w:rFonts w:hint="eastAsia" w:ascii="宋体" w:hAnsi="宋体" w:eastAsia="宋体" w:cs="宋体"/>
                      <w:bCs/>
                      <w:color w:val="auto"/>
                      <w:kern w:val="2"/>
                      <w:sz w:val="21"/>
                      <w:szCs w:val="21"/>
                      <w:lang w:val="zh-CN" w:eastAsia="zh-CN" w:bidi="ar-SA"/>
                    </w:rPr>
                  </w:pPr>
                  <w:r>
                    <w:rPr>
                      <w:rFonts w:hint="eastAsia" w:ascii="宋体" w:hAnsi="宋体" w:eastAsia="宋体" w:cs="宋体"/>
                      <w:color w:val="auto"/>
                      <w:szCs w:val="21"/>
                    </w:rPr>
                    <w:t>2</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5297D8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right w:val="single" w:color="000000" w:sz="8" w:space="0"/>
                  </w:tcBorders>
                  <w:vAlign w:val="center"/>
                </w:tcPr>
                <w:p w14:paraId="74D5601F">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45DC7C0C">
                  <w:pPr>
                    <w:pageBreakBefore w:val="0"/>
                    <w:kinsoku/>
                    <w:overflowPunct/>
                    <w:topLinePunct w:val="0"/>
                    <w:autoSpaceDE/>
                    <w:autoSpaceDN/>
                    <w:bidi w:val="0"/>
                    <w:spacing w:beforeAutospacing="0" w:afterAutospacing="0" w:line="360" w:lineRule="auto"/>
                    <w:ind w:left="0" w:leftChars="0" w:right="0" w:rightChars="0" w:firstLine="0" w:firstLineChars="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2835" w:type="dxa"/>
                  <w:tcBorders>
                    <w:top w:val="single" w:color="000000" w:sz="8" w:space="0"/>
                    <w:left w:val="single" w:color="000000" w:sz="8" w:space="0"/>
                    <w:bottom w:val="single" w:color="000000" w:sz="8" w:space="0"/>
                    <w:right w:val="single" w:color="000000" w:sz="8" w:space="0"/>
                  </w:tcBorders>
                  <w:vAlign w:val="center"/>
                </w:tcPr>
                <w:p w14:paraId="0F1AA20C">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Cs w:val="21"/>
                      <w:lang w:eastAsia="zh-CN"/>
                    </w:rPr>
                    <w:t>第三方</w:t>
                  </w:r>
                  <w:r>
                    <w:rPr>
                      <w:rFonts w:hint="eastAsia" w:ascii="宋体" w:hAnsi="宋体" w:eastAsia="宋体" w:cs="宋体"/>
                      <w:color w:val="auto"/>
                      <w:szCs w:val="21"/>
                    </w:rPr>
                    <w:t>检验检测报告</w:t>
                  </w:r>
                </w:p>
              </w:tc>
              <w:tc>
                <w:tcPr>
                  <w:tcW w:w="681" w:type="dxa"/>
                  <w:tcBorders>
                    <w:top w:val="single" w:color="000000" w:sz="8" w:space="0"/>
                    <w:left w:val="single" w:color="000000" w:sz="8" w:space="0"/>
                    <w:bottom w:val="single" w:color="000000" w:sz="8" w:space="0"/>
                    <w:right w:val="single" w:color="000000" w:sz="8" w:space="0"/>
                  </w:tcBorders>
                  <w:vAlign w:val="center"/>
                </w:tcPr>
                <w:p w14:paraId="263DF629">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rPr>
                    <w:t>12</w:t>
                  </w:r>
                </w:p>
              </w:tc>
              <w:tc>
                <w:tcPr>
                  <w:tcW w:w="4196" w:type="dxa"/>
                  <w:tcBorders>
                    <w:top w:val="single" w:color="000000" w:sz="8" w:space="0"/>
                    <w:left w:val="single" w:color="000000" w:sz="8" w:space="0"/>
                    <w:bottom w:val="single" w:color="000000" w:sz="8" w:space="0"/>
                    <w:right w:val="single" w:color="000000" w:sz="8" w:space="0"/>
                  </w:tcBorders>
                  <w:vAlign w:val="center"/>
                </w:tcPr>
                <w:p w14:paraId="15AD9ED6">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cs="宋体"/>
                      <w:b/>
                      <w:bCs/>
                      <w:color w:val="auto"/>
                      <w:kern w:val="0"/>
                      <w:szCs w:val="21"/>
                      <w:lang w:eastAsia="zh-CN"/>
                    </w:rPr>
                    <w:t>考察内容</w:t>
                  </w:r>
                  <w:r>
                    <w:rPr>
                      <w:rFonts w:hint="eastAsia" w:ascii="宋体" w:hAnsi="宋体" w:eastAsia="宋体" w:cs="宋体"/>
                      <w:color w:val="auto"/>
                      <w:szCs w:val="21"/>
                    </w:rPr>
                    <w:t>：</w:t>
                  </w:r>
                </w:p>
                <w:p w14:paraId="1AD5A7EE">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rPr>
                  </w:pPr>
                  <w:r>
                    <w:rPr>
                      <w:rFonts w:hint="eastAsia" w:ascii="宋体" w:hAnsi="宋体" w:cs="宋体"/>
                      <w:color w:val="auto"/>
                      <w:lang w:eastAsia="zh-CN"/>
                    </w:rPr>
                    <w:t>2024</w:t>
                  </w:r>
                  <w:r>
                    <w:rPr>
                      <w:rFonts w:hint="eastAsia" w:ascii="宋体" w:hAnsi="宋体" w:eastAsia="宋体" w:cs="宋体"/>
                      <w:color w:val="auto"/>
                    </w:rPr>
                    <w:t xml:space="preserve"> 年 </w:t>
                  </w:r>
                  <w:r>
                    <w:rPr>
                      <w:rFonts w:hint="eastAsia" w:ascii="宋体" w:hAnsi="宋体" w:cs="宋体"/>
                      <w:color w:val="auto"/>
                      <w:lang w:val="en-US" w:eastAsia="zh-CN"/>
                    </w:rPr>
                    <w:t>3</w:t>
                  </w:r>
                  <w:r>
                    <w:rPr>
                      <w:rFonts w:hint="eastAsia" w:ascii="宋体" w:hAnsi="宋体" w:eastAsia="宋体" w:cs="宋体"/>
                      <w:color w:val="auto"/>
                    </w:rPr>
                    <w:t>月 1 日至本项目投标截止之日，投标人具有 CMA 和 CNAS 标识的检测报告（以报告上的收样日期或送样日期为准）</w:t>
                  </w:r>
                </w:p>
                <w:p w14:paraId="43491D50">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①蔬菜类(检测项不低于 7 项，且至少包含甲基异柳磷</w:t>
                  </w:r>
                  <w:r>
                    <w:rPr>
                      <w:rFonts w:hint="eastAsia" w:ascii="宋体" w:hAnsi="宋体" w:cs="宋体"/>
                      <w:color w:val="auto"/>
                      <w:lang w:eastAsia="zh-CN"/>
                    </w:rPr>
                    <w:t>、</w:t>
                  </w:r>
                  <w:r>
                    <w:rPr>
                      <w:rFonts w:hint="eastAsia" w:ascii="宋体" w:hAnsi="宋体" w:cs="宋体"/>
                      <w:color w:val="auto"/>
                    </w:rPr>
                    <w:t>氯酞酸甲酯</w:t>
                  </w:r>
                  <w:r>
                    <w:rPr>
                      <w:rFonts w:hint="eastAsia" w:ascii="宋体" w:hAnsi="宋体" w:cs="宋体"/>
                      <w:color w:val="auto"/>
                      <w:lang w:eastAsia="zh-CN"/>
                    </w:rPr>
                    <w:t>、</w:t>
                  </w:r>
                  <w:r>
                    <w:rPr>
                      <w:rFonts w:hint="eastAsia" w:ascii="宋体" w:hAnsi="宋体" w:cs="宋体"/>
                      <w:color w:val="auto"/>
                    </w:rPr>
                    <w:t>除虫菊素</w:t>
                  </w:r>
                  <w:r>
                    <w:rPr>
                      <w:rFonts w:hint="eastAsia" w:ascii="宋体" w:hAnsi="宋体" w:eastAsia="宋体" w:cs="宋体"/>
                      <w:color w:val="auto"/>
                    </w:rPr>
                    <w:t>)</w:t>
                  </w:r>
                  <w:r>
                    <w:rPr>
                      <w:rFonts w:hint="eastAsia" w:ascii="宋体" w:hAnsi="宋体" w:cs="宋体"/>
                      <w:color w:val="auto"/>
                      <w:lang w:eastAsia="zh-CN"/>
                    </w:rPr>
                    <w:t>；</w:t>
                  </w:r>
                </w:p>
                <w:p w14:paraId="17C7410C">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②鲜肉类:(检测项不低于 7 项，且至少包含喹乙醇</w:t>
                  </w:r>
                  <w:r>
                    <w:rPr>
                      <w:rFonts w:hint="eastAsia" w:ascii="宋体" w:hAnsi="宋体" w:cs="宋体"/>
                      <w:color w:val="auto"/>
                      <w:lang w:eastAsia="zh-CN"/>
                    </w:rPr>
                    <w:t>、</w:t>
                  </w:r>
                  <w:r>
                    <w:rPr>
                      <w:rFonts w:hint="eastAsia" w:ascii="宋体" w:hAnsi="宋体" w:cs="宋体"/>
                      <w:color w:val="auto"/>
                    </w:rPr>
                    <w:t>双氢链霉素</w:t>
                  </w:r>
                  <w:r>
                    <w:rPr>
                      <w:rFonts w:hint="eastAsia" w:ascii="宋体" w:hAnsi="宋体" w:cs="宋体"/>
                      <w:color w:val="auto"/>
                      <w:lang w:eastAsia="zh-CN"/>
                    </w:rPr>
                    <w:t>、</w:t>
                  </w:r>
                  <w:r>
                    <w:rPr>
                      <w:rFonts w:hint="eastAsia" w:ascii="宋体" w:hAnsi="宋体" w:cs="宋体"/>
                      <w:color w:val="auto"/>
                    </w:rPr>
                    <w:t>乙酰氨基阿维菌素</w:t>
                  </w:r>
                  <w:r>
                    <w:rPr>
                      <w:rFonts w:hint="eastAsia" w:ascii="宋体" w:hAnsi="宋体" w:eastAsia="宋体" w:cs="宋体"/>
                      <w:color w:val="auto"/>
                    </w:rPr>
                    <w:t>)</w:t>
                  </w:r>
                  <w:r>
                    <w:rPr>
                      <w:rFonts w:hint="eastAsia" w:ascii="宋体" w:hAnsi="宋体" w:cs="宋体"/>
                      <w:color w:val="auto"/>
                      <w:lang w:eastAsia="zh-CN"/>
                    </w:rPr>
                    <w:t>；</w:t>
                  </w:r>
                </w:p>
                <w:p w14:paraId="369305BF">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③禽类:(检测项不低于 7 项，且至少包含五氯酚酸钠、</w:t>
                  </w:r>
                  <w:r>
                    <w:rPr>
                      <w:rFonts w:hint="eastAsia" w:ascii="宋体" w:hAnsi="宋体" w:cs="宋体"/>
                      <w:color w:val="auto"/>
                    </w:rPr>
                    <w:t>阿苯达唑</w:t>
                  </w:r>
                  <w:r>
                    <w:rPr>
                      <w:rFonts w:hint="eastAsia" w:ascii="宋体" w:hAnsi="宋体" w:cs="宋体"/>
                      <w:color w:val="auto"/>
                      <w:lang w:eastAsia="zh-CN"/>
                    </w:rPr>
                    <w:t>、</w:t>
                  </w:r>
                  <w:r>
                    <w:rPr>
                      <w:rFonts w:hint="eastAsia" w:ascii="宋体" w:hAnsi="宋体" w:cs="宋体"/>
                      <w:color w:val="auto"/>
                    </w:rPr>
                    <w:t>丙炔氟草胺</w:t>
                  </w:r>
                  <w:r>
                    <w:rPr>
                      <w:rFonts w:hint="eastAsia" w:ascii="宋体" w:hAnsi="宋体" w:eastAsia="宋体" w:cs="宋体"/>
                      <w:color w:val="auto"/>
                    </w:rPr>
                    <w:t>)</w:t>
                  </w:r>
                  <w:r>
                    <w:rPr>
                      <w:rFonts w:hint="eastAsia" w:ascii="宋体" w:hAnsi="宋体" w:cs="宋体"/>
                      <w:color w:val="auto"/>
                      <w:lang w:eastAsia="zh-CN"/>
                    </w:rPr>
                    <w:t>；</w:t>
                  </w:r>
                </w:p>
                <w:p w14:paraId="30779A40">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④水产类:(检测项不低于 7 项，且至少包含氧氟沙星</w:t>
                  </w:r>
                  <w:r>
                    <w:rPr>
                      <w:rFonts w:hint="eastAsia" w:ascii="宋体" w:hAnsi="宋体" w:cs="宋体"/>
                      <w:color w:val="auto"/>
                      <w:lang w:eastAsia="zh-CN"/>
                    </w:rPr>
                    <w:t>、</w:t>
                  </w:r>
                  <w:r>
                    <w:rPr>
                      <w:rFonts w:hint="eastAsia" w:ascii="宋体" w:hAnsi="宋体" w:cs="宋体"/>
                      <w:color w:val="auto"/>
                    </w:rPr>
                    <w:t>噁喹酸</w:t>
                  </w:r>
                  <w:r>
                    <w:rPr>
                      <w:rFonts w:hint="eastAsia" w:ascii="宋体" w:hAnsi="宋体" w:cs="宋体"/>
                      <w:color w:val="auto"/>
                      <w:lang w:eastAsia="zh-CN"/>
                    </w:rPr>
                    <w:t>、</w:t>
                  </w:r>
                  <w:r>
                    <w:rPr>
                      <w:rFonts w:hint="eastAsia" w:ascii="宋体" w:hAnsi="宋体" w:cs="宋体"/>
                      <w:color w:val="auto"/>
                    </w:rPr>
                    <w:t>苯唑西林</w:t>
                  </w:r>
                  <w:r>
                    <w:rPr>
                      <w:rFonts w:hint="eastAsia" w:ascii="宋体" w:hAnsi="宋体" w:eastAsia="宋体" w:cs="宋体"/>
                      <w:color w:val="auto"/>
                    </w:rPr>
                    <w:t>)</w:t>
                  </w:r>
                  <w:r>
                    <w:rPr>
                      <w:rFonts w:hint="eastAsia" w:ascii="宋体" w:hAnsi="宋体" w:cs="宋体"/>
                      <w:color w:val="auto"/>
                      <w:lang w:eastAsia="zh-CN"/>
                    </w:rPr>
                    <w:t>；</w:t>
                  </w:r>
                </w:p>
                <w:p w14:paraId="044E2E02">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⑤大米类:(检测项不低于 7 项，且至少包含黄曲霉毒素 B1、</w:t>
                  </w:r>
                  <w:r>
                    <w:rPr>
                      <w:rFonts w:hint="eastAsia" w:ascii="宋体" w:hAnsi="宋体" w:cs="宋体"/>
                      <w:color w:val="auto"/>
                    </w:rPr>
                    <w:t>三氟硝草醚</w:t>
                  </w:r>
                  <w:r>
                    <w:rPr>
                      <w:rFonts w:hint="eastAsia" w:ascii="宋体" w:hAnsi="宋体" w:cs="宋体"/>
                      <w:color w:val="auto"/>
                      <w:lang w:eastAsia="zh-CN"/>
                    </w:rPr>
                    <w:t>、</w:t>
                  </w:r>
                  <w:r>
                    <w:rPr>
                      <w:rFonts w:hint="eastAsia" w:ascii="宋体" w:hAnsi="宋体" w:cs="宋体"/>
                      <w:color w:val="auto"/>
                    </w:rPr>
                    <w:t>丁草胺</w:t>
                  </w:r>
                  <w:r>
                    <w:rPr>
                      <w:rFonts w:hint="eastAsia" w:ascii="宋体" w:hAnsi="宋体" w:eastAsia="宋体" w:cs="宋体"/>
                      <w:color w:val="auto"/>
                    </w:rPr>
                    <w:t>)</w:t>
                  </w:r>
                  <w:r>
                    <w:rPr>
                      <w:rFonts w:hint="eastAsia" w:ascii="宋体" w:hAnsi="宋体" w:cs="宋体"/>
                      <w:color w:val="auto"/>
                      <w:lang w:eastAsia="zh-CN"/>
                    </w:rPr>
                    <w:t>；</w:t>
                  </w:r>
                </w:p>
                <w:p w14:paraId="7D1F4F5F">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⑥调味品类:(检测项不低于 7 项，且至少包含糖精钠、</w:t>
                  </w:r>
                  <w:r>
                    <w:rPr>
                      <w:rFonts w:hint="eastAsia" w:ascii="宋体" w:hAnsi="宋体" w:cs="宋体"/>
                      <w:color w:val="auto"/>
                    </w:rPr>
                    <w:t>双乙酸钠</w:t>
                  </w:r>
                  <w:r>
                    <w:rPr>
                      <w:rFonts w:hint="eastAsia" w:ascii="宋体" w:hAnsi="宋体" w:cs="宋体"/>
                      <w:color w:val="auto"/>
                      <w:lang w:eastAsia="zh-CN"/>
                    </w:rPr>
                    <w:t>、栀子黄</w:t>
                  </w:r>
                  <w:r>
                    <w:rPr>
                      <w:rFonts w:hint="eastAsia" w:ascii="宋体" w:hAnsi="宋体" w:eastAsia="宋体" w:cs="宋体"/>
                      <w:color w:val="auto"/>
                    </w:rPr>
                    <w:t>)</w:t>
                  </w:r>
                  <w:r>
                    <w:rPr>
                      <w:rFonts w:hint="eastAsia" w:ascii="宋体" w:hAnsi="宋体" w:cs="宋体"/>
                      <w:color w:val="auto"/>
                      <w:lang w:eastAsia="zh-CN"/>
                    </w:rPr>
                    <w:t>；</w:t>
                  </w:r>
                </w:p>
                <w:p w14:paraId="3F82A798">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⑦蛋品类:(检测项不低于 7 项，且至少包含沙拉沙星、</w:t>
                  </w:r>
                  <w:r>
                    <w:rPr>
                      <w:rFonts w:hint="eastAsia" w:ascii="宋体" w:hAnsi="宋体" w:cs="宋体"/>
                      <w:color w:val="auto"/>
                    </w:rPr>
                    <w:t>泰妙菌素</w:t>
                  </w:r>
                  <w:r>
                    <w:rPr>
                      <w:rFonts w:hint="eastAsia" w:ascii="宋体" w:hAnsi="宋体" w:cs="宋体"/>
                      <w:color w:val="auto"/>
                      <w:lang w:eastAsia="zh-CN"/>
                    </w:rPr>
                    <w:t>、</w:t>
                  </w:r>
                  <w:r>
                    <w:rPr>
                      <w:rFonts w:hint="eastAsia" w:ascii="宋体" w:hAnsi="宋体" w:cs="宋体"/>
                      <w:color w:val="auto"/>
                    </w:rPr>
                    <w:t>泰万菌素</w:t>
                  </w:r>
                  <w:r>
                    <w:rPr>
                      <w:rFonts w:hint="eastAsia" w:ascii="宋体" w:hAnsi="宋体" w:eastAsia="宋体" w:cs="宋体"/>
                      <w:color w:val="auto"/>
                    </w:rPr>
                    <w:t>)</w:t>
                  </w:r>
                  <w:r>
                    <w:rPr>
                      <w:rFonts w:hint="eastAsia" w:ascii="宋体" w:hAnsi="宋体" w:cs="宋体"/>
                      <w:color w:val="auto"/>
                      <w:lang w:eastAsia="zh-CN"/>
                    </w:rPr>
                    <w:t>；</w:t>
                  </w:r>
                </w:p>
                <w:p w14:paraId="5DA9E8ED">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⑧食用油类:(检测项不低于 7 项，且至少包含苯并 a 芘、</w:t>
                  </w:r>
                  <w:r>
                    <w:rPr>
                      <w:rFonts w:hint="eastAsia" w:ascii="宋体" w:hAnsi="宋体" w:cs="宋体"/>
                      <w:color w:val="auto"/>
                    </w:rPr>
                    <w:t>矮壮素</w:t>
                  </w:r>
                  <w:r>
                    <w:rPr>
                      <w:rFonts w:hint="eastAsia" w:ascii="宋体" w:hAnsi="宋体" w:eastAsia="宋体" w:cs="宋体"/>
                      <w:color w:val="auto"/>
                    </w:rPr>
                    <w:t>、</w:t>
                  </w:r>
                  <w:r>
                    <w:rPr>
                      <w:rFonts w:hint="eastAsia" w:ascii="宋体" w:hAnsi="宋体" w:cs="宋体"/>
                      <w:color w:val="auto"/>
                    </w:rPr>
                    <w:t>相对密度</w:t>
                  </w:r>
                  <w:r>
                    <w:rPr>
                      <w:rFonts w:hint="eastAsia" w:ascii="宋体" w:hAnsi="宋体" w:eastAsia="宋体" w:cs="宋体"/>
                      <w:color w:val="auto"/>
                    </w:rPr>
                    <w:t>)</w:t>
                  </w:r>
                  <w:r>
                    <w:rPr>
                      <w:rFonts w:hint="eastAsia" w:ascii="宋体" w:hAnsi="宋体" w:cs="宋体"/>
                      <w:color w:val="auto"/>
                      <w:lang w:eastAsia="zh-CN"/>
                    </w:rPr>
                    <w:t>；</w:t>
                  </w:r>
                </w:p>
                <w:p w14:paraId="5056C81D">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⑨小麦粉或面粉类：(检测项不低于 7 项，且至少包含黄曲霉毒素 B1、</w:t>
                  </w:r>
                  <w:r>
                    <w:rPr>
                      <w:rFonts w:hint="eastAsia" w:ascii="宋体" w:hAnsi="宋体" w:cs="宋体"/>
                      <w:color w:val="auto"/>
                    </w:rPr>
                    <w:t>磷酸盐</w:t>
                  </w:r>
                  <w:r>
                    <w:rPr>
                      <w:rFonts w:hint="eastAsia" w:ascii="宋体" w:hAnsi="宋体" w:cs="宋体"/>
                      <w:color w:val="auto"/>
                      <w:lang w:eastAsia="zh-CN"/>
                    </w:rPr>
                    <w:t>、</w:t>
                  </w:r>
                  <w:r>
                    <w:rPr>
                      <w:rFonts w:hint="eastAsia" w:ascii="宋体" w:hAnsi="宋体" w:cs="宋体"/>
                      <w:color w:val="auto"/>
                    </w:rPr>
                    <w:t>咪鲜胺</w:t>
                  </w:r>
                  <w:r>
                    <w:rPr>
                      <w:rFonts w:hint="eastAsia" w:ascii="宋体" w:hAnsi="宋体" w:eastAsia="宋体" w:cs="宋体"/>
                      <w:color w:val="auto"/>
                    </w:rPr>
                    <w:t>）</w:t>
                  </w:r>
                  <w:r>
                    <w:rPr>
                      <w:rFonts w:hint="eastAsia" w:ascii="宋体" w:hAnsi="宋体" w:cs="宋体"/>
                      <w:color w:val="auto"/>
                      <w:lang w:eastAsia="zh-CN"/>
                    </w:rPr>
                    <w:t>。</w:t>
                  </w:r>
                </w:p>
                <w:p w14:paraId="2E3101AA">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rPr>
                  </w:pPr>
                  <w:r>
                    <w:rPr>
                      <w:rFonts w:hint="eastAsia" w:ascii="宋体" w:hAnsi="宋体" w:eastAsia="宋体" w:cs="宋体"/>
                      <w:color w:val="auto"/>
                    </w:rPr>
                    <w:t>提供委托单位为投标人的检测报告，每提供一个品类连续三个月(每个月需提供一份)的得 15 分（如供应商为新成立企业且成立时间不足三个月的，则提供连续两个月得 15 分；如成立时间不足两个月的，则提供任意一个月得 15 分；成立时间不足一个月的，则直接得 15 分）；每提供一个品类连续两个月(每个月需提供一份)的得 6.5 分；每提供一个品类任意一个月(需提供一份)的得 3 分。上述检测报告同一品类不可重复得分，最高得 100 分。</w:t>
                  </w:r>
                </w:p>
                <w:p w14:paraId="2337327A">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b/>
                      <w:bCs/>
                      <w:color w:val="auto"/>
                    </w:rPr>
                  </w:pPr>
                  <w:r>
                    <w:rPr>
                      <w:rFonts w:hint="eastAsia" w:ascii="宋体" w:hAnsi="宋体" w:eastAsia="宋体" w:cs="宋体"/>
                      <w:b/>
                      <w:bCs/>
                      <w:color w:val="auto"/>
                    </w:rPr>
                    <w:t>证明文件:</w:t>
                  </w:r>
                </w:p>
                <w:p w14:paraId="2CDF7E16">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eastAsia="宋体" w:cs="宋体"/>
                      <w:color w:val="auto"/>
                    </w:rPr>
                    <w:t>1</w:t>
                  </w:r>
                  <w:r>
                    <w:rPr>
                      <w:rFonts w:hint="eastAsia" w:ascii="宋体" w:hAnsi="宋体" w:cs="宋体"/>
                      <w:color w:val="auto"/>
                      <w:lang w:eastAsia="zh-CN"/>
                    </w:rPr>
                    <w:t>、</w:t>
                  </w:r>
                  <w:r>
                    <w:rPr>
                      <w:rFonts w:hint="eastAsia" w:ascii="宋体" w:hAnsi="宋体" w:eastAsia="宋体" w:cs="宋体"/>
                      <w:color w:val="auto"/>
                    </w:rPr>
                    <w:t>提供检测报告扫描件，</w:t>
                  </w:r>
                  <w:r>
                    <w:rPr>
                      <w:rFonts w:hint="eastAsia" w:ascii="宋体" w:hAnsi="宋体" w:cs="宋体"/>
                      <w:color w:val="auto"/>
                      <w:szCs w:val="21"/>
                      <w:lang w:val="en-US" w:eastAsia="zh-CN"/>
                    </w:rPr>
                    <w:t>原件备查，</w:t>
                  </w:r>
                  <w:r>
                    <w:rPr>
                      <w:rFonts w:hint="eastAsia" w:ascii="宋体" w:hAnsi="宋体" w:eastAsia="宋体" w:cs="宋体"/>
                      <w:color w:val="auto"/>
                    </w:rPr>
                    <w:t>上述检测项目判定结果</w:t>
                  </w:r>
                  <w:r>
                    <w:rPr>
                      <w:rFonts w:hint="eastAsia" w:ascii="宋体" w:hAnsi="宋体" w:cs="宋体"/>
                      <w:color w:val="auto"/>
                      <w:lang w:eastAsia="zh-CN"/>
                    </w:rPr>
                    <w:t>需</w:t>
                  </w:r>
                  <w:r>
                    <w:rPr>
                      <w:rFonts w:hint="eastAsia" w:ascii="宋体" w:hAnsi="宋体" w:eastAsia="宋体" w:cs="宋体"/>
                      <w:color w:val="auto"/>
                    </w:rPr>
                    <w:t>为合格或符合或达标或同等描述,检测报告</w:t>
                  </w:r>
                  <w:r>
                    <w:rPr>
                      <w:rFonts w:hint="eastAsia" w:ascii="宋体" w:hAnsi="宋体" w:cs="宋体"/>
                      <w:color w:val="auto"/>
                      <w:lang w:eastAsia="zh-CN"/>
                    </w:rPr>
                    <w:t>需</w:t>
                  </w:r>
                  <w:r>
                    <w:rPr>
                      <w:rFonts w:hint="eastAsia" w:ascii="宋体" w:hAnsi="宋体" w:eastAsia="宋体" w:cs="宋体"/>
                      <w:color w:val="auto"/>
                    </w:rPr>
                    <w:t>体现CMA和CNAS标识，</w:t>
                  </w:r>
                  <w:r>
                    <w:rPr>
                      <w:rFonts w:hint="eastAsia" w:ascii="宋体" w:hAnsi="宋体" w:cs="宋体"/>
                      <w:color w:val="auto"/>
                      <w:lang w:eastAsia="zh-CN"/>
                    </w:rPr>
                    <w:t>且</w:t>
                  </w:r>
                  <w:r>
                    <w:rPr>
                      <w:rFonts w:hint="eastAsia" w:ascii="宋体" w:hAnsi="宋体" w:eastAsia="宋体" w:cs="宋体"/>
                      <w:color w:val="auto"/>
                    </w:rPr>
                    <w:t>检测报告应在全国认证认可信息公共服务平台(http://cx.cnca.cn/)上进行查询，提供查询截图。若检测报告在全国认证认可信息公共服务平台无法查询的,需要求提供监管机构的证明材料，证明检验检测报告真实有效且为合法机构颁发</w:t>
                  </w:r>
                  <w:r>
                    <w:rPr>
                      <w:rFonts w:hint="eastAsia" w:ascii="宋体" w:hAnsi="宋体" w:eastAsia="宋体" w:cs="宋体"/>
                      <w:color w:val="auto"/>
                      <w:lang w:eastAsia="zh-CN"/>
                    </w:rPr>
                    <w:t>；</w:t>
                  </w:r>
                  <w:r>
                    <w:rPr>
                      <w:rFonts w:hint="eastAsia" w:ascii="宋体" w:hAnsi="宋体" w:eastAsia="宋体" w:cs="宋体"/>
                      <w:color w:val="auto"/>
                      <w:szCs w:val="21"/>
                    </w:rPr>
                    <w:t>如供应商为新成立企业且成立时间不足</w:t>
                  </w:r>
                  <w:r>
                    <w:rPr>
                      <w:rFonts w:hint="eastAsia" w:hAnsi="宋体" w:cs="宋体"/>
                      <w:color w:val="auto"/>
                      <w:szCs w:val="21"/>
                      <w:lang w:val="en-US" w:eastAsia="zh-CN"/>
                    </w:rPr>
                    <w:t>3</w:t>
                  </w:r>
                  <w:r>
                    <w:rPr>
                      <w:rFonts w:hint="eastAsia" w:ascii="宋体" w:hAnsi="宋体" w:eastAsia="宋体" w:cs="宋体"/>
                      <w:color w:val="auto"/>
                      <w:szCs w:val="21"/>
                    </w:rPr>
                    <w:t>个月的，可提供加盖公章的情况说明或其他相关证明材料；</w:t>
                  </w:r>
                </w:p>
                <w:p w14:paraId="7F9FEE90">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lang w:eastAsia="zh-CN"/>
                    </w:rPr>
                  </w:pPr>
                  <w:r>
                    <w:rPr>
                      <w:rFonts w:hint="eastAsia" w:ascii="宋体" w:hAnsi="宋体" w:cs="宋体"/>
                      <w:color w:val="auto"/>
                      <w:lang w:val="en-US" w:eastAsia="zh-CN"/>
                    </w:rPr>
                    <w:t>2、</w:t>
                  </w:r>
                  <w:r>
                    <w:rPr>
                      <w:rFonts w:hint="eastAsia" w:ascii="宋体" w:hAnsi="宋体" w:eastAsia="宋体" w:cs="宋体"/>
                      <w:color w:val="auto"/>
                    </w:rPr>
                    <w:t>提供连续检测费用发票或转账凭证</w:t>
                  </w:r>
                  <w:r>
                    <w:rPr>
                      <w:rFonts w:hint="eastAsia" w:ascii="宋体" w:hAnsi="宋体" w:cs="宋体"/>
                      <w:color w:val="auto"/>
                      <w:lang w:eastAsia="zh-CN"/>
                    </w:rPr>
                    <w:t>；</w:t>
                  </w:r>
                </w:p>
                <w:p w14:paraId="5778818A">
                  <w:pPr>
                    <w:keepNext w:val="0"/>
                    <w:keepLines w:val="0"/>
                    <w:pageBreakBefore w:val="0"/>
                    <w:kinsoku/>
                    <w:overflowPunct/>
                    <w:topLinePunct w:val="0"/>
                    <w:bidi w:val="0"/>
                    <w:snapToGrid/>
                    <w:spacing w:line="360" w:lineRule="auto"/>
                    <w:ind w:firstLine="0" w:firstLineChars="0"/>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lang w:val="en-US" w:eastAsia="zh-CN"/>
                    </w:rPr>
                    <w:t>3</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3ACEFC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left w:val="single" w:color="000000" w:sz="8" w:space="0"/>
                    <w:bottom w:val="single" w:color="000000" w:sz="8" w:space="0"/>
                    <w:right w:val="single" w:color="000000" w:sz="8" w:space="0"/>
                  </w:tcBorders>
                  <w:vAlign w:val="center"/>
                </w:tcPr>
                <w:p w14:paraId="2E29DBD1">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3BFE91A8">
                  <w:pPr>
                    <w:pageBreakBefore w:val="0"/>
                    <w:kinsoku/>
                    <w:wordWrap w:val="0"/>
                    <w:overflowPunct/>
                    <w:topLinePunct w:val="0"/>
                    <w:autoSpaceDE/>
                    <w:autoSpaceDN/>
                    <w:bidi w:val="0"/>
                    <w:spacing w:beforeAutospacing="0" w:afterAutospacing="0" w:line="360" w:lineRule="auto"/>
                    <w:ind w:left="0" w:leftChars="0" w:right="0" w:rightChars="0" w:firstLine="0" w:firstLineChars="0"/>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2835" w:type="dxa"/>
                  <w:tcBorders>
                    <w:top w:val="single" w:color="000000" w:sz="8" w:space="0"/>
                    <w:left w:val="single" w:color="000000" w:sz="8" w:space="0"/>
                    <w:bottom w:val="single" w:color="000000" w:sz="8" w:space="0"/>
                    <w:right w:val="single" w:color="000000" w:sz="8" w:space="0"/>
                  </w:tcBorders>
                  <w:vAlign w:val="center"/>
                </w:tcPr>
                <w:p w14:paraId="784F2DDF">
                  <w:pPr>
                    <w:keepNext w:val="0"/>
                    <w:keepLines w:val="0"/>
                    <w:pageBreakBefore w:val="0"/>
                    <w:kinsoku/>
                    <w:wordWrap w:val="0"/>
                    <w:overflowPunct/>
                    <w:topLinePunct w:val="0"/>
                    <w:bidi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Cs w:val="21"/>
                    </w:rPr>
                    <w:t>食品安全保险</w:t>
                  </w:r>
                </w:p>
              </w:tc>
              <w:tc>
                <w:tcPr>
                  <w:tcW w:w="681" w:type="dxa"/>
                  <w:tcBorders>
                    <w:top w:val="single" w:color="000000" w:sz="8" w:space="0"/>
                    <w:left w:val="single" w:color="000000" w:sz="8" w:space="0"/>
                    <w:bottom w:val="single" w:color="000000" w:sz="8" w:space="0"/>
                    <w:right w:val="single" w:color="000000" w:sz="8" w:space="0"/>
                  </w:tcBorders>
                  <w:vAlign w:val="center"/>
                </w:tcPr>
                <w:p w14:paraId="02370191">
                  <w:pPr>
                    <w:keepNext w:val="0"/>
                    <w:keepLines w:val="0"/>
                    <w:pageBreakBefore w:val="0"/>
                    <w:kinsoku/>
                    <w:wordWrap w:val="0"/>
                    <w:overflowPunct/>
                    <w:topLinePunct w:val="0"/>
                    <w:autoSpaceDE w:val="0"/>
                    <w:autoSpaceDN w:val="0"/>
                    <w:bidi w:val="0"/>
                    <w:adjustRightInd w:val="0"/>
                    <w:snapToGrid/>
                    <w:spacing w:line="360" w:lineRule="auto"/>
                    <w:ind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Cs w:val="21"/>
                      <w:lang w:val="en-US" w:eastAsia="zh-CN"/>
                    </w:rPr>
                    <w:t>4</w:t>
                  </w:r>
                </w:p>
              </w:tc>
              <w:tc>
                <w:tcPr>
                  <w:tcW w:w="4196" w:type="dxa"/>
                  <w:tcBorders>
                    <w:top w:val="single" w:color="000000" w:sz="8" w:space="0"/>
                    <w:left w:val="single" w:color="000000" w:sz="8" w:space="0"/>
                    <w:bottom w:val="single" w:color="000000" w:sz="8" w:space="0"/>
                    <w:right w:val="single" w:color="000000" w:sz="8" w:space="0"/>
                  </w:tcBorders>
                  <w:vAlign w:val="top"/>
                </w:tcPr>
                <w:p w14:paraId="3EECAB38">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cs="宋体"/>
                      <w:b/>
                      <w:bCs/>
                      <w:color w:val="auto"/>
                      <w:kern w:val="0"/>
                      <w:szCs w:val="21"/>
                      <w:lang w:eastAsia="zh-CN"/>
                    </w:rPr>
                    <w:t>考察内容</w:t>
                  </w:r>
                  <w:r>
                    <w:rPr>
                      <w:rFonts w:hint="eastAsia" w:ascii="宋体" w:hAnsi="宋体" w:eastAsia="宋体" w:cs="宋体"/>
                      <w:b/>
                      <w:bCs/>
                      <w:color w:val="auto"/>
                      <w:szCs w:val="21"/>
                    </w:rPr>
                    <w:t>：</w:t>
                  </w:r>
                </w:p>
                <w:p w14:paraId="5053B539">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
                      <w:bCs/>
                      <w:color w:val="auto"/>
                      <w:szCs w:val="21"/>
                      <w:lang w:val="zh-CN"/>
                    </w:rPr>
                  </w:pPr>
                  <w:r>
                    <w:rPr>
                      <w:rFonts w:hint="eastAsia" w:ascii="宋体" w:hAnsi="宋体" w:eastAsia="宋体" w:cs="宋体"/>
                      <w:b w:val="0"/>
                      <w:bCs w:val="0"/>
                      <w:color w:val="auto"/>
                      <w:szCs w:val="21"/>
                    </w:rPr>
                    <w:t>1、</w:t>
                  </w:r>
                  <w:r>
                    <w:rPr>
                      <w:rFonts w:hint="eastAsia" w:ascii="宋体" w:hAnsi="宋体" w:eastAsia="宋体" w:cs="宋体"/>
                      <w:b w:val="0"/>
                      <w:bCs w:val="0"/>
                      <w:color w:val="auto"/>
                      <w:szCs w:val="21"/>
                      <w:lang w:val="zh-CN"/>
                    </w:rPr>
                    <w:t>投标人购买相关食品安全责任险（</w:t>
                  </w:r>
                  <w:r>
                    <w:rPr>
                      <w:rFonts w:hint="eastAsia" w:ascii="宋体" w:hAnsi="宋体" w:cs="宋体"/>
                      <w:b w:val="0"/>
                      <w:bCs w:val="0"/>
                      <w:color w:val="auto"/>
                      <w:szCs w:val="21"/>
                      <w:lang w:val="en-US" w:eastAsia="zh-CN"/>
                    </w:rPr>
                    <w:t>开标当日</w:t>
                  </w:r>
                  <w:r>
                    <w:rPr>
                      <w:rFonts w:hint="eastAsia" w:ascii="宋体" w:hAnsi="宋体" w:eastAsia="宋体" w:cs="宋体"/>
                      <w:b w:val="0"/>
                      <w:bCs w:val="0"/>
                      <w:color w:val="auto"/>
                      <w:szCs w:val="21"/>
                      <w:lang w:val="zh-CN"/>
                    </w:rPr>
                    <w:t>需在保险期内）：</w:t>
                  </w:r>
                </w:p>
                <w:p w14:paraId="1AC4E110">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（1）年总保额在</w:t>
                  </w:r>
                  <w:r>
                    <w:rPr>
                      <w:rFonts w:hint="eastAsia" w:ascii="宋体" w:hAnsi="宋体" w:eastAsia="宋体" w:cs="宋体"/>
                      <w:bCs/>
                      <w:color w:val="auto"/>
                      <w:szCs w:val="21"/>
                    </w:rPr>
                    <w:t>2</w:t>
                  </w:r>
                  <w:r>
                    <w:rPr>
                      <w:rFonts w:hint="eastAsia" w:ascii="宋体" w:hAnsi="宋体" w:eastAsia="宋体" w:cs="宋体"/>
                      <w:bCs/>
                      <w:color w:val="auto"/>
                      <w:szCs w:val="21"/>
                      <w:lang w:val="zh-CN"/>
                    </w:rPr>
                    <w:t>亿元（含）以上，得50</w:t>
                  </w:r>
                  <w:r>
                    <w:rPr>
                      <w:rFonts w:hint="eastAsia" w:ascii="宋体" w:hAnsi="宋体" w:eastAsia="宋体" w:cs="宋体"/>
                      <w:bCs/>
                      <w:color w:val="auto"/>
                      <w:szCs w:val="21"/>
                    </w:rPr>
                    <w:t>分</w:t>
                  </w:r>
                  <w:r>
                    <w:rPr>
                      <w:rFonts w:hint="eastAsia" w:ascii="宋体" w:hAnsi="宋体" w:eastAsia="宋体" w:cs="宋体"/>
                      <w:bCs/>
                      <w:color w:val="auto"/>
                      <w:szCs w:val="21"/>
                      <w:lang w:val="zh-CN"/>
                    </w:rPr>
                    <w:t>；</w:t>
                  </w:r>
                </w:p>
                <w:p w14:paraId="471BC0FD">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（2）年总保额在</w:t>
                  </w:r>
                  <w:r>
                    <w:rPr>
                      <w:rFonts w:hint="eastAsia" w:ascii="宋体" w:hAnsi="宋体" w:eastAsia="宋体" w:cs="宋体"/>
                      <w:bCs/>
                      <w:color w:val="auto"/>
                      <w:szCs w:val="21"/>
                    </w:rPr>
                    <w:t>1.5</w:t>
                  </w:r>
                  <w:r>
                    <w:rPr>
                      <w:rFonts w:hint="eastAsia" w:ascii="宋体" w:hAnsi="宋体" w:eastAsia="宋体" w:cs="宋体"/>
                      <w:bCs/>
                      <w:color w:val="auto"/>
                      <w:szCs w:val="21"/>
                      <w:lang w:val="zh-CN"/>
                    </w:rPr>
                    <w:t>亿元（含）-</w:t>
                  </w:r>
                  <w:r>
                    <w:rPr>
                      <w:rFonts w:hint="eastAsia" w:ascii="宋体" w:hAnsi="宋体" w:eastAsia="宋体" w:cs="宋体"/>
                      <w:bCs/>
                      <w:color w:val="auto"/>
                      <w:szCs w:val="21"/>
                    </w:rPr>
                    <w:t>2</w:t>
                  </w:r>
                  <w:r>
                    <w:rPr>
                      <w:rFonts w:hint="eastAsia" w:ascii="宋体" w:hAnsi="宋体" w:eastAsia="宋体" w:cs="宋体"/>
                      <w:bCs/>
                      <w:color w:val="auto"/>
                      <w:szCs w:val="21"/>
                      <w:lang w:val="zh-CN"/>
                    </w:rPr>
                    <w:t>亿元（不含）的，得30</w:t>
                  </w:r>
                  <w:r>
                    <w:rPr>
                      <w:rFonts w:hint="eastAsia" w:ascii="宋体" w:hAnsi="宋体" w:eastAsia="宋体" w:cs="宋体"/>
                      <w:bCs/>
                      <w:color w:val="auto"/>
                      <w:szCs w:val="21"/>
                    </w:rPr>
                    <w:t>分</w:t>
                  </w:r>
                  <w:r>
                    <w:rPr>
                      <w:rFonts w:hint="eastAsia" w:ascii="宋体" w:hAnsi="宋体" w:eastAsia="宋体" w:cs="宋体"/>
                      <w:bCs/>
                      <w:color w:val="auto"/>
                      <w:szCs w:val="21"/>
                      <w:lang w:val="zh-CN"/>
                    </w:rPr>
                    <w:t>；</w:t>
                  </w:r>
                </w:p>
                <w:p w14:paraId="5AA222E9">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（3）年总保额在</w:t>
                  </w:r>
                  <w:r>
                    <w:rPr>
                      <w:rFonts w:hint="eastAsia" w:ascii="宋体" w:hAnsi="宋体" w:eastAsia="宋体" w:cs="宋体"/>
                      <w:bCs/>
                      <w:color w:val="auto"/>
                      <w:szCs w:val="21"/>
                    </w:rPr>
                    <w:t>1</w:t>
                  </w:r>
                  <w:r>
                    <w:rPr>
                      <w:rFonts w:hint="eastAsia" w:ascii="宋体" w:hAnsi="宋体" w:eastAsia="宋体" w:cs="宋体"/>
                      <w:bCs/>
                      <w:color w:val="auto"/>
                      <w:szCs w:val="21"/>
                      <w:lang w:val="zh-CN"/>
                    </w:rPr>
                    <w:t>亿元（含）-</w:t>
                  </w:r>
                  <w:r>
                    <w:rPr>
                      <w:rFonts w:hint="eastAsia" w:ascii="宋体" w:hAnsi="宋体" w:eastAsia="宋体" w:cs="宋体"/>
                      <w:bCs/>
                      <w:color w:val="auto"/>
                      <w:szCs w:val="21"/>
                    </w:rPr>
                    <w:t>1.5</w:t>
                  </w:r>
                  <w:r>
                    <w:rPr>
                      <w:rFonts w:hint="eastAsia" w:ascii="宋体" w:hAnsi="宋体" w:eastAsia="宋体" w:cs="宋体"/>
                      <w:bCs/>
                      <w:color w:val="auto"/>
                      <w:szCs w:val="21"/>
                      <w:lang w:val="zh-CN"/>
                    </w:rPr>
                    <w:t>亿元（不含）的得20</w:t>
                  </w:r>
                  <w:r>
                    <w:rPr>
                      <w:rFonts w:hint="eastAsia" w:ascii="宋体" w:hAnsi="宋体" w:eastAsia="宋体" w:cs="宋体"/>
                      <w:bCs/>
                      <w:color w:val="auto"/>
                      <w:szCs w:val="21"/>
                    </w:rPr>
                    <w:t>分</w:t>
                  </w:r>
                  <w:r>
                    <w:rPr>
                      <w:rFonts w:hint="eastAsia" w:ascii="宋体" w:hAnsi="宋体" w:eastAsia="宋体" w:cs="宋体"/>
                      <w:bCs/>
                      <w:color w:val="auto"/>
                      <w:szCs w:val="21"/>
                      <w:lang w:val="zh-CN"/>
                    </w:rPr>
                    <w:t>；</w:t>
                  </w:r>
                </w:p>
                <w:p w14:paraId="43A66B38">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（4）年总保额在</w:t>
                  </w:r>
                  <w:r>
                    <w:rPr>
                      <w:rFonts w:hint="eastAsia" w:ascii="宋体" w:hAnsi="宋体" w:eastAsia="宋体" w:cs="宋体"/>
                      <w:bCs/>
                      <w:color w:val="auto"/>
                      <w:szCs w:val="21"/>
                    </w:rPr>
                    <w:t>5</w:t>
                  </w:r>
                  <w:r>
                    <w:rPr>
                      <w:rFonts w:hint="eastAsia" w:ascii="宋体" w:hAnsi="宋体" w:eastAsia="宋体" w:cs="宋体"/>
                      <w:bCs/>
                      <w:color w:val="auto"/>
                      <w:szCs w:val="21"/>
                      <w:lang w:val="zh-CN"/>
                    </w:rPr>
                    <w:t>000万（含）-</w:t>
                  </w:r>
                  <w:r>
                    <w:rPr>
                      <w:rFonts w:hint="eastAsia" w:ascii="宋体" w:hAnsi="宋体" w:eastAsia="宋体" w:cs="宋体"/>
                      <w:bCs/>
                      <w:color w:val="auto"/>
                      <w:szCs w:val="21"/>
                    </w:rPr>
                    <w:t>1</w:t>
                  </w:r>
                  <w:r>
                    <w:rPr>
                      <w:rFonts w:hint="eastAsia" w:ascii="宋体" w:hAnsi="宋体" w:eastAsia="宋体" w:cs="宋体"/>
                      <w:bCs/>
                      <w:color w:val="auto"/>
                      <w:szCs w:val="21"/>
                      <w:lang w:val="zh-CN"/>
                    </w:rPr>
                    <w:t>亿元（不含）的得10</w:t>
                  </w:r>
                  <w:r>
                    <w:rPr>
                      <w:rFonts w:hint="eastAsia" w:ascii="宋体" w:hAnsi="宋体" w:eastAsia="宋体" w:cs="宋体"/>
                      <w:bCs/>
                      <w:color w:val="auto"/>
                      <w:szCs w:val="21"/>
                    </w:rPr>
                    <w:t>分</w:t>
                  </w:r>
                  <w:r>
                    <w:rPr>
                      <w:rFonts w:hint="eastAsia" w:ascii="宋体" w:hAnsi="宋体" w:eastAsia="宋体" w:cs="宋体"/>
                      <w:bCs/>
                      <w:color w:val="auto"/>
                      <w:szCs w:val="21"/>
                      <w:lang w:val="zh-CN"/>
                    </w:rPr>
                    <w:t>；</w:t>
                  </w:r>
                </w:p>
                <w:p w14:paraId="4513214D">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（5）其他不得分。</w:t>
                  </w:r>
                </w:p>
                <w:p w14:paraId="413E80A2">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提供多个保险投保金额不累计。</w:t>
                  </w:r>
                </w:p>
                <w:p w14:paraId="5B940C16">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 w:val="0"/>
                      <w:bCs/>
                      <w:color w:val="auto"/>
                      <w:szCs w:val="21"/>
                      <w:lang w:val="zh-CN"/>
                    </w:rPr>
                    <w:t>2、投标人购买相关公众责任险（需在保险期内）：</w:t>
                  </w:r>
                </w:p>
                <w:p w14:paraId="3967B3DF">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（1）年总保额在</w:t>
                  </w:r>
                  <w:r>
                    <w:rPr>
                      <w:rFonts w:hint="eastAsia" w:ascii="宋体" w:hAnsi="宋体" w:eastAsia="宋体" w:cs="宋体"/>
                      <w:bCs/>
                      <w:color w:val="auto"/>
                      <w:szCs w:val="21"/>
                    </w:rPr>
                    <w:t>1</w:t>
                  </w:r>
                  <w:r>
                    <w:rPr>
                      <w:rFonts w:hint="eastAsia" w:ascii="宋体" w:hAnsi="宋体" w:eastAsia="宋体" w:cs="宋体"/>
                      <w:bCs/>
                      <w:color w:val="auto"/>
                      <w:szCs w:val="21"/>
                      <w:lang w:val="zh-CN"/>
                    </w:rPr>
                    <w:t>亿元（含）以上的得50</w:t>
                  </w:r>
                  <w:r>
                    <w:rPr>
                      <w:rFonts w:hint="eastAsia" w:ascii="宋体" w:hAnsi="宋体" w:eastAsia="宋体" w:cs="宋体"/>
                      <w:bCs/>
                      <w:color w:val="auto"/>
                      <w:szCs w:val="21"/>
                    </w:rPr>
                    <w:t>分</w:t>
                  </w:r>
                  <w:r>
                    <w:rPr>
                      <w:rFonts w:hint="eastAsia" w:ascii="宋体" w:hAnsi="宋体" w:eastAsia="宋体" w:cs="宋体"/>
                      <w:bCs/>
                      <w:color w:val="auto"/>
                      <w:szCs w:val="21"/>
                      <w:lang w:val="zh-CN"/>
                    </w:rPr>
                    <w:t>；</w:t>
                  </w:r>
                </w:p>
                <w:p w14:paraId="6DE4973A">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（2）年总保额在</w:t>
                  </w:r>
                  <w:r>
                    <w:rPr>
                      <w:rFonts w:hint="eastAsia" w:ascii="宋体" w:hAnsi="宋体" w:eastAsia="宋体" w:cs="宋体"/>
                      <w:bCs/>
                      <w:color w:val="auto"/>
                      <w:szCs w:val="21"/>
                    </w:rPr>
                    <w:t>5000万</w:t>
                  </w:r>
                  <w:r>
                    <w:rPr>
                      <w:rFonts w:hint="eastAsia" w:ascii="宋体" w:hAnsi="宋体" w:eastAsia="宋体" w:cs="宋体"/>
                      <w:bCs/>
                      <w:color w:val="auto"/>
                      <w:szCs w:val="21"/>
                      <w:lang w:val="zh-CN"/>
                    </w:rPr>
                    <w:t>元（含）-</w:t>
                  </w:r>
                  <w:r>
                    <w:rPr>
                      <w:rFonts w:hint="eastAsia" w:ascii="宋体" w:hAnsi="宋体" w:eastAsia="宋体" w:cs="宋体"/>
                      <w:bCs/>
                      <w:color w:val="auto"/>
                      <w:szCs w:val="21"/>
                    </w:rPr>
                    <w:t>1</w:t>
                  </w:r>
                  <w:r>
                    <w:rPr>
                      <w:rFonts w:hint="eastAsia" w:ascii="宋体" w:hAnsi="宋体" w:eastAsia="宋体" w:cs="宋体"/>
                      <w:bCs/>
                      <w:color w:val="auto"/>
                      <w:szCs w:val="21"/>
                      <w:lang w:val="zh-CN"/>
                    </w:rPr>
                    <w:t>亿元（不含）的，得30</w:t>
                  </w:r>
                  <w:r>
                    <w:rPr>
                      <w:rFonts w:hint="eastAsia" w:ascii="宋体" w:hAnsi="宋体" w:eastAsia="宋体" w:cs="宋体"/>
                      <w:bCs/>
                      <w:color w:val="auto"/>
                      <w:szCs w:val="21"/>
                    </w:rPr>
                    <w:t>分</w:t>
                  </w:r>
                  <w:r>
                    <w:rPr>
                      <w:rFonts w:hint="eastAsia" w:ascii="宋体" w:hAnsi="宋体" w:eastAsia="宋体" w:cs="宋体"/>
                      <w:bCs/>
                      <w:color w:val="auto"/>
                      <w:szCs w:val="21"/>
                      <w:lang w:val="zh-CN"/>
                    </w:rPr>
                    <w:t>；</w:t>
                  </w:r>
                </w:p>
                <w:p w14:paraId="060DFD55">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（3）年总保额</w:t>
                  </w:r>
                  <w:r>
                    <w:rPr>
                      <w:rFonts w:hint="eastAsia" w:ascii="宋体" w:hAnsi="宋体" w:eastAsia="宋体" w:cs="宋体"/>
                      <w:bCs/>
                      <w:color w:val="auto"/>
                      <w:szCs w:val="21"/>
                    </w:rPr>
                    <w:t>3000万</w:t>
                  </w:r>
                  <w:r>
                    <w:rPr>
                      <w:rFonts w:hint="eastAsia" w:ascii="宋体" w:hAnsi="宋体" w:eastAsia="宋体" w:cs="宋体"/>
                      <w:bCs/>
                      <w:color w:val="auto"/>
                      <w:szCs w:val="21"/>
                      <w:lang w:val="zh-CN"/>
                    </w:rPr>
                    <w:t>元（含）-</w:t>
                  </w:r>
                  <w:r>
                    <w:rPr>
                      <w:rFonts w:hint="eastAsia" w:ascii="宋体" w:hAnsi="宋体" w:eastAsia="宋体" w:cs="宋体"/>
                      <w:bCs/>
                      <w:color w:val="auto"/>
                      <w:szCs w:val="21"/>
                    </w:rPr>
                    <w:t>5000万</w:t>
                  </w:r>
                  <w:r>
                    <w:rPr>
                      <w:rFonts w:hint="eastAsia" w:ascii="宋体" w:hAnsi="宋体" w:eastAsia="宋体" w:cs="宋体"/>
                      <w:bCs/>
                      <w:color w:val="auto"/>
                      <w:szCs w:val="21"/>
                      <w:lang w:val="zh-CN"/>
                    </w:rPr>
                    <w:t>元（不含）的得20</w:t>
                  </w:r>
                  <w:r>
                    <w:rPr>
                      <w:rFonts w:hint="eastAsia" w:ascii="宋体" w:hAnsi="宋体" w:eastAsia="宋体" w:cs="宋体"/>
                      <w:bCs/>
                      <w:color w:val="auto"/>
                      <w:szCs w:val="21"/>
                    </w:rPr>
                    <w:t>分</w:t>
                  </w:r>
                  <w:r>
                    <w:rPr>
                      <w:rFonts w:hint="eastAsia" w:ascii="宋体" w:hAnsi="宋体" w:eastAsia="宋体" w:cs="宋体"/>
                      <w:bCs/>
                      <w:color w:val="auto"/>
                      <w:szCs w:val="21"/>
                      <w:lang w:val="zh-CN"/>
                    </w:rPr>
                    <w:t>；</w:t>
                  </w:r>
                </w:p>
                <w:p w14:paraId="3E952E51">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（4）年总保额为</w:t>
                  </w:r>
                  <w:r>
                    <w:rPr>
                      <w:rFonts w:hint="eastAsia" w:ascii="宋体" w:hAnsi="宋体" w:eastAsia="宋体" w:cs="宋体"/>
                      <w:bCs/>
                      <w:color w:val="auto"/>
                      <w:szCs w:val="21"/>
                    </w:rPr>
                    <w:t>1000</w:t>
                  </w:r>
                  <w:r>
                    <w:rPr>
                      <w:rFonts w:hint="eastAsia" w:ascii="宋体" w:hAnsi="宋体" w:eastAsia="宋体" w:cs="宋体"/>
                      <w:bCs/>
                      <w:color w:val="auto"/>
                      <w:szCs w:val="21"/>
                      <w:lang w:val="zh-CN"/>
                    </w:rPr>
                    <w:t>万元（含）-</w:t>
                  </w:r>
                  <w:r>
                    <w:rPr>
                      <w:rFonts w:hint="eastAsia" w:ascii="宋体" w:hAnsi="宋体" w:eastAsia="宋体" w:cs="宋体"/>
                      <w:bCs/>
                      <w:color w:val="auto"/>
                      <w:szCs w:val="21"/>
                    </w:rPr>
                    <w:t>3000万</w:t>
                  </w:r>
                  <w:r>
                    <w:rPr>
                      <w:rFonts w:hint="eastAsia" w:ascii="宋体" w:hAnsi="宋体" w:eastAsia="宋体" w:cs="宋体"/>
                      <w:bCs/>
                      <w:color w:val="auto"/>
                      <w:szCs w:val="21"/>
                      <w:lang w:val="zh-CN"/>
                    </w:rPr>
                    <w:t>元（不含）的得10</w:t>
                  </w:r>
                  <w:r>
                    <w:rPr>
                      <w:rFonts w:hint="eastAsia" w:ascii="宋体" w:hAnsi="宋体" w:eastAsia="宋体" w:cs="宋体"/>
                      <w:bCs/>
                      <w:color w:val="auto"/>
                      <w:szCs w:val="21"/>
                    </w:rPr>
                    <w:t>分</w:t>
                  </w:r>
                  <w:r>
                    <w:rPr>
                      <w:rFonts w:hint="eastAsia" w:ascii="宋体" w:hAnsi="宋体" w:eastAsia="宋体" w:cs="宋体"/>
                      <w:bCs/>
                      <w:color w:val="auto"/>
                      <w:szCs w:val="21"/>
                      <w:lang w:val="zh-CN"/>
                    </w:rPr>
                    <w:t>；</w:t>
                  </w:r>
                </w:p>
                <w:p w14:paraId="3BCE0E28">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szCs w:val="21"/>
                      <w:lang w:val="zh-CN"/>
                    </w:rPr>
                  </w:pPr>
                  <w:r>
                    <w:rPr>
                      <w:rFonts w:hint="eastAsia" w:ascii="宋体" w:hAnsi="宋体" w:eastAsia="宋体" w:cs="宋体"/>
                      <w:bCs/>
                      <w:color w:val="auto"/>
                      <w:szCs w:val="21"/>
                      <w:lang w:val="zh-CN"/>
                    </w:rPr>
                    <w:t>（5）其他不得分</w:t>
                  </w:r>
                </w:p>
                <w:p w14:paraId="465D8838">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提供多个保险投保金额不累计。</w:t>
                  </w:r>
                </w:p>
                <w:p w14:paraId="3707F525">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cs="宋体"/>
                      <w:b/>
                      <w:bCs/>
                      <w:color w:val="auto"/>
                      <w:szCs w:val="21"/>
                      <w:lang w:eastAsia="zh-CN"/>
                    </w:rPr>
                    <w:t>证明文件</w:t>
                  </w:r>
                  <w:r>
                    <w:rPr>
                      <w:rFonts w:hint="eastAsia" w:ascii="宋体" w:hAnsi="宋体" w:eastAsia="宋体" w:cs="宋体"/>
                      <w:b/>
                      <w:bCs/>
                      <w:color w:val="auto"/>
                      <w:szCs w:val="21"/>
                    </w:rPr>
                    <w:t>：</w:t>
                  </w:r>
                </w:p>
                <w:p w14:paraId="3324636C">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cs="宋体"/>
                      <w:color w:val="auto"/>
                      <w:szCs w:val="21"/>
                      <w:lang w:eastAsia="zh-CN"/>
                    </w:rPr>
                    <w:t>同时</w:t>
                  </w:r>
                  <w:r>
                    <w:rPr>
                      <w:rFonts w:hint="eastAsia" w:ascii="宋体" w:hAnsi="宋体" w:eastAsia="宋体" w:cs="宋体"/>
                      <w:color w:val="auto"/>
                      <w:szCs w:val="21"/>
                    </w:rPr>
                    <w:t>提供</w:t>
                  </w:r>
                  <w:r>
                    <w:rPr>
                      <w:rFonts w:hint="eastAsia" w:ascii="宋体" w:hAnsi="宋体" w:cs="宋体"/>
                      <w:color w:val="auto"/>
                      <w:szCs w:val="21"/>
                      <w:lang w:eastAsia="zh-CN"/>
                    </w:rPr>
                    <w:t>保</w:t>
                  </w:r>
                  <w:r>
                    <w:rPr>
                      <w:rFonts w:hint="eastAsia" w:ascii="宋体" w:hAnsi="宋体" w:eastAsia="宋体" w:cs="宋体"/>
                      <w:color w:val="auto"/>
                      <w:szCs w:val="21"/>
                    </w:rPr>
                    <w:t>险投保单</w:t>
                  </w:r>
                  <w:r>
                    <w:rPr>
                      <w:rFonts w:hint="eastAsia" w:ascii="宋体" w:hAnsi="宋体" w:cs="宋体"/>
                      <w:color w:val="auto"/>
                      <w:szCs w:val="21"/>
                      <w:lang w:eastAsia="zh-CN"/>
                    </w:rPr>
                    <w:t>及</w:t>
                  </w:r>
                  <w:r>
                    <w:rPr>
                      <w:rFonts w:hint="eastAsia" w:ascii="宋体" w:hAnsi="宋体" w:eastAsia="宋体" w:cs="宋体"/>
                      <w:color w:val="auto"/>
                      <w:szCs w:val="21"/>
                    </w:rPr>
                    <w:t>保险购买发票</w:t>
                  </w:r>
                  <w:r>
                    <w:rPr>
                      <w:rFonts w:hint="eastAsia" w:ascii="宋体" w:hAnsi="宋体" w:cs="宋体"/>
                      <w:color w:val="auto"/>
                      <w:szCs w:val="21"/>
                      <w:lang w:eastAsia="zh-CN"/>
                    </w:rPr>
                    <w:t>扫描件</w:t>
                  </w:r>
                  <w:r>
                    <w:rPr>
                      <w:rFonts w:hint="eastAsia" w:ascii="宋体" w:hAnsi="宋体" w:eastAsia="宋体" w:cs="宋体"/>
                      <w:color w:val="auto"/>
                      <w:szCs w:val="21"/>
                    </w:rPr>
                    <w:t>；</w:t>
                  </w:r>
                </w:p>
                <w:p w14:paraId="45CE30A0">
                  <w:pPr>
                    <w:keepNext w:val="0"/>
                    <w:keepLines w:val="0"/>
                    <w:pageBreakBefore w:val="0"/>
                    <w:kinsoku/>
                    <w:wordWrap w:val="0"/>
                    <w:overflowPunct/>
                    <w:topLinePunct w:val="0"/>
                    <w:bidi w:val="0"/>
                    <w:snapToGrid/>
                    <w:spacing w:line="360" w:lineRule="auto"/>
                    <w:ind w:firstLine="0" w:firstLineChars="0"/>
                    <w:textAlignment w:val="auto"/>
                    <w:rPr>
                      <w:rFonts w:hint="eastAsia" w:ascii="宋体" w:hAnsi="宋体" w:eastAsia="宋体" w:cs="宋体"/>
                      <w:bCs/>
                      <w:color w:val="auto"/>
                      <w:kern w:val="2"/>
                      <w:sz w:val="21"/>
                      <w:szCs w:val="21"/>
                      <w:lang w:val="en-US" w:eastAsia="zh-CN" w:bidi="ar-SA"/>
                    </w:rPr>
                  </w:pPr>
                  <w:r>
                    <w:rPr>
                      <w:rFonts w:hint="eastAsia" w:ascii="宋体" w:hAnsi="宋体" w:cs="宋体"/>
                      <w:color w:val="auto"/>
                      <w:szCs w:val="21"/>
                      <w:lang w:val="en-US" w:eastAsia="zh-CN"/>
                    </w:rPr>
                    <w:t>2</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未提供或未按要求提供或提供的不清晰导致专家无法判断的，不得分。</w:t>
                  </w:r>
                </w:p>
              </w:tc>
            </w:tr>
            <w:tr w14:paraId="373BDB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restart"/>
                  <w:tcBorders>
                    <w:top w:val="single" w:color="000000" w:sz="8" w:space="0"/>
                    <w:left w:val="single" w:color="000000" w:sz="8" w:space="0"/>
                    <w:bottom w:val="single" w:color="000000" w:sz="8" w:space="0"/>
                    <w:right w:val="single" w:color="000000" w:sz="8" w:space="0"/>
                  </w:tcBorders>
                </w:tcPr>
                <w:p w14:paraId="0FD46B99">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sz w:val="24"/>
                      <w:highlight w:val="none"/>
                    </w:rPr>
                  </w:pPr>
                  <w:r>
                    <w:rPr>
                      <w:rFonts w:hint="eastAsia" w:ascii="宋体" w:hAnsi="宋体" w:eastAsia="宋体" w:cs="宋体"/>
                      <w:b/>
                      <w:bCs/>
                      <w:color w:val="0000FF"/>
                      <w:highlight w:val="none"/>
                    </w:rPr>
                    <w:t>4</w:t>
                  </w:r>
                </w:p>
              </w:tc>
              <w:tc>
                <w:tcPr>
                  <w:tcW w:w="4196" w:type="dxa"/>
                  <w:gridSpan w:val="3"/>
                  <w:tcBorders>
                    <w:top w:val="single" w:color="000000" w:sz="8" w:space="0"/>
                    <w:left w:val="single" w:color="000000" w:sz="8" w:space="0"/>
                    <w:bottom w:val="single" w:color="000000" w:sz="8" w:space="0"/>
                    <w:right w:val="single" w:color="000000" w:sz="8" w:space="0"/>
                  </w:tcBorders>
                </w:tcPr>
                <w:p w14:paraId="41651341">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sz w:val="24"/>
                      <w:highlight w:val="none"/>
                    </w:rPr>
                  </w:pPr>
                  <w:r>
                    <w:rPr>
                      <w:rFonts w:hint="eastAsia" w:ascii="宋体" w:hAnsi="宋体" w:eastAsia="宋体" w:cs="宋体"/>
                      <w:b/>
                      <w:bCs/>
                      <w:color w:val="0000FF"/>
                      <w:highlight w:val="none"/>
                    </w:rPr>
                    <w:t>诚信情况</w:t>
                  </w:r>
                </w:p>
              </w:tc>
              <w:tc>
                <w:tcPr>
                  <w:tcW w:w="4196" w:type="dxa"/>
                  <w:tcBorders>
                    <w:top w:val="single" w:color="000000" w:sz="8" w:space="0"/>
                    <w:left w:val="single" w:color="000000" w:sz="8" w:space="0"/>
                    <w:bottom w:val="single" w:color="000000" w:sz="8" w:space="0"/>
                    <w:right w:val="single" w:color="000000" w:sz="8" w:space="0"/>
                  </w:tcBorders>
                </w:tcPr>
                <w:p w14:paraId="3466C14A">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b/>
                      <w:bCs/>
                      <w:color w:val="0000FF"/>
                      <w:sz w:val="24"/>
                      <w:highlight w:val="none"/>
                    </w:rPr>
                  </w:pPr>
                  <w:r>
                    <w:rPr>
                      <w:rFonts w:hint="eastAsia" w:ascii="宋体" w:hAnsi="宋体" w:eastAsia="宋体" w:cs="宋体"/>
                      <w:b/>
                      <w:bCs/>
                      <w:color w:val="0000FF"/>
                      <w:highlight w:val="none"/>
                    </w:rPr>
                    <w:t>5</w:t>
                  </w:r>
                </w:p>
              </w:tc>
            </w:tr>
            <w:tr w14:paraId="6C274C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top w:val="single" w:color="000000" w:sz="8" w:space="0"/>
                    <w:left w:val="single" w:color="000000" w:sz="8" w:space="0"/>
                    <w:bottom w:val="single" w:color="000000" w:sz="8" w:space="0"/>
                    <w:right w:val="single" w:color="000000" w:sz="8" w:space="0"/>
                  </w:tcBorders>
                  <w:vAlign w:val="center"/>
                </w:tcPr>
                <w:p w14:paraId="1086946D">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8392" w:type="dxa"/>
                  <w:gridSpan w:val="4"/>
                  <w:tcBorders>
                    <w:top w:val="single" w:color="000000" w:sz="8" w:space="0"/>
                    <w:left w:val="single" w:color="000000" w:sz="8" w:space="0"/>
                    <w:bottom w:val="single" w:color="000000" w:sz="8" w:space="0"/>
                    <w:right w:val="single" w:color="000000" w:sz="8" w:space="0"/>
                  </w:tcBorders>
                </w:tcPr>
                <w:p w14:paraId="0562362E">
                  <w:pPr>
                    <w:pageBreakBefore w:val="0"/>
                    <w:kinsoku/>
                    <w:wordWrap w:val="0"/>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szCs w:val="21"/>
                      <w:highlight w:val="none"/>
                    </w:rPr>
                  </w:pPr>
                </w:p>
              </w:tc>
            </w:tr>
            <w:tr w14:paraId="29EB02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top w:val="single" w:color="000000" w:sz="8" w:space="0"/>
                    <w:left w:val="single" w:color="000000" w:sz="8" w:space="0"/>
                    <w:bottom w:val="single" w:color="000000" w:sz="8" w:space="0"/>
                    <w:right w:val="single" w:color="000000" w:sz="8" w:space="0"/>
                  </w:tcBorders>
                  <w:shd w:val="clear" w:color="auto" w:fill="E6EFFA"/>
                  <w:vAlign w:val="center"/>
                </w:tcPr>
                <w:p w14:paraId="6A2DA941">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4FA39612">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序号</w:t>
                  </w:r>
                </w:p>
              </w:tc>
              <w:tc>
                <w:tcPr>
                  <w:tcW w:w="2835"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712EC5CC">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评分因素</w:t>
                  </w:r>
                </w:p>
              </w:tc>
              <w:tc>
                <w:tcPr>
                  <w:tcW w:w="681"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016C2E23">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权重(%)</w:t>
                  </w:r>
                </w:p>
              </w:tc>
              <w:tc>
                <w:tcPr>
                  <w:tcW w:w="4196" w:type="dxa"/>
                  <w:tcBorders>
                    <w:top w:val="outset" w:color="000000" w:sz="6" w:space="0"/>
                    <w:left w:val="outset" w:color="000000" w:sz="6" w:space="0"/>
                    <w:bottom w:val="outset" w:color="000000" w:sz="6" w:space="0"/>
                    <w:right w:val="outset" w:color="000000" w:sz="6" w:space="0"/>
                  </w:tcBorders>
                  <w:shd w:val="clear" w:color="auto" w:fill="E6EFFA"/>
                  <w:vAlign w:val="center"/>
                </w:tcPr>
                <w:p w14:paraId="3C450573">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评分准则</w:t>
                  </w:r>
                </w:p>
              </w:tc>
            </w:tr>
            <w:tr w14:paraId="7333D9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top w:val="single" w:color="000000" w:sz="8" w:space="0"/>
                    <w:left w:val="single" w:color="000000" w:sz="8" w:space="0"/>
                    <w:bottom w:val="single" w:color="000000" w:sz="8" w:space="0"/>
                    <w:right w:val="single" w:color="000000" w:sz="8" w:space="0"/>
                  </w:tcBorders>
                  <w:vAlign w:val="center"/>
                </w:tcPr>
                <w:p w14:paraId="41A277D3">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680" w:type="dxa"/>
                  <w:tcBorders>
                    <w:top w:val="single" w:color="000000" w:sz="8" w:space="0"/>
                    <w:left w:val="single" w:color="000000" w:sz="8" w:space="0"/>
                    <w:bottom w:val="single" w:color="000000" w:sz="8" w:space="0"/>
                    <w:right w:val="single" w:color="000000" w:sz="8" w:space="0"/>
                  </w:tcBorders>
                  <w:vAlign w:val="center"/>
                </w:tcPr>
                <w:p w14:paraId="73F30FEA">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1</w:t>
                  </w:r>
                </w:p>
              </w:tc>
              <w:tc>
                <w:tcPr>
                  <w:tcW w:w="2835" w:type="dxa"/>
                  <w:tcBorders>
                    <w:top w:val="single" w:color="000000" w:sz="8" w:space="0"/>
                    <w:left w:val="single" w:color="000000" w:sz="8" w:space="0"/>
                    <w:bottom w:val="single" w:color="000000" w:sz="8" w:space="0"/>
                    <w:right w:val="single" w:color="000000" w:sz="8" w:space="0"/>
                  </w:tcBorders>
                  <w:vAlign w:val="center"/>
                </w:tcPr>
                <w:p w14:paraId="3FF19987">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诚信情况</w:t>
                  </w:r>
                </w:p>
              </w:tc>
              <w:tc>
                <w:tcPr>
                  <w:tcW w:w="681" w:type="dxa"/>
                  <w:tcBorders>
                    <w:top w:val="single" w:color="000000" w:sz="8" w:space="0"/>
                    <w:left w:val="single" w:color="000000" w:sz="8" w:space="0"/>
                    <w:bottom w:val="single" w:color="000000" w:sz="8" w:space="0"/>
                    <w:right w:val="single" w:color="000000" w:sz="8" w:space="0"/>
                  </w:tcBorders>
                  <w:vAlign w:val="center"/>
                </w:tcPr>
                <w:p w14:paraId="47853C83">
                  <w:pPr>
                    <w:pageBreakBefore w:val="0"/>
                    <w:kinsoku/>
                    <w:wordWrap w:val="0"/>
                    <w:overflowPunct/>
                    <w:topLinePunct w:val="0"/>
                    <w:autoSpaceDE/>
                    <w:autoSpaceDN/>
                    <w:bidi w:val="0"/>
                    <w:spacing w:beforeAutospacing="0" w:afterAutospacing="0" w:line="360" w:lineRule="auto"/>
                    <w:ind w:left="0" w:leftChars="0" w:right="0" w:firstLine="0" w:firstLineChars="0"/>
                    <w:jc w:val="center"/>
                    <w:rPr>
                      <w:rFonts w:hint="eastAsia" w:ascii="宋体" w:hAnsi="宋体" w:eastAsia="宋体" w:cs="宋体"/>
                      <w:szCs w:val="21"/>
                      <w:highlight w:val="none"/>
                    </w:rPr>
                  </w:pPr>
                  <w:r>
                    <w:rPr>
                      <w:rFonts w:hint="eastAsia" w:ascii="宋体" w:hAnsi="宋体" w:eastAsia="宋体" w:cs="宋体"/>
                      <w:szCs w:val="21"/>
                      <w:highlight w:val="none"/>
                    </w:rPr>
                    <w:t>5</w:t>
                  </w:r>
                </w:p>
              </w:tc>
              <w:tc>
                <w:tcPr>
                  <w:tcW w:w="4196" w:type="dxa"/>
                  <w:tcBorders>
                    <w:top w:val="single" w:color="000000" w:sz="8" w:space="0"/>
                    <w:left w:val="single" w:color="000000" w:sz="8" w:space="0"/>
                    <w:bottom w:val="single" w:color="000000" w:sz="8" w:space="0"/>
                    <w:right w:val="single" w:color="000000" w:sz="8" w:space="0"/>
                  </w:tcBorders>
                </w:tcPr>
                <w:p w14:paraId="1B3FF7DA">
                  <w:pPr>
                    <w:pageBreakBefore w:val="0"/>
                    <w:kinsoku/>
                    <w:wordWrap w:val="0"/>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szCs w:val="21"/>
                      <w:highlight w:val="none"/>
                    </w:rPr>
                  </w:pPr>
                  <w:r>
                    <w:rPr>
                      <w:rFonts w:hint="eastAsia" w:ascii="宋体" w:hAnsi="宋体" w:eastAsia="宋体" w:cs="宋体"/>
                      <w:szCs w:val="21"/>
                      <w:highlight w:val="none"/>
                    </w:rPr>
                    <w:t>投标人在参与政府采购活动中存在诚信相关问题且在主管部门相关处理措施实施期限内的，本项不得分，否则得满分。投标人无需提供任何证明材料，由工作人员向评审委员会提供相关信息。</w:t>
                  </w:r>
                </w:p>
              </w:tc>
            </w:tr>
            <w:tr w14:paraId="0E14C2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0" w:type="dxa"/>
                  <w:left w:w="108" w:type="dxa"/>
                  <w:bottom w:w="20" w:type="dxa"/>
                  <w:right w:w="108" w:type="dxa"/>
                </w:tblCellMar>
              </w:tblPrEx>
              <w:trPr>
                <w:jc w:val="center"/>
              </w:trPr>
              <w:tc>
                <w:tcPr>
                  <w:tcW w:w="680" w:type="dxa"/>
                  <w:vMerge w:val="continue"/>
                  <w:tcBorders>
                    <w:top w:val="single" w:color="000000" w:sz="8" w:space="0"/>
                    <w:left w:val="single" w:color="000000" w:sz="8" w:space="0"/>
                    <w:bottom w:val="single" w:color="000000" w:sz="8" w:space="0"/>
                    <w:right w:val="single" w:color="000000" w:sz="8" w:space="0"/>
                  </w:tcBorders>
                  <w:vAlign w:val="center"/>
                </w:tcPr>
                <w:p w14:paraId="52DD6177">
                  <w:pPr>
                    <w:pageBreakBefore w:val="0"/>
                    <w:kinsoku/>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b/>
                      <w:bCs/>
                      <w:color w:val="0000FF"/>
                      <w:sz w:val="24"/>
                      <w:highlight w:val="none"/>
                    </w:rPr>
                  </w:pPr>
                </w:p>
              </w:tc>
              <w:tc>
                <w:tcPr>
                  <w:tcW w:w="8392" w:type="dxa"/>
                  <w:gridSpan w:val="4"/>
                  <w:tcBorders>
                    <w:top w:val="single" w:color="000000" w:sz="8" w:space="0"/>
                    <w:left w:val="single" w:color="000000" w:sz="8" w:space="0"/>
                    <w:bottom w:val="single" w:color="000000" w:sz="8" w:space="0"/>
                    <w:right w:val="single" w:color="000000" w:sz="8" w:space="0"/>
                  </w:tcBorders>
                </w:tcPr>
                <w:p w14:paraId="6789A971">
                  <w:pPr>
                    <w:pageBreakBefore w:val="0"/>
                    <w:kinsoku/>
                    <w:wordWrap w:val="0"/>
                    <w:overflowPunct/>
                    <w:topLinePunct w:val="0"/>
                    <w:autoSpaceDE/>
                    <w:autoSpaceDN/>
                    <w:bidi w:val="0"/>
                    <w:spacing w:beforeAutospacing="0" w:afterAutospacing="0" w:line="360" w:lineRule="auto"/>
                    <w:ind w:left="0" w:leftChars="0" w:right="0" w:firstLine="0" w:firstLineChars="0"/>
                    <w:rPr>
                      <w:rFonts w:hint="eastAsia" w:ascii="宋体" w:hAnsi="宋体" w:eastAsia="宋体" w:cs="宋体"/>
                      <w:szCs w:val="21"/>
                      <w:highlight w:val="none"/>
                    </w:rPr>
                  </w:pPr>
                </w:p>
              </w:tc>
            </w:tr>
          </w:tbl>
          <w:p w14:paraId="786E9C6C">
            <w:pPr>
              <w:pStyle w:val="38"/>
              <w:spacing w:line="324" w:lineRule="auto"/>
              <w:ind w:left="420"/>
              <w:rPr>
                <w:color w:val="0000FF"/>
                <w:sz w:val="21"/>
                <w:szCs w:val="21"/>
              </w:rPr>
            </w:pPr>
          </w:p>
        </w:tc>
      </w:tr>
    </w:tbl>
    <w:p w14:paraId="56D68E8B">
      <w:pPr>
        <w:rPr>
          <w:vanish/>
          <w:color w:val="0000FF"/>
        </w:rPr>
      </w:pPr>
    </w:p>
    <w:p w14:paraId="520356EE">
      <w:pPr>
        <w:widowControl/>
        <w:jc w:val="center"/>
        <w:rPr>
          <w:rFonts w:ascii="宋体" w:hAnsi="宋体" w:cs="宋体"/>
          <w:b/>
          <w:bCs/>
          <w:color w:val="0000FF"/>
          <w:sz w:val="22"/>
          <w:szCs w:val="22"/>
        </w:rPr>
      </w:pPr>
      <w:r>
        <w:rPr>
          <w:rFonts w:hint="eastAsia" w:ascii="宋体" w:hAnsi="宋体" w:cs="宋体"/>
          <w:b/>
          <w:bCs/>
          <w:color w:val="0000FF"/>
          <w:kern w:val="0"/>
          <w:sz w:val="22"/>
          <w:szCs w:val="22"/>
        </w:rPr>
        <w:br w:type="page"/>
      </w:r>
    </w:p>
    <w:p w14:paraId="6EBC5806">
      <w:pPr>
        <w:pStyle w:val="38"/>
        <w:jc w:val="center"/>
        <w:outlineLvl w:val="1"/>
        <w:rPr>
          <w:rFonts w:ascii="黑体" w:hAnsi="黑体" w:eastAsia="黑体"/>
          <w:sz w:val="40"/>
          <w:szCs w:val="40"/>
        </w:rPr>
      </w:pPr>
      <w:r>
        <w:rPr>
          <w:rFonts w:hint="eastAsia" w:ascii="黑体" w:hAnsi="黑体" w:eastAsia="黑体"/>
          <w:sz w:val="40"/>
          <w:szCs w:val="40"/>
        </w:rPr>
        <w:t>投标书目录</w:t>
      </w:r>
    </w:p>
    <w:tbl>
      <w:tblPr>
        <w:tblStyle w:val="44"/>
        <w:tblW w:w="9072" w:type="dxa"/>
        <w:jc w:val="center"/>
        <w:tblCellSpacing w:w="0" w:type="dxa"/>
        <w:tblLayout w:type="fixed"/>
        <w:tblCellMar>
          <w:top w:w="45" w:type="dxa"/>
          <w:left w:w="45" w:type="dxa"/>
          <w:bottom w:w="45" w:type="dxa"/>
          <w:right w:w="45" w:type="dxa"/>
        </w:tblCellMar>
      </w:tblPr>
      <w:tblGrid>
        <w:gridCol w:w="9072"/>
      </w:tblGrid>
      <w:tr w14:paraId="2952FEC9">
        <w:tblPrEx>
          <w:tblCellMar>
            <w:top w:w="45" w:type="dxa"/>
            <w:left w:w="45" w:type="dxa"/>
            <w:bottom w:w="45" w:type="dxa"/>
            <w:right w:w="45" w:type="dxa"/>
          </w:tblCellMar>
        </w:tblPrEx>
        <w:trPr>
          <w:tblCellSpacing w:w="0" w:type="dxa"/>
          <w:jc w:val="center"/>
        </w:trPr>
        <w:tc>
          <w:tcPr>
            <w:tcW w:w="9072" w:type="dxa"/>
            <w:vAlign w:val="center"/>
          </w:tcPr>
          <w:p w14:paraId="2F69FC82">
            <w:pPr>
              <w:pageBreakBefore w:val="0"/>
              <w:kinsoku/>
              <w:overflowPunct/>
              <w:topLinePunct w:val="0"/>
              <w:bidi w:val="0"/>
              <w:spacing w:beforeAutospacing="0" w:afterAutospacing="0" w:line="360" w:lineRule="auto"/>
              <w:ind w:left="0" w:leftChars="0" w:right="0" w:firstLine="0" w:firstLineChars="0"/>
              <w:outlineLvl w:val="0"/>
              <w:rPr>
                <w:rFonts w:hint="eastAsia" w:ascii="宋体" w:hAnsi="宋体" w:eastAsia="宋体" w:cs="宋体"/>
                <w:sz w:val="24"/>
              </w:rPr>
            </w:pPr>
            <w:r>
              <w:rPr>
                <w:rFonts w:hint="eastAsia" w:ascii="宋体" w:hAnsi="宋体" w:eastAsia="宋体" w:cs="宋体"/>
                <w:sz w:val="24"/>
              </w:rPr>
              <w:t>1.投标文件正文</w:t>
            </w:r>
            <w:r>
              <w:rPr>
                <w:rFonts w:hint="eastAsia" w:ascii="宋体" w:hAnsi="宋体" w:eastAsia="宋体" w:cs="宋体"/>
                <w:b/>
                <w:color w:val="FF0000"/>
                <w:sz w:val="24"/>
              </w:rPr>
              <w:t>（信息公开部分）</w:t>
            </w:r>
            <w:r>
              <w:rPr>
                <w:rFonts w:hint="eastAsia" w:ascii="宋体" w:hAnsi="宋体" w:eastAsia="宋体" w:cs="宋体"/>
                <w:sz w:val="24"/>
              </w:rPr>
              <w:t>，主要包括以下内容：</w:t>
            </w:r>
          </w:p>
          <w:p w14:paraId="75544DC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（1）</w:t>
            </w:r>
            <w:bookmarkStart w:id="0" w:name="_Hlk72070784"/>
            <w:r>
              <w:rPr>
                <w:rFonts w:hint="eastAsia" w:ascii="宋体" w:hAnsi="宋体" w:eastAsia="宋体" w:cs="宋体"/>
                <w:szCs w:val="21"/>
              </w:rPr>
              <w:t>投标函</w:t>
            </w:r>
            <w:bookmarkEnd w:id="0"/>
          </w:p>
          <w:p w14:paraId="0A9216D5">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（2）</w:t>
            </w:r>
            <w:bookmarkStart w:id="1" w:name="_Hlk72062521"/>
            <w:r>
              <w:rPr>
                <w:rFonts w:hint="eastAsia" w:ascii="宋体" w:hAnsi="宋体" w:eastAsia="宋体" w:cs="宋体"/>
                <w:szCs w:val="21"/>
              </w:rPr>
              <w:t>政府采购投标及履约承诺函</w:t>
            </w:r>
            <w:bookmarkEnd w:id="1"/>
          </w:p>
          <w:p w14:paraId="3408D320">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（3）投标人情况及资格证明文件</w:t>
            </w:r>
          </w:p>
          <w:p w14:paraId="563BF436">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bookmarkStart w:id="2" w:name="_Hlk72257201"/>
            <w:r>
              <w:rPr>
                <w:rFonts w:hint="eastAsia" w:ascii="宋体" w:hAnsi="宋体" w:eastAsia="宋体" w:cs="宋体"/>
                <w:szCs w:val="21"/>
              </w:rPr>
              <w:t>（4）项目详细报价</w:t>
            </w:r>
            <w:bookmarkEnd w:id="2"/>
          </w:p>
          <w:p w14:paraId="1BD86847">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5</w:t>
            </w:r>
            <w:r>
              <w:rPr>
                <w:rFonts w:hint="eastAsia" w:ascii="宋体" w:hAnsi="宋体" w:eastAsia="宋体" w:cs="宋体"/>
                <w:szCs w:val="21"/>
                <w:lang w:eastAsia="zh-CN"/>
              </w:rPr>
              <w:t>）</w:t>
            </w:r>
            <w:r>
              <w:rPr>
                <w:rFonts w:hint="eastAsia" w:ascii="宋体" w:hAnsi="宋体" w:eastAsia="宋体" w:cs="宋体"/>
                <w:szCs w:val="21"/>
                <w:lang w:val="zh-CN"/>
              </w:rPr>
              <w:t>通过相关认证情况</w:t>
            </w:r>
          </w:p>
          <w:p w14:paraId="062BF1F3">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6</w:t>
            </w:r>
            <w:r>
              <w:rPr>
                <w:rFonts w:hint="eastAsia" w:ascii="宋体" w:hAnsi="宋体" w:eastAsia="宋体" w:cs="宋体"/>
                <w:szCs w:val="21"/>
                <w:lang w:eastAsia="zh-CN"/>
              </w:rPr>
              <w:t>）</w:t>
            </w:r>
            <w:r>
              <w:rPr>
                <w:rFonts w:hint="eastAsia" w:ascii="宋体" w:hAnsi="宋体" w:eastAsia="宋体" w:cs="宋体"/>
                <w:szCs w:val="21"/>
              </w:rPr>
              <w:t>投标人同类项目业绩情况</w:t>
            </w:r>
          </w:p>
          <w:p w14:paraId="5652C252">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7</w:t>
            </w:r>
            <w:r>
              <w:rPr>
                <w:rFonts w:hint="eastAsia" w:ascii="宋体" w:hAnsi="宋体" w:eastAsia="宋体" w:cs="宋体"/>
                <w:szCs w:val="21"/>
                <w:lang w:eastAsia="zh-CN"/>
              </w:rPr>
              <w:t>）</w:t>
            </w:r>
            <w:r>
              <w:rPr>
                <w:rFonts w:hint="eastAsia" w:ascii="宋体" w:hAnsi="宋体" w:eastAsia="宋体" w:cs="宋体"/>
                <w:szCs w:val="21"/>
              </w:rPr>
              <w:t>投标人获奖情况</w:t>
            </w:r>
          </w:p>
          <w:p w14:paraId="0ACA6B3D">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8</w:t>
            </w:r>
            <w:r>
              <w:rPr>
                <w:rFonts w:hint="eastAsia" w:ascii="宋体" w:hAnsi="宋体" w:eastAsia="宋体" w:cs="宋体"/>
                <w:szCs w:val="21"/>
                <w:lang w:eastAsia="zh-CN"/>
              </w:rPr>
              <w:t>）第三方</w:t>
            </w:r>
            <w:r>
              <w:rPr>
                <w:rFonts w:hint="eastAsia" w:ascii="宋体" w:hAnsi="宋体" w:eastAsia="宋体" w:cs="宋体"/>
                <w:szCs w:val="21"/>
              </w:rPr>
              <w:t>检验检测报告</w:t>
            </w:r>
          </w:p>
          <w:p w14:paraId="74AEFF21">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9</w:t>
            </w:r>
            <w:r>
              <w:rPr>
                <w:rFonts w:hint="eastAsia" w:ascii="宋体" w:hAnsi="宋体" w:eastAsia="宋体" w:cs="宋体"/>
                <w:szCs w:val="21"/>
                <w:lang w:eastAsia="zh-CN"/>
              </w:rPr>
              <w:t>）</w:t>
            </w:r>
            <w:r>
              <w:rPr>
                <w:rFonts w:hint="eastAsia" w:ascii="宋体" w:hAnsi="宋体" w:eastAsia="宋体" w:cs="宋体"/>
                <w:szCs w:val="21"/>
              </w:rPr>
              <w:t>食品安全保险</w:t>
            </w:r>
          </w:p>
          <w:p w14:paraId="7D376107">
            <w:pPr>
              <w:pageBreakBefore w:val="0"/>
              <w:kinsoku/>
              <w:overflowPunct/>
              <w:topLinePunct w:val="0"/>
              <w:bidi w:val="0"/>
              <w:spacing w:beforeAutospacing="0" w:afterAutospacing="0" w:line="360" w:lineRule="auto"/>
              <w:ind w:left="0" w:leftChars="0" w:right="0" w:firstLine="0" w:firstLineChars="0"/>
              <w:outlineLvl w:val="0"/>
              <w:rPr>
                <w:rFonts w:hint="eastAsia" w:ascii="宋体" w:hAnsi="宋体" w:eastAsia="宋体" w:cs="宋体"/>
                <w:sz w:val="24"/>
              </w:rPr>
            </w:pPr>
            <w:r>
              <w:rPr>
                <w:rFonts w:hint="eastAsia" w:ascii="宋体" w:hAnsi="宋体" w:eastAsia="宋体" w:cs="宋体"/>
                <w:sz w:val="24"/>
              </w:rPr>
              <w:t>2.投标文件附件</w:t>
            </w:r>
            <w:r>
              <w:rPr>
                <w:rFonts w:hint="eastAsia" w:ascii="宋体" w:hAnsi="宋体" w:eastAsia="宋体" w:cs="宋体"/>
                <w:b/>
                <w:color w:val="FF0000"/>
                <w:sz w:val="24"/>
              </w:rPr>
              <w:t>（信息不公开部分）</w:t>
            </w:r>
            <w:r>
              <w:rPr>
                <w:rFonts w:hint="eastAsia" w:ascii="宋体" w:hAnsi="宋体" w:eastAsia="宋体" w:cs="宋体"/>
                <w:sz w:val="24"/>
              </w:rPr>
              <w:t>：主要包括以下内容：</w:t>
            </w:r>
          </w:p>
          <w:p w14:paraId="111871B9">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（1）法定代表人（负责人）证明书</w:t>
            </w:r>
          </w:p>
          <w:p w14:paraId="7D49269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（2）投标文件签署授权委托书</w:t>
            </w:r>
          </w:p>
          <w:p w14:paraId="105A17E7">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（3）实质性条款响应情况表</w:t>
            </w:r>
          </w:p>
          <w:p w14:paraId="2A7122BC">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4</w:t>
            </w:r>
            <w:r>
              <w:rPr>
                <w:rFonts w:hint="eastAsia" w:ascii="宋体" w:hAnsi="宋体" w:cs="宋体"/>
                <w:szCs w:val="21"/>
                <w:lang w:eastAsia="zh-CN"/>
              </w:rPr>
              <w:t>）</w:t>
            </w:r>
            <w:r>
              <w:rPr>
                <w:rFonts w:hint="eastAsia" w:ascii="宋体" w:hAnsi="宋体" w:cs="宋体"/>
                <w:szCs w:val="21"/>
              </w:rPr>
              <w:t>项目整体设想及规划方案</w:t>
            </w:r>
          </w:p>
          <w:p w14:paraId="07116F4C">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5</w:t>
            </w:r>
            <w:r>
              <w:rPr>
                <w:rFonts w:hint="eastAsia" w:ascii="宋体" w:hAnsi="宋体" w:cs="宋体"/>
                <w:szCs w:val="21"/>
                <w:lang w:eastAsia="zh-CN"/>
              </w:rPr>
              <w:t>）</w:t>
            </w:r>
            <w:r>
              <w:rPr>
                <w:rFonts w:hint="eastAsia" w:ascii="宋体" w:hAnsi="宋体" w:cs="宋体"/>
                <w:szCs w:val="21"/>
                <w:lang w:val="zh-CN"/>
              </w:rPr>
              <w:t>规章管理制度、工作流程等</w:t>
            </w:r>
          </w:p>
          <w:p w14:paraId="68485D0D">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6</w:t>
            </w:r>
            <w:r>
              <w:rPr>
                <w:rFonts w:hint="eastAsia" w:ascii="宋体" w:hAnsi="宋体" w:cs="宋体"/>
                <w:szCs w:val="21"/>
                <w:lang w:eastAsia="zh-CN"/>
              </w:rPr>
              <w:t>）</w:t>
            </w:r>
            <w:r>
              <w:rPr>
                <w:rFonts w:hint="eastAsia" w:ascii="宋体" w:hAnsi="宋体" w:cs="宋体"/>
                <w:szCs w:val="21"/>
                <w:lang w:val="zh-CN"/>
              </w:rPr>
              <w:t>应急方案</w:t>
            </w:r>
          </w:p>
          <w:p w14:paraId="4602EB03">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7</w:t>
            </w:r>
            <w:r>
              <w:rPr>
                <w:rFonts w:hint="eastAsia" w:ascii="宋体" w:hAnsi="宋体" w:cs="宋体"/>
                <w:szCs w:val="21"/>
                <w:lang w:eastAsia="zh-CN"/>
              </w:rPr>
              <w:t>）拟安排</w:t>
            </w:r>
            <w:r>
              <w:rPr>
                <w:rFonts w:hint="eastAsia" w:ascii="宋体" w:hAnsi="宋体" w:cs="宋体"/>
                <w:szCs w:val="21"/>
              </w:rPr>
              <w:t>项目服务团队</w:t>
            </w:r>
            <w:r>
              <w:rPr>
                <w:rFonts w:hint="eastAsia" w:ascii="宋体" w:hAnsi="宋体" w:cs="宋体"/>
                <w:szCs w:val="21"/>
                <w:lang w:eastAsia="zh-CN"/>
              </w:rPr>
              <w:t>情况</w:t>
            </w:r>
          </w:p>
          <w:p w14:paraId="7104C79F">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8</w:t>
            </w:r>
            <w:r>
              <w:rPr>
                <w:rFonts w:hint="eastAsia" w:ascii="宋体" w:hAnsi="宋体" w:cs="宋体"/>
                <w:szCs w:val="21"/>
                <w:lang w:eastAsia="zh-CN"/>
              </w:rPr>
              <w:t>）</w:t>
            </w:r>
            <w:r>
              <w:rPr>
                <w:rFonts w:hint="eastAsia" w:ascii="宋体" w:hAnsi="宋体" w:cs="宋体"/>
                <w:color w:val="auto"/>
                <w:szCs w:val="21"/>
              </w:rPr>
              <w:t>拟投入本项目冷库（含冷冻库及冷藏库）情况</w:t>
            </w:r>
          </w:p>
          <w:p w14:paraId="405FD4D7">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9</w:t>
            </w:r>
            <w:r>
              <w:rPr>
                <w:rFonts w:hint="eastAsia" w:ascii="宋体" w:hAnsi="宋体" w:cs="宋体"/>
                <w:szCs w:val="21"/>
                <w:lang w:eastAsia="zh-CN"/>
              </w:rPr>
              <w:t>）</w:t>
            </w:r>
            <w:r>
              <w:rPr>
                <w:rFonts w:hint="eastAsia" w:ascii="宋体" w:hAnsi="宋体" w:cs="宋体"/>
                <w:kern w:val="0"/>
                <w:szCs w:val="21"/>
              </w:rPr>
              <w:t>拟用于本项目生产基地情况</w:t>
            </w:r>
          </w:p>
          <w:p w14:paraId="38415941">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10</w:t>
            </w:r>
            <w:r>
              <w:rPr>
                <w:rFonts w:hint="eastAsia" w:ascii="宋体" w:hAnsi="宋体" w:cs="宋体"/>
                <w:szCs w:val="21"/>
                <w:lang w:eastAsia="zh-CN"/>
              </w:rPr>
              <w:t>）</w:t>
            </w:r>
            <w:r>
              <w:rPr>
                <w:rFonts w:hint="eastAsia" w:ascii="宋体" w:hAnsi="宋体" w:cs="宋体"/>
                <w:kern w:val="0"/>
                <w:szCs w:val="21"/>
              </w:rPr>
              <w:t>拟投入本项目的配送场所面积</w:t>
            </w:r>
          </w:p>
          <w:p w14:paraId="60F9D323">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11</w:t>
            </w:r>
            <w:r>
              <w:rPr>
                <w:rFonts w:hint="eastAsia" w:ascii="宋体" w:hAnsi="宋体" w:cs="宋体"/>
                <w:szCs w:val="21"/>
                <w:lang w:eastAsia="zh-CN"/>
              </w:rPr>
              <w:t>）</w:t>
            </w:r>
            <w:r>
              <w:rPr>
                <w:rFonts w:hint="eastAsia" w:ascii="宋体" w:hAnsi="宋体" w:eastAsia="宋体" w:cs="宋体"/>
                <w:kern w:val="0"/>
                <w:szCs w:val="21"/>
              </w:rPr>
              <w:t>拟投入本项目的车辆</w:t>
            </w:r>
          </w:p>
          <w:p w14:paraId="20EC3197">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12</w:t>
            </w:r>
            <w:r>
              <w:rPr>
                <w:rFonts w:hint="eastAsia" w:ascii="宋体" w:hAnsi="宋体" w:eastAsia="宋体" w:cs="宋体"/>
                <w:szCs w:val="21"/>
                <w:lang w:eastAsia="zh-CN"/>
              </w:rPr>
              <w:t>）拟投入</w:t>
            </w:r>
            <w:r>
              <w:rPr>
                <w:rFonts w:hint="eastAsia" w:ascii="宋体" w:hAnsi="宋体" w:eastAsia="宋体" w:cs="宋体"/>
                <w:szCs w:val="21"/>
              </w:rPr>
              <w:t>食品安全检测</w:t>
            </w:r>
            <w:r>
              <w:rPr>
                <w:rFonts w:hint="eastAsia" w:ascii="宋体" w:hAnsi="宋体" w:eastAsia="宋体" w:cs="宋体"/>
                <w:szCs w:val="21"/>
                <w:lang w:eastAsia="zh-CN"/>
              </w:rPr>
              <w:t>设备情况</w:t>
            </w:r>
          </w:p>
          <w:p w14:paraId="4843E535">
            <w:pPr>
              <w:pageBreakBefore w:val="0"/>
              <w:kinsoku/>
              <w:overflowPunct/>
              <w:topLinePunct w:val="0"/>
              <w:bidi w:val="0"/>
              <w:spacing w:beforeAutospacing="0" w:afterAutospacing="0" w:line="360" w:lineRule="auto"/>
              <w:ind w:left="0" w:leftChars="0" w:right="0" w:firstLine="0" w:firstLineChars="0"/>
              <w:rPr>
                <w:highlight w:val="yellow"/>
              </w:rPr>
            </w:pPr>
            <w:r>
              <w:rPr>
                <w:rFonts w:hint="eastAsia" w:ascii="宋体" w:hAnsi="宋体" w:eastAsia="宋体" w:cs="宋体"/>
                <w:szCs w:val="21"/>
                <w:lang w:eastAsia="zh-CN"/>
              </w:rPr>
              <w:t>（</w:t>
            </w:r>
            <w:r>
              <w:rPr>
                <w:rFonts w:hint="eastAsia" w:ascii="宋体" w:hAnsi="宋体" w:eastAsia="宋体" w:cs="宋体"/>
                <w:szCs w:val="21"/>
                <w:lang w:val="en-US" w:eastAsia="zh-CN"/>
              </w:rPr>
              <w:t>13</w:t>
            </w:r>
            <w:r>
              <w:rPr>
                <w:rFonts w:hint="eastAsia" w:ascii="宋体" w:hAnsi="宋体" w:eastAsia="宋体" w:cs="宋体"/>
                <w:szCs w:val="21"/>
                <w:lang w:eastAsia="zh-CN"/>
              </w:rPr>
              <w:t>）</w:t>
            </w:r>
            <w:r>
              <w:rPr>
                <w:rFonts w:hint="eastAsia" w:ascii="宋体" w:hAnsi="宋体" w:eastAsia="宋体" w:cs="宋体"/>
                <w:szCs w:val="21"/>
              </w:rPr>
              <w:t>投标人认为需要加以说明的其他内容</w:t>
            </w:r>
          </w:p>
        </w:tc>
      </w:tr>
    </w:tbl>
    <w:p w14:paraId="2077DA8A">
      <w:pPr>
        <w:rPr>
          <w:rFonts w:ascii="宋体"/>
          <w:sz w:val="24"/>
        </w:rPr>
      </w:pPr>
    </w:p>
    <w:p w14:paraId="21A2B8A2">
      <w:pPr>
        <w:sectPr>
          <w:headerReference r:id="rId3" w:type="default"/>
          <w:pgSz w:w="11906" w:h="16838"/>
          <w:pgMar w:top="1134" w:right="1417" w:bottom="1134" w:left="1417" w:header="851" w:footer="992" w:gutter="0"/>
          <w:pgBorders>
            <w:top w:val="none" w:sz="0" w:space="0"/>
            <w:left w:val="none" w:sz="0" w:space="0"/>
            <w:bottom w:val="none" w:sz="0" w:space="0"/>
            <w:right w:val="none" w:sz="0" w:space="0"/>
          </w:pgBorders>
          <w:cols w:space="720" w:num="1"/>
          <w:docGrid w:type="lines" w:linePitch="312" w:charSpace="0"/>
        </w:sectPr>
      </w:pPr>
    </w:p>
    <w:p w14:paraId="58825A6F">
      <w:pPr>
        <w:rPr>
          <w:b/>
          <w:sz w:val="84"/>
          <w:szCs w:val="84"/>
        </w:rPr>
      </w:pPr>
    </w:p>
    <w:p w14:paraId="3070FD54">
      <w:pPr>
        <w:pStyle w:val="43"/>
        <w:spacing w:line="1300" w:lineRule="exact"/>
        <w:ind w:firstLine="0" w:firstLineChars="0"/>
        <w:jc w:val="center"/>
        <w:rPr>
          <w:rFonts w:ascii="Times New Roman" w:hAnsi="Times New Roman"/>
          <w:b/>
          <w:bCs/>
          <w:sz w:val="96"/>
          <w:szCs w:val="96"/>
        </w:rPr>
      </w:pPr>
      <w:r>
        <w:rPr>
          <w:rFonts w:hint="eastAsia" w:ascii="Times New Roman" w:hAnsi="Times New Roman"/>
          <w:b/>
          <w:bCs/>
          <w:sz w:val="96"/>
          <w:szCs w:val="96"/>
        </w:rPr>
        <w:t>政府采购文件</w:t>
      </w:r>
    </w:p>
    <w:p w14:paraId="36CF77DE">
      <w:pPr>
        <w:jc w:val="center"/>
        <w:rPr>
          <w:sz w:val="52"/>
          <w:szCs w:val="52"/>
        </w:rPr>
      </w:pPr>
      <w:r>
        <w:rPr>
          <w:rFonts w:hint="eastAsia"/>
          <w:sz w:val="52"/>
          <w:szCs w:val="52"/>
        </w:rPr>
        <w:t>【服务类】</w:t>
      </w:r>
    </w:p>
    <w:p w14:paraId="5FE2172D">
      <w:pPr>
        <w:pStyle w:val="43"/>
        <w:ind w:firstLine="0" w:firstLineChars="0"/>
        <w:rPr>
          <w:rFonts w:ascii="Times New Roman" w:hAnsi="Times New Roman"/>
        </w:rPr>
      </w:pPr>
    </w:p>
    <w:p w14:paraId="406FE2E8">
      <w:pPr>
        <w:pStyle w:val="43"/>
        <w:spacing w:line="240" w:lineRule="auto"/>
        <w:ind w:right="-241" w:rightChars="-115" w:firstLine="0" w:firstLineChars="0"/>
        <w:jc w:val="center"/>
        <w:rPr>
          <w:rFonts w:hint="eastAsia" w:ascii="宋体" w:hAnsi="宋体" w:eastAsia="宋体" w:cs="宋体"/>
          <w:b/>
          <w:color w:val="auto"/>
          <w:sz w:val="44"/>
          <w:szCs w:val="44"/>
          <w:highlight w:val="yellow"/>
          <w:lang w:eastAsia="zh-CN"/>
        </w:rPr>
      </w:pPr>
      <w:r>
        <w:rPr>
          <w:rFonts w:hint="eastAsia" w:ascii="宋体" w:hAnsi="宋体" w:cs="宋体"/>
          <w:b/>
          <w:color w:val="auto"/>
          <w:sz w:val="44"/>
          <w:szCs w:val="44"/>
        </w:rPr>
        <w:t>项目编号：</w:t>
      </w:r>
      <w:r>
        <w:rPr>
          <w:rFonts w:hint="eastAsia" w:ascii="宋体" w:hAnsi="宋体" w:cs="宋体"/>
          <w:b/>
          <w:color w:val="auto"/>
          <w:sz w:val="44"/>
          <w:szCs w:val="44"/>
          <w:highlight w:val="yellow"/>
          <w:lang w:eastAsia="zh-CN"/>
        </w:rPr>
        <w:t>3324-DH2532F3xxx（</w:t>
      </w:r>
      <w:r>
        <w:rPr>
          <w:rFonts w:hint="eastAsia" w:ascii="宋体" w:hAnsi="宋体" w:cs="宋体"/>
          <w:b/>
          <w:color w:val="auto"/>
          <w:sz w:val="44"/>
          <w:szCs w:val="44"/>
          <w:highlight w:val="yellow"/>
          <w:lang w:val="en-US" w:eastAsia="zh-CN"/>
        </w:rPr>
        <w:t>待系统生成编号</w:t>
      </w:r>
      <w:r>
        <w:rPr>
          <w:rFonts w:hint="eastAsia" w:ascii="宋体" w:hAnsi="宋体" w:cs="宋体"/>
          <w:b/>
          <w:color w:val="auto"/>
          <w:sz w:val="44"/>
          <w:szCs w:val="44"/>
          <w:highlight w:val="yellow"/>
          <w:lang w:eastAsia="zh-CN"/>
        </w:rPr>
        <w:t>）</w:t>
      </w:r>
    </w:p>
    <w:p w14:paraId="050E693A">
      <w:pPr>
        <w:pStyle w:val="43"/>
        <w:ind w:firstLine="883"/>
        <w:jc w:val="center"/>
        <w:rPr>
          <w:rFonts w:hint="eastAsia" w:eastAsia="宋体"/>
          <w:b/>
          <w:color w:val="auto"/>
          <w:sz w:val="44"/>
          <w:szCs w:val="44"/>
          <w:lang w:eastAsia="zh-CN"/>
        </w:rPr>
      </w:pPr>
      <w:r>
        <w:rPr>
          <w:rFonts w:hint="eastAsia"/>
          <w:b/>
          <w:color w:val="auto"/>
          <w:sz w:val="44"/>
          <w:szCs w:val="44"/>
        </w:rPr>
        <w:t>项目名称：</w:t>
      </w:r>
      <w:r>
        <w:rPr>
          <w:rFonts w:hint="eastAsia"/>
          <w:b/>
          <w:color w:val="auto"/>
          <w:sz w:val="44"/>
          <w:szCs w:val="44"/>
          <w:lang w:eastAsia="zh-CN"/>
        </w:rPr>
        <w:t>深圳市公安局龙华分局民治等5个派出所食堂物资配送</w:t>
      </w:r>
    </w:p>
    <w:p w14:paraId="7C482E56">
      <w:pPr>
        <w:pStyle w:val="43"/>
        <w:ind w:firstLine="883"/>
        <w:rPr>
          <w:b/>
          <w:sz w:val="44"/>
          <w:szCs w:val="44"/>
        </w:rPr>
      </w:pPr>
    </w:p>
    <w:p w14:paraId="3038A0EB">
      <w:pPr>
        <w:jc w:val="center"/>
        <w:rPr>
          <w:b/>
          <w:sz w:val="44"/>
          <w:szCs w:val="44"/>
        </w:rPr>
      </w:pPr>
      <w:r>
        <w:drawing>
          <wp:anchor distT="0" distB="0" distL="114300" distR="114300" simplePos="0" relativeHeight="251659264" behindDoc="1" locked="0" layoutInCell="1" allowOverlap="1">
            <wp:simplePos x="0" y="0"/>
            <wp:positionH relativeFrom="column">
              <wp:posOffset>1734185</wp:posOffset>
            </wp:positionH>
            <wp:positionV relativeFrom="paragraph">
              <wp:posOffset>389255</wp:posOffset>
            </wp:positionV>
            <wp:extent cx="2633980" cy="2094230"/>
            <wp:effectExtent l="0" t="0" r="0" b="1270"/>
            <wp:wrapTight wrapText="bothSides">
              <wp:wrapPolygon>
                <wp:start x="0" y="0"/>
                <wp:lineTo x="0" y="21417"/>
                <wp:lineTo x="21402" y="21417"/>
                <wp:lineTo x="21402" y="0"/>
                <wp:lineTo x="0" y="0"/>
              </wp:wrapPolygon>
            </wp:wrapTight>
            <wp:docPr id="2" name="图片 2"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公司logo"/>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a:xfrm>
                      <a:off x="0" y="0"/>
                      <a:ext cx="2633980" cy="2094230"/>
                    </a:xfrm>
                    <a:prstGeom prst="rect">
                      <a:avLst/>
                    </a:prstGeom>
                    <a:noFill/>
                    <a:ln>
                      <a:noFill/>
                    </a:ln>
                  </pic:spPr>
                </pic:pic>
              </a:graphicData>
            </a:graphic>
          </wp:anchor>
        </w:drawing>
      </w:r>
    </w:p>
    <w:p w14:paraId="7F0C8528">
      <w:pPr>
        <w:pStyle w:val="43"/>
        <w:rPr>
          <w:rFonts w:ascii="Times New Roman" w:hAnsi="Times New Roman"/>
        </w:rPr>
      </w:pPr>
    </w:p>
    <w:p w14:paraId="40D89574">
      <w:pPr>
        <w:jc w:val="center"/>
        <w:rPr>
          <w:b/>
          <w:sz w:val="52"/>
          <w:szCs w:val="52"/>
        </w:rPr>
      </w:pPr>
    </w:p>
    <w:p w14:paraId="6834FF8D">
      <w:pPr>
        <w:rPr>
          <w:b/>
          <w:sz w:val="52"/>
          <w:szCs w:val="52"/>
        </w:rPr>
      </w:pPr>
    </w:p>
    <w:p w14:paraId="64CCCAC8">
      <w:pPr>
        <w:rPr>
          <w:sz w:val="52"/>
          <w:szCs w:val="52"/>
        </w:rPr>
      </w:pPr>
    </w:p>
    <w:p w14:paraId="2903309B">
      <w:pPr>
        <w:jc w:val="center"/>
        <w:rPr>
          <w:b/>
          <w:sz w:val="44"/>
          <w:szCs w:val="44"/>
        </w:rPr>
      </w:pPr>
    </w:p>
    <w:p w14:paraId="4A1DE28D">
      <w:pPr>
        <w:jc w:val="center"/>
        <w:rPr>
          <w:b/>
          <w:sz w:val="44"/>
          <w:szCs w:val="44"/>
        </w:rPr>
      </w:pPr>
    </w:p>
    <w:p w14:paraId="09EB6788">
      <w:pPr>
        <w:jc w:val="center"/>
        <w:rPr>
          <w:b/>
          <w:sz w:val="44"/>
          <w:szCs w:val="44"/>
        </w:rPr>
      </w:pPr>
    </w:p>
    <w:p w14:paraId="25024A7A">
      <w:pPr>
        <w:jc w:val="center"/>
        <w:rPr>
          <w:b/>
          <w:sz w:val="44"/>
          <w:szCs w:val="44"/>
        </w:rPr>
      </w:pPr>
    </w:p>
    <w:p w14:paraId="3341D150">
      <w:pPr>
        <w:jc w:val="center"/>
        <w:rPr>
          <w:b/>
          <w:sz w:val="44"/>
          <w:szCs w:val="44"/>
        </w:rPr>
      </w:pPr>
      <w:r>
        <w:rPr>
          <w:rFonts w:hint="eastAsia"/>
          <w:b/>
          <w:sz w:val="44"/>
          <w:szCs w:val="44"/>
        </w:rPr>
        <w:t>深圳市东海国际招标有限公司</w:t>
      </w:r>
    </w:p>
    <w:p w14:paraId="05820B38">
      <w:pPr>
        <w:pStyle w:val="43"/>
        <w:rPr>
          <w:rFonts w:ascii="Times New Roman" w:hAnsi="Times New Roman"/>
        </w:rPr>
      </w:pPr>
    </w:p>
    <w:p w14:paraId="60B7ABDE">
      <w:pPr>
        <w:jc w:val="center"/>
        <w:rPr>
          <w:sz w:val="36"/>
        </w:rPr>
        <w:sectPr>
          <w:pgSz w:w="11906" w:h="16838"/>
          <w:pgMar w:top="1134" w:right="1134" w:bottom="1134" w:left="1134" w:header="851" w:footer="992" w:gutter="0"/>
          <w:pgBorders>
            <w:top w:val="none" w:sz="0" w:space="0"/>
            <w:left w:val="none" w:sz="0" w:space="0"/>
            <w:bottom w:val="none" w:sz="0" w:space="0"/>
            <w:right w:val="none" w:sz="0" w:space="0"/>
          </w:pgBorders>
          <w:cols w:space="720" w:num="1"/>
          <w:docGrid w:type="lines" w:linePitch="312" w:charSpace="0"/>
        </w:sectPr>
      </w:pPr>
      <w:r>
        <w:rPr>
          <w:rFonts w:hint="eastAsia"/>
          <w:b/>
          <w:bCs/>
          <w:sz w:val="44"/>
          <w:szCs w:val="44"/>
        </w:rPr>
        <w:t>二〇二</w:t>
      </w:r>
      <w:r>
        <w:rPr>
          <w:rFonts w:hint="eastAsia"/>
          <w:b/>
          <w:bCs/>
          <w:sz w:val="44"/>
          <w:szCs w:val="44"/>
          <w:lang w:val="en-US" w:eastAsia="zh-CN"/>
        </w:rPr>
        <w:t>五</w:t>
      </w:r>
      <w:r>
        <w:rPr>
          <w:rFonts w:hint="eastAsia"/>
          <w:b/>
          <w:bCs/>
          <w:sz w:val="44"/>
          <w:szCs w:val="44"/>
        </w:rPr>
        <w:t>年</w:t>
      </w:r>
      <w:r>
        <w:rPr>
          <w:b/>
          <w:snapToGrid w:val="0"/>
          <w:sz w:val="44"/>
          <w:szCs w:val="44"/>
        </w:rPr>
        <w:t xml:space="preserve">· </w:t>
      </w:r>
      <w:r>
        <w:rPr>
          <w:rFonts w:hint="eastAsia"/>
          <w:b/>
          <w:snapToGrid w:val="0"/>
          <w:sz w:val="44"/>
          <w:szCs w:val="44"/>
        </w:rPr>
        <w:t>中国深圳</w:t>
      </w:r>
    </w:p>
    <w:p w14:paraId="20E5999E">
      <w:pPr>
        <w:pStyle w:val="2"/>
        <w:spacing w:before="0" w:after="0" w:line="240" w:lineRule="auto"/>
        <w:rPr>
          <w:rFonts w:hint="eastAsia" w:cs="黑体"/>
          <w:sz w:val="30"/>
          <w:szCs w:val="30"/>
        </w:rPr>
      </w:pPr>
      <w:r>
        <w:rPr>
          <w:rFonts w:hint="eastAsia" w:cs="黑体"/>
          <w:sz w:val="30"/>
          <w:szCs w:val="30"/>
        </w:rPr>
        <w:t>警示条款</w:t>
      </w:r>
    </w:p>
    <w:p w14:paraId="0C56C767">
      <w:pPr>
        <w:pStyle w:val="2"/>
        <w:spacing w:before="0" w:after="0" w:line="240" w:lineRule="auto"/>
        <w:ind w:firstLine="400" w:firstLineChars="200"/>
        <w:jc w:val="left"/>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一、</w:t>
      </w:r>
      <w:r>
        <w:rPr>
          <w:rFonts w:hint="eastAsia" w:ascii="宋体" w:hAnsi="宋体" w:eastAsia="宋体" w:cs="Times New Roman"/>
          <w:b/>
          <w:bCs/>
          <w:color w:val="auto"/>
          <w:kern w:val="2"/>
          <w:sz w:val="20"/>
          <w:szCs w:val="20"/>
        </w:rPr>
        <w:t>《深圳经济特区政府采购条例》第五十七条</w:t>
      </w:r>
      <w:r>
        <w:rPr>
          <w:rFonts w:hint="eastAsia" w:ascii="宋体" w:hAnsi="宋体" w:eastAsia="宋体" w:cs="Times New Roman"/>
          <w:color w:val="auto"/>
          <w:kern w:val="2"/>
          <w:sz w:val="20"/>
          <w:szCs w:val="20"/>
        </w:rPr>
        <w:t xml:space="preserve">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14:paraId="63EBE522">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（一）在采购活动中应当回避而未回避的；</w:t>
      </w:r>
    </w:p>
    <w:p w14:paraId="0B2093EC">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（二）未按本条例规定签订、履行采购合同，造成严重后果的；</w:t>
      </w:r>
    </w:p>
    <w:p w14:paraId="65B94AB8">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（三）隐瞒真实情况，提供虚假资料的；</w:t>
      </w:r>
    </w:p>
    <w:p w14:paraId="41A527DF">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（四）以非法手段排斥其他供应商参与竞争的；</w:t>
      </w:r>
    </w:p>
    <w:p w14:paraId="46F83053">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（五）与其他采购参加人串通投标的；</w:t>
      </w:r>
    </w:p>
    <w:p w14:paraId="286CDE74">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（六）恶意投诉的；</w:t>
      </w:r>
    </w:p>
    <w:p w14:paraId="746EF0F4">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（七）向采购项目相关人行贿或者提供其他不当利益的；</w:t>
      </w:r>
    </w:p>
    <w:p w14:paraId="003402B3">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（八）阻碍、抗拒主管部门监督检查的；</w:t>
      </w:r>
    </w:p>
    <w:p w14:paraId="5D2FF2DE">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（九）其他违反本条例规定的行为。</w:t>
      </w:r>
    </w:p>
    <w:p w14:paraId="3C7B2B63">
      <w:pPr>
        <w:widowControl w:val="0"/>
        <w:ind w:firstLine="402" w:firstLineChars="200"/>
        <w:jc w:val="both"/>
        <w:rPr>
          <w:rFonts w:ascii="宋体" w:hAnsi="宋体" w:eastAsia="宋体" w:cs="Times New Roman"/>
          <w:color w:val="auto"/>
          <w:kern w:val="2"/>
          <w:sz w:val="20"/>
          <w:szCs w:val="20"/>
        </w:rPr>
      </w:pPr>
      <w:r>
        <w:rPr>
          <w:rFonts w:hint="eastAsia" w:ascii="宋体" w:hAnsi="宋体" w:eastAsia="宋体" w:cs="Times New Roman"/>
          <w:b/>
          <w:bCs/>
          <w:color w:val="auto"/>
          <w:kern w:val="2"/>
          <w:sz w:val="20"/>
          <w:szCs w:val="20"/>
        </w:rPr>
        <w:t>二、《深圳经济特区政府采购条例实施细则》第七十五条 </w:t>
      </w:r>
      <w:r>
        <w:rPr>
          <w:rFonts w:hint="eastAsia" w:ascii="宋体" w:hAnsi="宋体" w:eastAsia="宋体" w:cs="Times New Roman"/>
          <w:color w:val="auto"/>
          <w:kern w:val="2"/>
          <w:sz w:val="20"/>
          <w:szCs w:val="20"/>
        </w:rPr>
        <w:t>供应商有下列情形的，属于采购条例所称的串通投标行为，按照采购条例第五十七条有关规定处理：（一）投标供应商之间相互约定给予未中标的供应商利益补偿；（二）不同投标供应商的法定代表人、主要经营负责人、项目投标授权代表人、项目负责人、主要技术人员为同一人、属同一单位或者在同一单位缴纳社会保险；（三）不同投标供应商的投标文件由同一单位或者同一人编制，或者由同一人分阶段参与编制的；（四）不同投标供应商的投标文件或部分投标文件相互混装；（五）不同投标供应商的投标文件内容存在非正常一致；（六）由同一单位工作人员为两家以上（含两家）供应商进行同一项投标活动的；（七）主管部门依照法律、法规认定的其他情形。</w:t>
      </w:r>
    </w:p>
    <w:p w14:paraId="0B221D91">
      <w:pPr>
        <w:widowControl w:val="0"/>
        <w:ind w:firstLine="402" w:firstLineChars="200"/>
        <w:jc w:val="both"/>
        <w:rPr>
          <w:rFonts w:ascii="宋体" w:hAnsi="宋体" w:eastAsia="宋体" w:cs="Times New Roman"/>
          <w:color w:val="auto"/>
          <w:kern w:val="2"/>
          <w:sz w:val="20"/>
          <w:szCs w:val="20"/>
        </w:rPr>
      </w:pPr>
      <w:r>
        <w:rPr>
          <w:rFonts w:hint="eastAsia" w:ascii="宋体" w:hAnsi="宋体" w:eastAsia="宋体" w:cs="Times New Roman"/>
          <w:b/>
          <w:bCs/>
          <w:color w:val="auto"/>
          <w:kern w:val="2"/>
          <w:sz w:val="20"/>
          <w:szCs w:val="20"/>
        </w:rPr>
        <w:t>三、《深圳经济特区政府采购条例实施细则》第七十七条 </w:t>
      </w:r>
      <w:r>
        <w:rPr>
          <w:rFonts w:hint="eastAsia" w:ascii="宋体" w:hAnsi="宋体" w:eastAsia="宋体" w:cs="Times New Roman"/>
          <w:color w:val="auto"/>
          <w:kern w:val="2"/>
          <w:sz w:val="20"/>
          <w:szCs w:val="20"/>
        </w:rPr>
        <w:t>供应商有下列情形之一的，属于隐瞒真实情况，提供虚假资料，按照采购条例第五十七的有关规定处理：（一）通过转让或者租借等方式从其他单位获取资格或者资质证书投标的；（二）由其他单位或者其他单位负责人在投标供应商编制的投标文件上加盖印章或者签字的；（三）项目负责人或者主要技术人员不是本单位人员的；（四）投标保证金不是从投标供应商基本账户转出的；（五）其他隐瞒真实情况、提供虚假资料的行为。</w:t>
      </w:r>
    </w:p>
    <w:p w14:paraId="74581DA8">
      <w:pPr>
        <w:widowControl w:val="0"/>
        <w:ind w:firstLine="400" w:firstLineChars="200"/>
        <w:jc w:val="both"/>
        <w:rPr>
          <w:rFonts w:ascii="宋体" w:hAnsi="宋体" w:eastAsia="宋体" w:cs="Times New Roman"/>
          <w:color w:val="auto"/>
          <w:kern w:val="2"/>
          <w:sz w:val="20"/>
          <w:szCs w:val="20"/>
        </w:rPr>
      </w:pPr>
      <w:r>
        <w:rPr>
          <w:rFonts w:hint="eastAsia" w:ascii="宋体" w:hAnsi="宋体" w:eastAsia="宋体" w:cs="Times New Roman"/>
          <w:color w:val="auto"/>
          <w:kern w:val="2"/>
          <w:sz w:val="20"/>
          <w:szCs w:val="20"/>
        </w:rPr>
        <w:t>投标供应商不能提供项目负责人或者主要技术人员的劳动合同、社会保险等劳动关系证明材料的，视为存在前款第（三）项规定的情形。</w:t>
      </w:r>
    </w:p>
    <w:p w14:paraId="1E6D2B30">
      <w:pPr>
        <w:widowControl w:val="0"/>
        <w:ind w:firstLine="402" w:firstLineChars="200"/>
        <w:jc w:val="both"/>
        <w:rPr>
          <w:rFonts w:hint="eastAsia" w:ascii="Times New Roman" w:hAnsi="Times New Roman" w:eastAsia="宋体" w:cs="Times New Roman"/>
          <w:b/>
          <w:color w:val="auto"/>
          <w:kern w:val="2"/>
          <w:sz w:val="20"/>
          <w:szCs w:val="20"/>
        </w:rPr>
      </w:pPr>
      <w:r>
        <w:rPr>
          <w:rFonts w:hint="eastAsia" w:ascii="Times New Roman" w:hAnsi="Times New Roman" w:eastAsia="宋体" w:cs="Times New Roman"/>
          <w:b/>
          <w:color w:val="auto"/>
          <w:kern w:val="2"/>
          <w:sz w:val="20"/>
          <w:szCs w:val="20"/>
        </w:rPr>
        <w:t>四、请投标供应商阅读《政府采购违法行为风险知悉确认书》（内容详见“投标文件附件（信息不公开部分）”中节点“投标人认为需要加以说明的其他内容（格式自定）”），并经各投标供应商负责人或投标授权代表签字并加盖单位公章后，扫描上传至投标文件一并提交。注：该风险知悉确认书用于对供应商违法行为的警示，不作为供应商资格性审查及符合性审查条件。</w:t>
      </w:r>
    </w:p>
    <w:p w14:paraId="73C44ED7">
      <w:pPr>
        <w:widowControl w:val="0"/>
        <w:ind w:firstLine="400" w:firstLineChars="200"/>
        <w:jc w:val="both"/>
        <w:rPr>
          <w:rFonts w:hint="eastAsia" w:ascii="Times New Roman" w:hAnsi="Times New Roman" w:eastAsia="宋体" w:cs="Times New Roman"/>
          <w:b w:val="0"/>
          <w:bCs/>
          <w:color w:val="auto"/>
          <w:kern w:val="2"/>
          <w:sz w:val="20"/>
          <w:szCs w:val="20"/>
          <w:lang w:val="en-US" w:eastAsia="zh-CN"/>
        </w:rPr>
      </w:pPr>
      <w:r>
        <w:rPr>
          <w:rFonts w:hint="eastAsia" w:ascii="Times New Roman" w:hAnsi="Times New Roman" w:eastAsia="宋体" w:cs="Times New Roman"/>
          <w:b w:val="0"/>
          <w:bCs/>
          <w:color w:val="auto"/>
          <w:kern w:val="2"/>
          <w:sz w:val="20"/>
          <w:szCs w:val="20"/>
          <w:lang w:val="en-US" w:eastAsia="zh-CN"/>
        </w:rPr>
        <w:t>五、供应商在使用深圳政府采购智慧平台的投标文件制作工具创建投标文件时，该工具将自动在投标文件中记录文件创建标识码，同时提取投标文件制作电脑的网卡MAC地址、硬盘序列号、CPU 序列号、主板序列号和工具标识号，经加密生成文件制作机器码并在投标文件中记录。文件制作机器码一致表明不同供应商使用了同一设备编制投标文件，文件创建标识码一致表明不同供应商的投标文件为同一份文件，IP 地址一致表明上传投标文件时使用了相同的网络。</w:t>
      </w:r>
    </w:p>
    <w:p w14:paraId="22B9B22E">
      <w:pPr>
        <w:widowControl w:val="0"/>
        <w:ind w:firstLine="400" w:firstLineChars="200"/>
        <w:jc w:val="both"/>
        <w:rPr>
          <w:rFonts w:hint="eastAsia" w:ascii="Times New Roman" w:hAnsi="Times New Roman" w:eastAsia="宋体" w:cs="Times New Roman"/>
          <w:b w:val="0"/>
          <w:bCs/>
          <w:color w:val="auto"/>
          <w:kern w:val="2"/>
          <w:sz w:val="20"/>
          <w:szCs w:val="20"/>
          <w:lang w:val="en-US" w:eastAsia="zh-CN"/>
        </w:rPr>
      </w:pPr>
      <w:r>
        <w:rPr>
          <w:rFonts w:hint="eastAsia" w:ascii="Times New Roman" w:hAnsi="Times New Roman" w:eastAsia="宋体" w:cs="Times New Roman"/>
          <w:b w:val="0"/>
          <w:bCs/>
          <w:color w:val="auto"/>
          <w:kern w:val="2"/>
          <w:sz w:val="20"/>
          <w:szCs w:val="20"/>
          <w:lang w:val="en-US" w:eastAsia="zh-CN"/>
        </w:rPr>
        <w:t>六、为避免出现不同供应商投标文件的文件制作机器码、文件创建标识码、IP 地址一致的异常情况，建议各供应商编制、上传投标文件时不要使用公共电脑设备或公共网络。</w:t>
      </w:r>
    </w:p>
    <w:p w14:paraId="7DC84E14">
      <w:pPr>
        <w:ind w:firstLine="400" w:firstLineChars="200"/>
        <w:rPr>
          <w:color w:val="auto"/>
          <w:sz w:val="20"/>
          <w:szCs w:val="20"/>
        </w:rPr>
      </w:pPr>
      <w:r>
        <w:rPr>
          <w:rFonts w:hint="eastAsia" w:ascii="Times New Roman" w:hAnsi="Times New Roman" w:eastAsia="宋体" w:cs="Times New Roman"/>
          <w:b w:val="0"/>
          <w:bCs/>
          <w:color w:val="auto"/>
          <w:kern w:val="2"/>
          <w:sz w:val="20"/>
          <w:szCs w:val="20"/>
          <w:lang w:val="en-US" w:eastAsia="zh-CN"/>
        </w:rPr>
        <w:t>七、根据《深圳经济特区政府采购条例实施细则》第七十五条规定，不同投标供应商的投标文件由同一单位或者同一人编制，或者由同一人分阶段参与编制的，或者由同一单位工作人员为两家以上（含两家）供应商进行同一项投标活动的，属于串通投标行为。一经查实，供应商将面临罚款、一定年限内禁止参与政府采购活动的行政处罚，请各供应商独立编制、上传投标文件，妥善保管和使用电子秘钥。</w:t>
      </w:r>
    </w:p>
    <w:p w14:paraId="67344018">
      <w:pPr>
        <w:rPr>
          <w:rFonts w:ascii="宋体"/>
          <w:szCs w:val="32"/>
        </w:rPr>
      </w:pPr>
    </w:p>
    <w:p w14:paraId="40815B07">
      <w:pPr>
        <w:pStyle w:val="5"/>
        <w:jc w:val="center"/>
        <w:rPr>
          <w:rFonts w:ascii="宋体" w:hAnsi="宋体" w:eastAsia="宋体"/>
          <w:szCs w:val="32"/>
        </w:rPr>
      </w:pPr>
      <w:r>
        <w:rPr>
          <w:rFonts w:hint="eastAsia" w:ascii="宋体" w:hAnsi="宋体" w:eastAsia="宋体"/>
          <w:szCs w:val="32"/>
        </w:rPr>
        <w:t>其它关键信息</w:t>
      </w:r>
    </w:p>
    <w:p w14:paraId="70DFD532">
      <w:pPr>
        <w:ind w:firstLine="3268" w:firstLineChars="1550"/>
      </w:pPr>
      <w:r>
        <w:rPr>
          <w:rFonts w:hint="eastAsia"/>
          <w:b/>
        </w:rPr>
        <w:t>一、评标定标信息</w:t>
      </w:r>
    </w:p>
    <w:p w14:paraId="1D533BAB">
      <w:pPr>
        <w:jc w:val="center"/>
      </w:pPr>
      <w:r>
        <w:rPr>
          <w:rFonts w:hint="eastAsia"/>
          <w:b/>
        </w:rPr>
        <w:t>非评定分离项目</w:t>
      </w:r>
    </w:p>
    <w:tbl>
      <w:tblPr>
        <w:tblStyle w:val="4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4"/>
        <w:gridCol w:w="4265"/>
      </w:tblGrid>
      <w:tr w14:paraId="03472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4" w:type="dxa"/>
          </w:tcPr>
          <w:p w14:paraId="24950F30">
            <w:pPr>
              <w:jc w:val="center"/>
              <w:rPr>
                <w:b/>
                <w:bCs/>
              </w:rPr>
            </w:pPr>
            <w:r>
              <w:rPr>
                <w:rFonts w:hint="eastAsia"/>
                <w:b/>
                <w:bCs/>
              </w:rPr>
              <w:t>评标方法</w:t>
            </w:r>
          </w:p>
        </w:tc>
        <w:tc>
          <w:tcPr>
            <w:tcW w:w="4265" w:type="dxa"/>
          </w:tcPr>
          <w:p w14:paraId="0644E01F">
            <w:pPr>
              <w:jc w:val="center"/>
              <w:rPr>
                <w:b/>
                <w:bCs/>
              </w:rPr>
            </w:pPr>
            <w:r>
              <w:rPr>
                <w:rFonts w:hint="eastAsia"/>
                <w:b/>
                <w:bCs/>
              </w:rPr>
              <w:t>综合评分法</w:t>
            </w:r>
          </w:p>
        </w:tc>
      </w:tr>
      <w:tr w14:paraId="1C53D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2" w:hRule="atLeast"/>
        </w:trPr>
        <w:tc>
          <w:tcPr>
            <w:tcW w:w="4264" w:type="dxa"/>
            <w:vAlign w:val="center"/>
          </w:tcPr>
          <w:p w14:paraId="356707F6">
            <w:pPr>
              <w:jc w:val="center"/>
            </w:pPr>
            <w:r>
              <w:rPr>
                <w:rFonts w:hint="eastAsia"/>
              </w:rPr>
              <w:t>定标方法</w:t>
            </w:r>
          </w:p>
        </w:tc>
        <w:tc>
          <w:tcPr>
            <w:tcW w:w="4265" w:type="dxa"/>
            <w:vAlign w:val="center"/>
          </w:tcPr>
          <w:p w14:paraId="152DA38D">
            <w:pPr>
              <w:jc w:val="left"/>
            </w:pPr>
            <w:r>
              <w:rPr>
                <w:rFonts w:hint="eastAsia" w:ascii="宋体" w:hAnsi="宋体"/>
                <w:szCs w:val="21"/>
              </w:rPr>
              <w:t>采购人确定</w:t>
            </w:r>
            <w:r>
              <w:rPr>
                <w:rFonts w:hint="eastAsia"/>
              </w:rPr>
              <w:t>评审委员会推荐的</w:t>
            </w:r>
            <w:r>
              <w:rPr>
                <w:rFonts w:hint="eastAsia" w:ascii="宋体" w:hAnsi="宋体"/>
                <w:szCs w:val="21"/>
              </w:rPr>
              <w:t>中标候选人为中标供应商</w:t>
            </w:r>
          </w:p>
        </w:tc>
      </w:tr>
      <w:tr w14:paraId="34B3C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264" w:type="dxa"/>
          </w:tcPr>
          <w:p w14:paraId="6771168B">
            <w:pPr>
              <w:jc w:val="center"/>
              <w:rPr>
                <w:color w:val="auto"/>
              </w:rPr>
            </w:pPr>
            <w:r>
              <w:rPr>
                <w:rFonts w:hint="eastAsia"/>
                <w:color w:val="auto"/>
              </w:rPr>
              <w:t>候选中标供应商数量</w:t>
            </w:r>
          </w:p>
        </w:tc>
        <w:tc>
          <w:tcPr>
            <w:tcW w:w="4265" w:type="dxa"/>
          </w:tcPr>
          <w:p w14:paraId="3D61C2D4">
            <w:pPr>
              <w:jc w:val="left"/>
              <w:rPr>
                <w:color w:val="auto"/>
              </w:rPr>
            </w:pPr>
            <w:r>
              <w:rPr>
                <w:rFonts w:hint="eastAsia"/>
                <w:color w:val="auto"/>
                <w:highlight w:val="none"/>
                <w:lang w:val="en-US" w:eastAsia="zh-CN"/>
              </w:rPr>
              <w:t>2</w:t>
            </w:r>
            <w:r>
              <w:rPr>
                <w:rFonts w:hint="eastAsia"/>
                <w:color w:val="auto"/>
                <w:szCs w:val="21"/>
                <w:highlight w:val="none"/>
              </w:rPr>
              <w:t>（推荐中标候选人时，投标人综合得分相同的，有效投标</w:t>
            </w:r>
            <w:r>
              <w:rPr>
                <w:rFonts w:hint="eastAsia"/>
                <w:color w:val="auto"/>
                <w:szCs w:val="21"/>
              </w:rPr>
              <w:t>报价较低者优先推荐，综合得分和有效投标报价均相同的按技术得分较高者优先推荐，综合得分和有效投标报价相同且技术、商务得分均相同的由评审委员会抽签进行优先推荐）</w:t>
            </w:r>
          </w:p>
        </w:tc>
      </w:tr>
      <w:tr w14:paraId="53E72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264" w:type="dxa"/>
          </w:tcPr>
          <w:p w14:paraId="35633D56">
            <w:pPr>
              <w:jc w:val="center"/>
            </w:pPr>
            <w:r>
              <w:rPr>
                <w:rFonts w:hint="eastAsia"/>
              </w:rPr>
              <w:t>中标供应商家数</w:t>
            </w:r>
          </w:p>
        </w:tc>
        <w:tc>
          <w:tcPr>
            <w:tcW w:w="4265" w:type="dxa"/>
          </w:tcPr>
          <w:p w14:paraId="4111307F">
            <w:pPr>
              <w:jc w:val="center"/>
              <w:rPr>
                <w:rFonts w:hint="eastAsia" w:eastAsia="宋体"/>
                <w:lang w:val="en-US" w:eastAsia="zh-CN"/>
              </w:rPr>
            </w:pPr>
            <w:r>
              <w:rPr>
                <w:rFonts w:hint="eastAsia"/>
                <w:lang w:val="en-US" w:eastAsia="zh-CN"/>
              </w:rPr>
              <w:t>2</w:t>
            </w:r>
          </w:p>
        </w:tc>
      </w:tr>
    </w:tbl>
    <w:p w14:paraId="4D905929">
      <w:pPr>
        <w:jc w:val="center"/>
        <w:rPr>
          <w:b/>
        </w:rPr>
      </w:pPr>
      <w:r>
        <w:rPr>
          <w:rFonts w:hint="eastAsia"/>
          <w:b/>
        </w:rPr>
        <w:t>二、关于享受优惠政策的主体及价格扣除比例</w:t>
      </w:r>
    </w:p>
    <w:p w14:paraId="5D11BBE7">
      <w:pPr>
        <w:ind w:firstLine="440" w:firstLineChars="200"/>
        <w:rPr>
          <w:rFonts w:ascii="宋体" w:hAnsi="宋体" w:cs="宋体"/>
          <w:sz w:val="22"/>
        </w:rPr>
      </w:pPr>
      <w:r>
        <w:rPr>
          <w:rFonts w:hint="eastAsia" w:ascii="宋体" w:hAnsi="宋体" w:cs="宋体"/>
          <w:sz w:val="22"/>
        </w:rPr>
        <w:t>（1）投标人提供的服务全部均由优惠主体承接，则对其投标总价给予</w:t>
      </w:r>
      <w:r>
        <w:rPr>
          <w:rFonts w:hint="eastAsia" w:ascii="宋体" w:hAnsi="宋体" w:cs="宋体"/>
          <w:b/>
          <w:bCs/>
          <w:sz w:val="22"/>
          <w:u w:val="single"/>
        </w:rPr>
        <w:t>0%</w:t>
      </w:r>
      <w:r>
        <w:rPr>
          <w:rFonts w:hint="eastAsia" w:ascii="宋体" w:hAnsi="宋体" w:cs="宋体"/>
          <w:sz w:val="22"/>
        </w:rPr>
        <w:t>的扣除，用扣除后的价格参与评审。满足多项优惠政策的企业，不重复享受多项价格扣除政策。</w:t>
      </w:r>
    </w:p>
    <w:p w14:paraId="62AA7683">
      <w:pPr>
        <w:ind w:firstLine="440" w:firstLineChars="200"/>
        <w:rPr>
          <w:rFonts w:ascii="宋体" w:hAnsi="宋体" w:cs="宋体"/>
          <w:sz w:val="22"/>
        </w:rPr>
      </w:pPr>
      <w:r>
        <w:rPr>
          <w:rFonts w:hint="eastAsia" w:ascii="宋体" w:hAnsi="宋体" w:cs="宋体"/>
          <w:sz w:val="22"/>
        </w:rPr>
        <w:t>备注：（a）优惠主体包括小型企业、微型企业、监狱企业、残疾人福利性单位；中小企业是指在中华人民共和国境内依法设立，依据国务院批准的中小企业划分标准确定的中型企业、小型企业、微型企业，但与大企业的负责人为同一人，或者与大企业存在直接控股、管理关系的除外；符合中小企业划分标准的个体工商户，在政府采购活动中视同中小企业；(b)优惠主体承接是指提供服务的人员为中小企业依照《中华人民共和国劳动合同法》订立劳动合同的从业人员。</w:t>
      </w:r>
    </w:p>
    <w:p w14:paraId="284E2472">
      <w:pPr>
        <w:ind w:firstLine="440" w:firstLineChars="200"/>
        <w:rPr>
          <w:rFonts w:ascii="宋体" w:hAnsi="宋体" w:cs="宋体"/>
          <w:sz w:val="22"/>
        </w:rPr>
      </w:pPr>
      <w:r>
        <w:rPr>
          <w:rFonts w:hint="eastAsia" w:ascii="宋体" w:hAnsi="宋体" w:cs="宋体"/>
          <w:sz w:val="22"/>
        </w:rPr>
        <w:t>（2）根据《工业和信息化部、国家统计局、国家发展和改革委员会、财政部关于印发中小企业划型标准规定的通知》（工信部联企业〔2011〕300 号），本项目采购标的（服务需求）对应的中小企业划分标准所属行业为</w:t>
      </w:r>
      <w:r>
        <w:rPr>
          <w:rFonts w:hint="eastAsia" w:ascii="宋体" w:hAnsi="宋体" w:cs="宋体"/>
          <w:b/>
          <w:bCs/>
          <w:color w:val="FF0000"/>
          <w:sz w:val="21"/>
          <w:szCs w:val="21"/>
          <w:highlight w:val="none"/>
          <w:u w:val="single"/>
          <w:lang w:eastAsia="zh-CN"/>
        </w:rPr>
        <w:t>批发</w:t>
      </w:r>
      <w:r>
        <w:rPr>
          <w:rFonts w:hint="eastAsia" w:ascii="宋体" w:hAnsi="宋体" w:eastAsia="宋体" w:cs="宋体"/>
          <w:b/>
          <w:bCs/>
          <w:color w:val="FF0000"/>
          <w:sz w:val="21"/>
          <w:szCs w:val="21"/>
          <w:highlight w:val="none"/>
          <w:u w:val="single"/>
          <w:lang w:eastAsia="zh-CN"/>
        </w:rPr>
        <w:t>业</w:t>
      </w:r>
      <w:r>
        <w:rPr>
          <w:rFonts w:hint="eastAsia" w:ascii="宋体" w:hAnsi="宋体" w:cs="宋体"/>
          <w:b/>
          <w:bCs/>
          <w:sz w:val="22"/>
          <w:u w:val="single"/>
        </w:rPr>
        <w:t>。</w:t>
      </w:r>
    </w:p>
    <w:p w14:paraId="0279824C">
      <w:pPr>
        <w:ind w:firstLine="440" w:firstLineChars="200"/>
        <w:rPr>
          <w:rFonts w:ascii="宋体" w:hAnsi="宋体" w:cs="宋体"/>
          <w:sz w:val="22"/>
        </w:rPr>
      </w:pPr>
      <w:r>
        <w:rPr>
          <w:rFonts w:hint="eastAsia" w:ascii="宋体" w:hAnsi="宋体" w:cs="宋体"/>
          <w:sz w:val="22"/>
        </w:rPr>
        <w:t>（3）小型企业、微型企业、残疾人福利性单位作为优惠主体的认定资料为《中小企业声明函》、《残疾人福利性单位声明函》；监狱企业作为优惠主体的认定资料为省级以上监狱管理局、戒毒管理局出具的监狱企业证明文件。</w:t>
      </w:r>
      <w:r>
        <w:rPr>
          <w:rFonts w:hint="eastAsia" w:ascii="宋体" w:hAnsi="宋体" w:cs="宋体"/>
          <w:sz w:val="22"/>
          <w:szCs w:val="22"/>
        </w:rPr>
        <w:t>声明函样式见本招标文件第一册第三章“投标文件格式、附件”中“四、投标人情况介绍”章节提供的格式）。</w:t>
      </w:r>
      <w:r>
        <w:rPr>
          <w:rFonts w:hint="eastAsia"/>
        </w:rPr>
        <w:t>监狱企业或者代理提供监狱企业货物的供应商如须享受优惠政策，除上述资料外，还须提供省级以上监狱管理局、戒毒管理局出具的监狱企业证明文件。</w:t>
      </w:r>
    </w:p>
    <w:p w14:paraId="35F0F5A1">
      <w:pPr>
        <w:ind w:firstLine="440" w:firstLineChars="200"/>
        <w:rPr>
          <w:rFonts w:ascii="宋体" w:hAnsi="宋体" w:cs="宋体"/>
          <w:bCs/>
          <w:sz w:val="22"/>
          <w:szCs w:val="22"/>
        </w:rPr>
      </w:pPr>
      <w:r>
        <w:rPr>
          <w:rFonts w:hint="eastAsia" w:ascii="宋体" w:hAnsi="宋体" w:cs="宋体"/>
          <w:sz w:val="22"/>
        </w:rPr>
        <w:t>（4）享受价格扣除获得政府采购合同的，小微企业不得将合同分包给大中型企业。</w:t>
      </w:r>
    </w:p>
    <w:p w14:paraId="25A5F9B2">
      <w:pPr>
        <w:ind w:firstLine="422" w:firstLineChars="200"/>
        <w:jc w:val="center"/>
        <w:rPr>
          <w:b/>
        </w:rPr>
      </w:pPr>
      <w:r>
        <w:rPr>
          <w:rFonts w:hint="eastAsia"/>
          <w:b/>
        </w:rPr>
        <w:t>三、其他说明</w:t>
      </w:r>
    </w:p>
    <w:p w14:paraId="3E728F07">
      <w:pPr>
        <w:ind w:firstLine="435"/>
        <w:jc w:val="left"/>
      </w:pPr>
      <w:r>
        <w:rPr>
          <w:rFonts w:hint="eastAsia"/>
        </w:rPr>
        <w:t>（1）根据《财政部 发展改革委 生态环境部 市场监管总局关于调整优化节能产品、环境标志产品政府采购执行机制的通知》（财库〔2019〕9号）的规定，采购人拟采购的产品属于品目清单范围的，采购人及其委托的采购代理机构应当依据国家确定的认证机构出具的、处于有效期之内的节能产品、环境标志产品认证证书，对获得证书的产品实施政府优先采购或强制采购。对于已列入品目清单的产品类别，采购人可在采购需求中提出更高的节约资源和保护环境要求，对符合条件的获证产品给予优先待遇。对于未列入品目清单的产品类别，鼓励采购人综合考虑节能、节水、环保、循环、低碳、再生、有机等因素，参考相关国家标准、行业标准或团体标准，在采购需求中提出相关绿色采购要求，促进绿色产品推广应用。</w:t>
      </w:r>
    </w:p>
    <w:p w14:paraId="2DFF9068">
      <w:pPr>
        <w:ind w:firstLine="435"/>
        <w:jc w:val="left"/>
      </w:pPr>
      <w:r>
        <w:rPr>
          <w:rFonts w:hint="eastAsia"/>
        </w:rPr>
        <w:t>（2）根据《财政部国务院扶贫办关于运用政府采购政策支持脱贫攻坚的通知》（财库〔2019〕27号）的规定，一是鼓励采用优先采购、预留采购份额方式采购贫困地区农副产品：（1）各级预算单位采购农副产品的，同等条件下应优先采购贫困地区农副产品；（2）购买贫困地区农副产品时要遵循就近、经济的原则；（3）贫困地区农副产品是指832个国家级贫困县域内注册的企业、农民专业合作社、家庭农场等出产的农副产品。二是鼓励优先采购聘用建档立卡贫困人员物业公司提供的物业服务，对注册地在832个国家级贫困县域内，且聘用建档立卡贫困人员达到公司员工（含服务外包用工）30%以上的物业公司，各级预算单位可根据符合条件的物业公司数量等具体情况，按规定履行有关变更采购方式报批程序后，采用竞争性谈判、竞争性磋商、单一来源等非公开招标采购方式，采购有关物业公司提供的物业服务。</w:t>
      </w:r>
    </w:p>
    <w:p w14:paraId="3C111D87">
      <w:pPr>
        <w:ind w:firstLine="435"/>
        <w:jc w:val="left"/>
      </w:pPr>
      <w:r>
        <w:rPr>
          <w:rFonts w:hint="eastAsia"/>
        </w:rPr>
        <w:t>（3）根据省委办公厅、省府办公厅《关于促进民营经济高质量发展的若干政策措施》（粤办发〔2018〕43 号），对获得国家行政主管部门认定的中国质量奖、中国专利奖、中国版权金奖、中国商标金奖、制造业单项冠军、绿色工厂等的企业，在参与政府采购时，可以结合采购需求的实际需要，给予适当技术加分，但最高不能超过2分。</w:t>
      </w:r>
    </w:p>
    <w:p w14:paraId="416FB220">
      <w:pPr>
        <w:ind w:firstLine="422" w:firstLineChars="200"/>
        <w:rPr>
          <w:rFonts w:hint="eastAsia"/>
          <w:b/>
          <w:bCs/>
          <w:lang w:eastAsia="zh-CN"/>
        </w:rPr>
      </w:pPr>
      <w:r>
        <w:rPr>
          <w:rFonts w:hint="eastAsia"/>
          <w:b/>
          <w:bCs/>
          <w:lang w:eastAsia="zh-CN"/>
        </w:rPr>
        <w:t>（</w:t>
      </w:r>
      <w:r>
        <w:rPr>
          <w:rFonts w:hint="eastAsia"/>
          <w:b/>
          <w:bCs/>
          <w:lang w:val="en-US" w:eastAsia="zh-CN"/>
        </w:rPr>
        <w:t>4</w:t>
      </w:r>
      <w:r>
        <w:rPr>
          <w:rFonts w:hint="eastAsia"/>
          <w:b/>
          <w:bCs/>
          <w:lang w:eastAsia="zh-CN"/>
        </w:rPr>
        <w:t>）分包、分标段相关表述：</w:t>
      </w:r>
    </w:p>
    <w:p w14:paraId="7A439A61">
      <w:pPr>
        <w:ind w:firstLine="422" w:firstLineChars="200"/>
        <w:rPr>
          <w:rFonts w:hint="eastAsia"/>
          <w:b/>
          <w:bCs/>
          <w:color w:val="auto"/>
          <w:lang w:eastAsia="zh-CN"/>
        </w:rPr>
      </w:pPr>
      <w:r>
        <w:rPr>
          <w:rFonts w:hint="eastAsia"/>
          <w:b/>
          <w:bCs/>
          <w:color w:val="auto"/>
          <w:lang w:val="en-US" w:eastAsia="zh-CN"/>
        </w:rPr>
        <w:t>4.1</w:t>
      </w:r>
      <w:r>
        <w:rPr>
          <w:rFonts w:hint="eastAsia"/>
          <w:b/>
          <w:bCs/>
          <w:color w:val="auto"/>
          <w:lang w:eastAsia="zh-CN"/>
        </w:rPr>
        <w:t>定标办法</w:t>
      </w:r>
    </w:p>
    <w:p w14:paraId="48EDFDDA">
      <w:pPr>
        <w:ind w:firstLine="422" w:firstLineChars="200"/>
        <w:rPr>
          <w:rFonts w:hint="eastAsia"/>
          <w:b/>
          <w:bCs/>
          <w:color w:val="auto"/>
          <w:lang w:eastAsia="zh-CN"/>
        </w:rPr>
      </w:pPr>
      <w:r>
        <w:rPr>
          <w:rFonts w:hint="eastAsia"/>
          <w:b/>
          <w:bCs/>
          <w:color w:val="auto"/>
          <w:lang w:eastAsia="zh-CN"/>
        </w:rPr>
        <w:t>评审委员会将推荐综合得分最高的前</w:t>
      </w:r>
      <w:r>
        <w:rPr>
          <w:rFonts w:hint="eastAsia"/>
          <w:b/>
          <w:bCs/>
          <w:color w:val="auto"/>
          <w:lang w:val="en-US" w:eastAsia="zh-CN"/>
        </w:rPr>
        <w:t>2</w:t>
      </w:r>
      <w:r>
        <w:rPr>
          <w:rFonts w:hint="eastAsia"/>
          <w:b/>
          <w:bCs/>
          <w:color w:val="auto"/>
          <w:lang w:eastAsia="zh-CN"/>
        </w:rPr>
        <w:t>名供应商为中标单位，根据n+2原则（即n=</w:t>
      </w:r>
      <w:r>
        <w:rPr>
          <w:rFonts w:hint="eastAsia"/>
          <w:b/>
          <w:bCs/>
          <w:color w:val="auto"/>
          <w:lang w:val="en-US" w:eastAsia="zh-CN"/>
        </w:rPr>
        <w:t>2</w:t>
      </w:r>
      <w:r>
        <w:rPr>
          <w:rFonts w:hint="eastAsia"/>
          <w:b/>
          <w:bCs/>
          <w:color w:val="auto"/>
          <w:lang w:eastAsia="zh-CN"/>
        </w:rPr>
        <w:t>），如通过资格性和符合性审查的投标人数量＜</w:t>
      </w:r>
      <w:r>
        <w:rPr>
          <w:rFonts w:hint="eastAsia"/>
          <w:b/>
          <w:bCs/>
          <w:color w:val="auto"/>
          <w:lang w:val="en-US" w:eastAsia="zh-CN"/>
        </w:rPr>
        <w:t>4</w:t>
      </w:r>
      <w:r>
        <w:rPr>
          <w:rFonts w:hint="eastAsia"/>
          <w:b/>
          <w:bCs/>
          <w:color w:val="auto"/>
          <w:lang w:eastAsia="zh-CN"/>
        </w:rPr>
        <w:t>，则本次招标失败，重新组织招标。</w:t>
      </w:r>
    </w:p>
    <w:p w14:paraId="496EDCEF">
      <w:pPr>
        <w:ind w:firstLine="422" w:firstLineChars="200"/>
        <w:rPr>
          <w:rFonts w:hint="eastAsia"/>
          <w:b/>
          <w:bCs/>
          <w:color w:val="auto"/>
          <w:lang w:eastAsia="zh-CN"/>
        </w:rPr>
      </w:pPr>
      <w:r>
        <w:rPr>
          <w:rFonts w:hint="eastAsia"/>
          <w:b/>
          <w:bCs/>
          <w:color w:val="auto"/>
          <w:lang w:eastAsia="zh-CN"/>
        </w:rPr>
        <w:t>若出现供应商得分相同的情况，则按投标报价由低到高顺序排列（选择投标报价最低的供应商），出现得分且投标报价相同的并列情况时，采取随机抽取的方式确定，具体操作办法及流程详见招标文件通用条款。</w:t>
      </w:r>
    </w:p>
    <w:p w14:paraId="3C1FC3F1">
      <w:pPr>
        <w:ind w:firstLine="422" w:firstLineChars="200"/>
        <w:rPr>
          <w:rFonts w:hint="eastAsia"/>
          <w:b/>
          <w:bCs/>
          <w:color w:val="auto"/>
          <w:lang w:eastAsia="zh-CN"/>
        </w:rPr>
      </w:pPr>
      <w:r>
        <w:rPr>
          <w:rFonts w:hint="eastAsia"/>
          <w:b/>
          <w:bCs/>
          <w:color w:val="auto"/>
          <w:lang w:eastAsia="zh-CN"/>
        </w:rPr>
        <w:t>应急条款：</w:t>
      </w:r>
    </w:p>
    <w:p w14:paraId="5B9A2BAF">
      <w:pPr>
        <w:ind w:firstLine="422" w:firstLineChars="200"/>
        <w:rPr>
          <w:rFonts w:hint="eastAsia"/>
          <w:b/>
          <w:bCs/>
          <w:color w:val="auto"/>
          <w:lang w:eastAsia="zh-CN"/>
        </w:rPr>
      </w:pPr>
      <w:r>
        <w:rPr>
          <w:rFonts w:hint="eastAsia"/>
          <w:b/>
          <w:bCs/>
          <w:color w:val="auto"/>
          <w:lang w:eastAsia="zh-CN"/>
        </w:rPr>
        <w:t>①中标结果公告之后，中标单位因受其他供应商质疑投诉其在投标过程存在虚假响应或违法违纪问题，并经财政主管单位核实被依法取消中标资格解除合同的；</w:t>
      </w:r>
    </w:p>
    <w:p w14:paraId="461AB2F0">
      <w:pPr>
        <w:ind w:firstLine="422" w:firstLineChars="200"/>
        <w:rPr>
          <w:rFonts w:hint="eastAsia"/>
          <w:b/>
          <w:bCs/>
          <w:color w:val="auto"/>
          <w:lang w:eastAsia="zh-CN"/>
        </w:rPr>
      </w:pPr>
      <w:r>
        <w:rPr>
          <w:rFonts w:hint="eastAsia"/>
          <w:b/>
          <w:bCs/>
          <w:color w:val="auto"/>
          <w:lang w:eastAsia="zh-CN"/>
        </w:rPr>
        <w:t>②履约服务过程中出现某一标段范围内配送供应商出现严重违反采购要求或不符合考核要求，需解除合同的。</w:t>
      </w:r>
    </w:p>
    <w:p w14:paraId="550F042F">
      <w:pPr>
        <w:ind w:firstLine="422" w:firstLineChars="200"/>
        <w:rPr>
          <w:rFonts w:hint="eastAsia"/>
          <w:b/>
          <w:bCs/>
          <w:color w:val="auto"/>
          <w:lang w:eastAsia="zh-CN"/>
        </w:rPr>
      </w:pPr>
      <w:r>
        <w:rPr>
          <w:rFonts w:hint="eastAsia"/>
          <w:b/>
          <w:bCs/>
          <w:color w:val="auto"/>
          <w:lang w:eastAsia="zh-CN"/>
        </w:rPr>
        <w:t>出现以上任意一种情形的，经相关部门同意后，在重新招标完成以前，该标段范围内的配送服务将由另外标段中的一名中标人作为应急替补供应商临时提供，替补方式为按照其他标段中标人综合得分高低依次替补（同等分值抽签确定替补名单），临时配送期限至重新招标确定的供应商履约。</w:t>
      </w:r>
    </w:p>
    <w:p w14:paraId="1DADFCC8">
      <w:pPr>
        <w:ind w:firstLine="422" w:firstLineChars="200"/>
        <w:rPr>
          <w:rFonts w:hint="eastAsia"/>
          <w:b/>
          <w:bCs/>
          <w:color w:val="auto"/>
          <w:lang w:eastAsia="zh-CN"/>
        </w:rPr>
      </w:pPr>
      <w:r>
        <w:rPr>
          <w:rFonts w:hint="eastAsia"/>
          <w:b/>
          <w:bCs/>
          <w:color w:val="auto"/>
          <w:lang w:eastAsia="zh-CN"/>
        </w:rPr>
        <w:t>根据投标供应商综合评审后得分由高到低顺序排列，排名前</w:t>
      </w:r>
      <w:r>
        <w:rPr>
          <w:rFonts w:hint="eastAsia"/>
          <w:b/>
          <w:bCs/>
          <w:color w:val="auto"/>
          <w:lang w:val="en-US" w:eastAsia="zh-CN"/>
        </w:rPr>
        <w:t>2</w:t>
      </w:r>
      <w:r>
        <w:rPr>
          <w:rFonts w:hint="eastAsia"/>
          <w:b/>
          <w:bCs/>
          <w:color w:val="auto"/>
          <w:lang w:eastAsia="zh-CN"/>
        </w:rPr>
        <w:t>名为中标人。</w:t>
      </w:r>
    </w:p>
    <w:p w14:paraId="021A5B21">
      <w:pPr>
        <w:ind w:firstLine="422" w:firstLineChars="200"/>
        <w:rPr>
          <w:rFonts w:hint="eastAsia"/>
          <w:b/>
          <w:bCs/>
          <w:color w:val="auto"/>
          <w:highlight w:val="none"/>
          <w:lang w:eastAsia="zh-CN"/>
        </w:rPr>
      </w:pPr>
      <w:r>
        <w:rPr>
          <w:rFonts w:hint="eastAsia"/>
          <w:b/>
          <w:bCs/>
          <w:color w:val="auto"/>
          <w:highlight w:val="none"/>
          <w:lang w:eastAsia="zh-CN"/>
        </w:rPr>
        <w:t>第一名负责深圳市公安局龙华分局民治派出所、民新派出所、上塘派出所3个食堂（第一标段），年度支付上限950.64万元；</w:t>
      </w:r>
    </w:p>
    <w:p w14:paraId="7CE152A4">
      <w:pPr>
        <w:ind w:firstLine="422" w:firstLineChars="200"/>
        <w:rPr>
          <w:rFonts w:hint="eastAsia"/>
          <w:b/>
          <w:bCs/>
          <w:color w:val="auto"/>
          <w:highlight w:val="none"/>
          <w:lang w:eastAsia="zh-CN"/>
        </w:rPr>
      </w:pPr>
      <w:r>
        <w:rPr>
          <w:rFonts w:hint="eastAsia"/>
          <w:b/>
          <w:bCs/>
          <w:color w:val="auto"/>
          <w:highlight w:val="none"/>
          <w:lang w:eastAsia="zh-CN"/>
        </w:rPr>
        <w:t>第二名负责深圳市公安局龙华分局龙城派出所、龙华派出所2个食堂（第二标段），年度支付上限649.74万元；</w:t>
      </w:r>
    </w:p>
    <w:p w14:paraId="0BCF9353">
      <w:pPr>
        <w:ind w:firstLine="422" w:firstLineChars="200"/>
        <w:rPr>
          <w:rFonts w:hint="eastAsia"/>
          <w:b/>
          <w:bCs/>
          <w:color w:val="auto"/>
          <w:lang w:eastAsia="zh-CN"/>
        </w:rPr>
      </w:pPr>
      <w:r>
        <w:rPr>
          <w:rFonts w:hint="eastAsia"/>
          <w:b/>
          <w:bCs/>
          <w:color w:val="auto"/>
          <w:lang w:val="en-US" w:eastAsia="zh-CN"/>
        </w:rPr>
        <w:t>4.2</w:t>
      </w:r>
      <w:r>
        <w:rPr>
          <w:rFonts w:hint="eastAsia"/>
          <w:b/>
          <w:bCs/>
          <w:color w:val="auto"/>
          <w:lang w:eastAsia="zh-CN"/>
        </w:rPr>
        <w:t>本项目各标段若出现部分标段中标供应商放弃中标资格，或者中标资格被依法确认无效的情形，不影响其他标段的中标结果。</w:t>
      </w:r>
    </w:p>
    <w:p w14:paraId="7C0D1191">
      <w:pPr>
        <w:ind w:firstLine="422" w:firstLineChars="200"/>
        <w:rPr>
          <w:rFonts w:hint="eastAsia"/>
          <w:b/>
          <w:bCs/>
          <w:color w:val="auto"/>
          <w:lang w:eastAsia="zh-CN"/>
        </w:rPr>
      </w:pPr>
      <w:r>
        <w:rPr>
          <w:rFonts w:hint="eastAsia"/>
          <w:b/>
          <w:bCs/>
          <w:color w:val="auto"/>
          <w:lang w:eastAsia="zh-CN"/>
        </w:rPr>
        <w:t>特别说明：</w:t>
      </w:r>
    </w:p>
    <w:p w14:paraId="59088D5E">
      <w:pPr>
        <w:ind w:firstLine="422" w:firstLineChars="200"/>
        <w:rPr>
          <w:rFonts w:hint="eastAsia"/>
          <w:b/>
          <w:bCs/>
          <w:color w:val="auto"/>
          <w:lang w:eastAsia="zh-CN"/>
        </w:rPr>
      </w:pPr>
      <w:r>
        <w:rPr>
          <w:rFonts w:hint="eastAsia"/>
          <w:b/>
          <w:bCs/>
          <w:color w:val="auto"/>
          <w:lang w:eastAsia="zh-CN"/>
        </w:rPr>
        <w:t>投标人制作标书时，其投标方案只需针对第一标段来制定，其适用范围包含但不仅限于第一标段，其他标段同样适用该投标方案。</w:t>
      </w:r>
    </w:p>
    <w:p w14:paraId="03508C49">
      <w:pPr>
        <w:pStyle w:val="2"/>
        <w:rPr>
          <w:rFonts w:hint="eastAsia"/>
        </w:rPr>
      </w:pPr>
    </w:p>
    <w:p w14:paraId="68C5BA27">
      <w:pPr>
        <w:pStyle w:val="2"/>
        <w:rPr>
          <w:rFonts w:hint="eastAsia"/>
        </w:rPr>
      </w:pPr>
    </w:p>
    <w:p w14:paraId="346F6AF4">
      <w:pPr>
        <w:pStyle w:val="2"/>
        <w:rPr>
          <w:rFonts w:hint="eastAsia"/>
        </w:rPr>
      </w:pPr>
    </w:p>
    <w:p w14:paraId="5E5E9425">
      <w:pPr>
        <w:rPr>
          <w:rFonts w:hint="eastAsia"/>
        </w:rPr>
      </w:pPr>
      <w:r>
        <w:rPr>
          <w:rFonts w:hint="eastAsia"/>
        </w:rPr>
        <w:br w:type="page"/>
      </w:r>
    </w:p>
    <w:p w14:paraId="539F7380">
      <w:pPr>
        <w:pStyle w:val="2"/>
      </w:pPr>
      <w:r>
        <w:rPr>
          <w:rFonts w:hint="eastAsia"/>
        </w:rPr>
        <w:t>目录</w:t>
      </w:r>
    </w:p>
    <w:p w14:paraId="5835D07A">
      <w:pPr>
        <w:rPr>
          <w:b/>
          <w:sz w:val="24"/>
        </w:rPr>
      </w:pPr>
      <w:r>
        <w:rPr>
          <w:rFonts w:hint="eastAsia"/>
          <w:b/>
          <w:sz w:val="24"/>
        </w:rPr>
        <w:t>第一册专用条款</w:t>
      </w:r>
    </w:p>
    <w:p w14:paraId="169099C6">
      <w:pPr>
        <w:rPr>
          <w:sz w:val="24"/>
        </w:rPr>
      </w:pPr>
      <w:r>
        <w:rPr>
          <w:rFonts w:hint="eastAsia"/>
          <w:sz w:val="24"/>
        </w:rPr>
        <w:t>关键信息</w:t>
      </w:r>
    </w:p>
    <w:p w14:paraId="2DDE482E">
      <w:pPr>
        <w:ind w:left="630" w:leftChars="300" w:firstLine="630" w:firstLineChars="300"/>
        <w:rPr>
          <w:rFonts w:ascii="宋体"/>
          <w:szCs w:val="21"/>
        </w:rPr>
      </w:pPr>
      <w:r>
        <w:rPr>
          <w:rFonts w:hint="eastAsia" w:ascii="宋体" w:hAnsi="宋体"/>
          <w:szCs w:val="21"/>
        </w:rPr>
        <w:t>第一章招标公告</w:t>
      </w:r>
    </w:p>
    <w:p w14:paraId="5EFD633B">
      <w:pPr>
        <w:ind w:left="630" w:leftChars="300" w:firstLine="630" w:firstLineChars="300"/>
        <w:rPr>
          <w:rFonts w:ascii="宋体"/>
          <w:szCs w:val="21"/>
        </w:rPr>
      </w:pPr>
      <w:r>
        <w:rPr>
          <w:rFonts w:hint="eastAsia" w:ascii="宋体" w:hAnsi="宋体"/>
          <w:szCs w:val="21"/>
        </w:rPr>
        <w:t>第二章招标项目需求</w:t>
      </w:r>
    </w:p>
    <w:p w14:paraId="56B0E1BA">
      <w:pPr>
        <w:ind w:left="630" w:leftChars="300" w:firstLine="630" w:firstLineChars="300"/>
        <w:rPr>
          <w:rFonts w:ascii="宋体"/>
          <w:szCs w:val="21"/>
        </w:rPr>
      </w:pPr>
      <w:r>
        <w:rPr>
          <w:rFonts w:hint="eastAsia" w:ascii="宋体" w:hAnsi="宋体"/>
          <w:szCs w:val="21"/>
        </w:rPr>
        <w:t>第三章投标文件格式、附件</w:t>
      </w:r>
    </w:p>
    <w:p w14:paraId="56896D98">
      <w:pPr>
        <w:ind w:left="630" w:leftChars="300" w:firstLine="630" w:firstLineChars="300"/>
        <w:rPr>
          <w:rFonts w:ascii="宋体"/>
          <w:szCs w:val="21"/>
        </w:rPr>
      </w:pPr>
      <w:r>
        <w:rPr>
          <w:rFonts w:hint="eastAsia" w:ascii="宋体" w:hAnsi="宋体"/>
          <w:szCs w:val="21"/>
        </w:rPr>
        <w:t>第四章政府采购合同的签订、履行及验收</w:t>
      </w:r>
    </w:p>
    <w:p w14:paraId="1195E1BA">
      <w:pPr>
        <w:rPr>
          <w:b/>
          <w:sz w:val="24"/>
        </w:rPr>
      </w:pPr>
    </w:p>
    <w:p w14:paraId="349C106A">
      <w:pPr>
        <w:rPr>
          <w:b/>
          <w:sz w:val="24"/>
        </w:rPr>
      </w:pPr>
      <w:r>
        <w:rPr>
          <w:rFonts w:hint="eastAsia"/>
          <w:b/>
          <w:sz w:val="24"/>
        </w:rPr>
        <w:t>第二册通用条款</w:t>
      </w:r>
    </w:p>
    <w:p w14:paraId="0F49EFC3">
      <w:pPr>
        <w:rPr>
          <w:rFonts w:ascii="宋体"/>
          <w:szCs w:val="21"/>
        </w:rPr>
      </w:pPr>
    </w:p>
    <w:p w14:paraId="2F039D81">
      <w:pPr>
        <w:pStyle w:val="18"/>
      </w:pPr>
    </w:p>
    <w:p w14:paraId="6113CBB4">
      <w:pPr>
        <w:rPr>
          <w:b/>
        </w:rPr>
      </w:pPr>
      <w:r>
        <w:rPr>
          <w:rFonts w:hint="eastAsia"/>
          <w:b/>
        </w:rPr>
        <w:t>备注：</w:t>
      </w:r>
    </w:p>
    <w:p w14:paraId="7F320D8F">
      <w:pPr>
        <w:ind w:firstLine="420" w:firstLineChars="200"/>
        <w:rPr>
          <w:b/>
        </w:rPr>
      </w:pPr>
      <w:r>
        <w:rPr>
          <w:rFonts w:ascii="宋体" w:hAnsi="宋体"/>
          <w:szCs w:val="21"/>
        </w:rPr>
        <w:t>1.</w:t>
      </w:r>
      <w:r>
        <w:rPr>
          <w:rFonts w:hint="eastAsia" w:ascii="宋体" w:hAnsi="宋体"/>
          <w:szCs w:val="21"/>
        </w:rPr>
        <w:t>本招标文件分为第一册“专用条款”和第二册“通用条款”。</w:t>
      </w:r>
    </w:p>
    <w:p w14:paraId="3B481AE6">
      <w:pPr>
        <w:spacing w:line="360" w:lineRule="auto"/>
        <w:ind w:firstLine="420" w:firstLineChars="200"/>
        <w:jc w:val="left"/>
        <w:rPr>
          <w:rFonts w:ascii="宋体"/>
          <w:szCs w:val="21"/>
        </w:rPr>
      </w:pPr>
      <w:r>
        <w:rPr>
          <w:rFonts w:ascii="宋体" w:hAnsi="宋体"/>
          <w:szCs w:val="21"/>
        </w:rPr>
        <w:t>2.</w:t>
      </w:r>
      <w:r>
        <w:rPr>
          <w:rFonts w:hint="eastAsia" w:ascii="宋体" w:hAnsi="宋体"/>
          <w:szCs w:val="21"/>
        </w:rPr>
        <w:t>“专用条款”是对本次采购项目的具体要求，包含招标公告、招标项目需求、投标文件格式、合同条款及格式、附件等内容。</w:t>
      </w:r>
    </w:p>
    <w:p w14:paraId="082BD3EF">
      <w:pPr>
        <w:spacing w:line="360" w:lineRule="auto"/>
        <w:ind w:firstLine="420" w:firstLineChars="200"/>
        <w:jc w:val="left"/>
        <w:rPr>
          <w:rFonts w:ascii="宋体"/>
          <w:szCs w:val="21"/>
        </w:rPr>
      </w:pPr>
      <w:r>
        <w:rPr>
          <w:rFonts w:ascii="宋体" w:hAnsi="宋体"/>
          <w:szCs w:val="21"/>
        </w:rPr>
        <w:t>3.</w:t>
      </w:r>
      <w:r>
        <w:rPr>
          <w:rFonts w:hint="eastAsia" w:ascii="宋体" w:hAnsi="宋体"/>
          <w:szCs w:val="21"/>
        </w:rPr>
        <w:t>“通用条款”是通用于政府采购项目的基础性条款，具有普遍性和通用性。</w:t>
      </w:r>
    </w:p>
    <w:p w14:paraId="632C4EBE">
      <w:pPr>
        <w:spacing w:line="360" w:lineRule="auto"/>
        <w:ind w:firstLine="420" w:firstLineChars="200"/>
        <w:jc w:val="left"/>
        <w:rPr>
          <w:rFonts w:ascii="宋体"/>
          <w:szCs w:val="21"/>
        </w:rPr>
      </w:pPr>
      <w:r>
        <w:rPr>
          <w:rFonts w:ascii="宋体" w:hAnsi="宋体"/>
          <w:szCs w:val="21"/>
        </w:rPr>
        <w:t>4.</w:t>
      </w:r>
      <w:r>
        <w:rPr>
          <w:rFonts w:hint="eastAsia" w:ascii="宋体" w:hAnsi="宋体"/>
          <w:szCs w:val="21"/>
        </w:rPr>
        <w:t>当出现“专用条款”和“通用条款”表述不一致或有冲突时，以“专用条款”为准。</w:t>
      </w:r>
    </w:p>
    <w:p w14:paraId="535FAB82">
      <w:r>
        <w:br w:type="page"/>
      </w:r>
      <w:bookmarkStart w:id="3" w:name="bt技术标投标文件格式"/>
      <w:bookmarkEnd w:id="3"/>
      <w:bookmarkStart w:id="4" w:name="bt合同条款"/>
      <w:bookmarkEnd w:id="4"/>
      <w:bookmarkStart w:id="5" w:name="合同格式"/>
      <w:bookmarkEnd w:id="5"/>
      <w:bookmarkStart w:id="6" w:name="bt项目管理班子配备情况"/>
      <w:bookmarkEnd w:id="6"/>
      <w:bookmarkStart w:id="7" w:name="bt其他资料2"/>
      <w:bookmarkEnd w:id="7"/>
      <w:bookmarkStart w:id="8" w:name="bt投标人情况介绍"/>
      <w:bookmarkEnd w:id="8"/>
      <w:bookmarkStart w:id="9" w:name="bt商务标投标文件格式"/>
      <w:bookmarkEnd w:id="9"/>
      <w:bookmarkStart w:id="10" w:name="bt开标一览表"/>
      <w:bookmarkEnd w:id="10"/>
      <w:bookmarkStart w:id="11" w:name="bt投标函"/>
      <w:bookmarkEnd w:id="11"/>
      <w:bookmarkStart w:id="12" w:name="bt合同格式"/>
      <w:bookmarkEnd w:id="12"/>
      <w:bookmarkStart w:id="13" w:name="bt投标人须知"/>
      <w:bookmarkEnd w:id="13"/>
      <w:bookmarkStart w:id="14" w:name="bt合同条款及格式"/>
      <w:bookmarkEnd w:id="14"/>
      <w:bookmarkStart w:id="15" w:name="bt投标文件签署授权委托书"/>
      <w:bookmarkEnd w:id="15"/>
      <w:bookmarkStart w:id="16" w:name="bt说明"/>
      <w:bookmarkEnd w:id="16"/>
      <w:bookmarkStart w:id="17" w:name="bt其他资料由投标人自定"/>
      <w:bookmarkEnd w:id="17"/>
      <w:bookmarkStart w:id="18" w:name="bt本工程承诺书"/>
      <w:bookmarkEnd w:id="18"/>
      <w:bookmarkStart w:id="19" w:name="bt投标报价汇总表"/>
      <w:bookmarkEnd w:id="19"/>
    </w:p>
    <w:p w14:paraId="4B1C413B">
      <w:pPr>
        <w:pStyle w:val="2"/>
        <w:spacing w:before="0" w:after="0" w:line="400" w:lineRule="exact"/>
        <w:rPr>
          <w:sz w:val="40"/>
          <w:szCs w:val="72"/>
        </w:rPr>
      </w:pPr>
      <w:r>
        <w:rPr>
          <w:rFonts w:hint="eastAsia"/>
          <w:sz w:val="32"/>
          <w:szCs w:val="72"/>
        </w:rPr>
        <w:t>第一册专用条款</w:t>
      </w:r>
    </w:p>
    <w:p w14:paraId="0B9CD9C1">
      <w:pPr>
        <w:pStyle w:val="3"/>
        <w:rPr>
          <w:b/>
          <w:bCs/>
          <w:sz w:val="32"/>
          <w:szCs w:val="22"/>
        </w:rPr>
      </w:pPr>
      <w:r>
        <w:rPr>
          <w:rFonts w:hint="eastAsia"/>
          <w:b/>
          <w:bCs/>
          <w:sz w:val="32"/>
          <w:szCs w:val="22"/>
        </w:rPr>
        <w:t>第一章招标公告</w:t>
      </w:r>
    </w:p>
    <w:tbl>
      <w:tblPr>
        <w:tblStyle w:val="4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8306"/>
      </w:tblGrid>
      <w:tr w14:paraId="5DCAB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shd w:val="clear" w:color="auto" w:fill="auto"/>
            <w:tcMar>
              <w:top w:w="0" w:type="dxa"/>
              <w:left w:w="0" w:type="dxa"/>
              <w:bottom w:w="0" w:type="dxa"/>
              <w:right w:w="0" w:type="dxa"/>
            </w:tcMar>
            <w:vAlign w:val="center"/>
          </w:tcPr>
          <w:p w14:paraId="55045A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项目概况</w:t>
            </w:r>
          </w:p>
          <w:p w14:paraId="56973B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深圳市公安局龙华分局民治等5个派出所食堂物资配送招标项目的潜在投标人应在（本公告附件中）获取招标文件，并于2025年*月*日 *:30（北京时间）前递交投标文件。</w:t>
            </w:r>
          </w:p>
          <w:p w14:paraId="634A35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一、项目基本情况：</w:t>
            </w:r>
          </w:p>
          <w:p w14:paraId="486260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1.项目编号：</w:t>
            </w:r>
            <w:r>
              <w:rPr>
                <w:rFonts w:hint="eastAsia" w:ascii="宋体" w:hAnsi="宋体" w:eastAsia="宋体" w:cs="宋体"/>
                <w:color w:val="auto"/>
                <w:kern w:val="0"/>
                <w:sz w:val="21"/>
                <w:szCs w:val="21"/>
                <w:highlight w:val="yellow"/>
                <w:lang w:val="en-US" w:eastAsia="zh-CN" w:bidi="ar"/>
              </w:rPr>
              <w:t>（待系统生成编号）</w:t>
            </w:r>
          </w:p>
          <w:p w14:paraId="3BFBA4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2.项目名称：深圳市公安局龙华分局民治等5个派出所食堂物资配送</w:t>
            </w:r>
          </w:p>
          <w:p w14:paraId="6BB5D5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3.预算金额（单位：元）：16,003,800.00</w:t>
            </w:r>
          </w:p>
          <w:p w14:paraId="7792F0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4.最高限价：人民币16,003,800.00元</w:t>
            </w:r>
          </w:p>
          <w:p w14:paraId="68F6EE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5.采购需求：</w:t>
            </w:r>
          </w:p>
          <w:tbl>
            <w:tblPr>
              <w:tblStyle w:val="44"/>
              <w:tblW w:w="4773" w:type="pct"/>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374"/>
              <w:gridCol w:w="790"/>
              <w:gridCol w:w="396"/>
              <w:gridCol w:w="1582"/>
              <w:gridCol w:w="2773"/>
            </w:tblGrid>
            <w:tr w14:paraId="7C88CF3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892" w:hRule="atLeast"/>
              </w:trPr>
              <w:tc>
                <w:tcPr>
                  <w:tcW w:w="1499" w:type="pct"/>
                  <w:tcBorders>
                    <w:tl2br w:val="nil"/>
                    <w:tr2bl w:val="nil"/>
                  </w:tcBorders>
                  <w:shd w:val="clear" w:color="auto" w:fill="auto"/>
                  <w:tcMar>
                    <w:top w:w="0" w:type="dxa"/>
                    <w:left w:w="0" w:type="dxa"/>
                    <w:bottom w:w="0" w:type="dxa"/>
                    <w:right w:w="0" w:type="dxa"/>
                  </w:tcMar>
                  <w:vAlign w:val="center"/>
                </w:tcPr>
                <w:p w14:paraId="2BA8A9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标的名称</w:t>
                  </w:r>
                </w:p>
              </w:tc>
              <w:tc>
                <w:tcPr>
                  <w:tcW w:w="499" w:type="pct"/>
                  <w:tcBorders>
                    <w:tl2br w:val="nil"/>
                    <w:tr2bl w:val="nil"/>
                  </w:tcBorders>
                  <w:shd w:val="clear" w:color="auto" w:fill="auto"/>
                  <w:tcMar>
                    <w:top w:w="0" w:type="dxa"/>
                    <w:left w:w="0" w:type="dxa"/>
                    <w:bottom w:w="0" w:type="dxa"/>
                    <w:right w:w="0" w:type="dxa"/>
                  </w:tcMar>
                  <w:vAlign w:val="center"/>
                </w:tcPr>
                <w:p w14:paraId="09A2A2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数量</w:t>
                  </w:r>
                </w:p>
              </w:tc>
              <w:tc>
                <w:tcPr>
                  <w:tcW w:w="250" w:type="pct"/>
                  <w:tcBorders>
                    <w:tl2br w:val="nil"/>
                    <w:tr2bl w:val="nil"/>
                  </w:tcBorders>
                  <w:shd w:val="clear" w:color="auto" w:fill="auto"/>
                  <w:tcMar>
                    <w:top w:w="0" w:type="dxa"/>
                    <w:left w:w="0" w:type="dxa"/>
                    <w:bottom w:w="0" w:type="dxa"/>
                    <w:right w:w="0" w:type="dxa"/>
                  </w:tcMar>
                  <w:vAlign w:val="center"/>
                </w:tcPr>
                <w:p w14:paraId="223575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单位</w:t>
                  </w:r>
                </w:p>
              </w:tc>
              <w:tc>
                <w:tcPr>
                  <w:tcW w:w="999" w:type="pct"/>
                  <w:tcBorders>
                    <w:tl2br w:val="nil"/>
                    <w:tr2bl w:val="nil"/>
                  </w:tcBorders>
                  <w:shd w:val="clear" w:color="auto" w:fill="auto"/>
                  <w:tcMar>
                    <w:top w:w="0" w:type="dxa"/>
                    <w:left w:w="0" w:type="dxa"/>
                    <w:bottom w:w="0" w:type="dxa"/>
                    <w:right w:w="0" w:type="dxa"/>
                  </w:tcMar>
                  <w:vAlign w:val="center"/>
                </w:tcPr>
                <w:p w14:paraId="16F42D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简要技术需求（服务需求）</w:t>
                  </w:r>
                </w:p>
              </w:tc>
              <w:tc>
                <w:tcPr>
                  <w:tcW w:w="1750" w:type="pct"/>
                  <w:tcBorders>
                    <w:tl2br w:val="nil"/>
                    <w:tr2bl w:val="nil"/>
                  </w:tcBorders>
                  <w:shd w:val="clear" w:color="auto" w:fill="auto"/>
                  <w:tcMar>
                    <w:top w:w="0" w:type="dxa"/>
                    <w:left w:w="0" w:type="dxa"/>
                    <w:bottom w:w="0" w:type="dxa"/>
                    <w:right w:w="0" w:type="dxa"/>
                  </w:tcMar>
                  <w:vAlign w:val="center"/>
                </w:tcPr>
                <w:p w14:paraId="210A52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备注</w:t>
                  </w:r>
                </w:p>
              </w:tc>
            </w:tr>
            <w:tr w14:paraId="265891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1344" w:hRule="atLeast"/>
              </w:trPr>
              <w:tc>
                <w:tcPr>
                  <w:tcW w:w="0" w:type="auto"/>
                  <w:tcBorders>
                    <w:tl2br w:val="nil"/>
                    <w:tr2bl w:val="nil"/>
                  </w:tcBorders>
                  <w:shd w:val="clear" w:color="auto" w:fill="auto"/>
                  <w:tcMar>
                    <w:top w:w="0" w:type="dxa"/>
                    <w:left w:w="0" w:type="dxa"/>
                    <w:bottom w:w="0" w:type="dxa"/>
                    <w:right w:w="0" w:type="dxa"/>
                  </w:tcMar>
                  <w:vAlign w:val="center"/>
                </w:tcPr>
                <w:p w14:paraId="101027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深圳市公安局龙华分局民治等5个派出所食堂物资配送</w:t>
                  </w:r>
                </w:p>
              </w:tc>
              <w:tc>
                <w:tcPr>
                  <w:tcW w:w="0" w:type="auto"/>
                  <w:tcBorders>
                    <w:tl2br w:val="nil"/>
                    <w:tr2bl w:val="nil"/>
                  </w:tcBorders>
                  <w:shd w:val="clear" w:color="auto" w:fill="auto"/>
                  <w:tcMar>
                    <w:top w:w="0" w:type="dxa"/>
                    <w:left w:w="0" w:type="dxa"/>
                    <w:bottom w:w="0" w:type="dxa"/>
                    <w:right w:w="0" w:type="dxa"/>
                  </w:tcMar>
                  <w:vAlign w:val="center"/>
                </w:tcPr>
                <w:p w14:paraId="1BA6E4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1</w:t>
                  </w:r>
                </w:p>
              </w:tc>
              <w:tc>
                <w:tcPr>
                  <w:tcW w:w="0" w:type="auto"/>
                  <w:tcBorders>
                    <w:tl2br w:val="nil"/>
                    <w:tr2bl w:val="nil"/>
                  </w:tcBorders>
                  <w:shd w:val="clear" w:color="auto" w:fill="auto"/>
                  <w:tcMar>
                    <w:top w:w="0" w:type="dxa"/>
                    <w:left w:w="0" w:type="dxa"/>
                    <w:bottom w:w="0" w:type="dxa"/>
                    <w:right w:w="0" w:type="dxa"/>
                  </w:tcMar>
                  <w:vAlign w:val="center"/>
                </w:tcPr>
                <w:p w14:paraId="666B80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项</w:t>
                  </w:r>
                </w:p>
              </w:tc>
              <w:tc>
                <w:tcPr>
                  <w:tcW w:w="0" w:type="auto"/>
                  <w:tcBorders>
                    <w:tl2br w:val="nil"/>
                    <w:tr2bl w:val="nil"/>
                  </w:tcBorders>
                  <w:shd w:val="clear" w:color="auto" w:fill="auto"/>
                  <w:tcMar>
                    <w:top w:w="0" w:type="dxa"/>
                    <w:left w:w="0" w:type="dxa"/>
                    <w:bottom w:w="0" w:type="dxa"/>
                    <w:right w:w="0" w:type="dxa"/>
                  </w:tcMar>
                  <w:vAlign w:val="center"/>
                </w:tcPr>
                <w:p w14:paraId="4DFCD7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详见招标文件</w:t>
                  </w:r>
                </w:p>
              </w:tc>
              <w:tc>
                <w:tcPr>
                  <w:tcW w:w="0" w:type="auto"/>
                  <w:tcBorders>
                    <w:tl2br w:val="nil"/>
                    <w:tr2bl w:val="nil"/>
                  </w:tcBorders>
                  <w:shd w:val="clear" w:color="auto" w:fill="auto"/>
                  <w:tcMar>
                    <w:top w:w="0" w:type="dxa"/>
                    <w:left w:w="0" w:type="dxa"/>
                    <w:bottom w:w="0" w:type="dxa"/>
                    <w:right w:w="0" w:type="dxa"/>
                  </w:tcMar>
                  <w:vAlign w:val="center"/>
                </w:tcPr>
                <w:p w14:paraId="7145FE7A">
                  <w:pPr>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 w:val="21"/>
                      <w:szCs w:val="21"/>
                    </w:rPr>
                  </w:pPr>
                </w:p>
              </w:tc>
            </w:tr>
          </w:tbl>
          <w:p w14:paraId="3303B8C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6.合同履行期限：详见招标文件用户需求书。</w:t>
            </w:r>
          </w:p>
          <w:p w14:paraId="5E050928">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7.本项目不接受联合体投标，详见“申请人的资格要求”。</w:t>
            </w:r>
          </w:p>
          <w:p w14:paraId="7E449135">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二、申请人的资格要求：</w:t>
            </w:r>
          </w:p>
          <w:p w14:paraId="22E6CE3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1.满足《中华人民共和国政府采购法》第二十二条第一款的条件（由供应商在《政府采购投标及履约承诺函》中作出声明）；</w:t>
            </w:r>
          </w:p>
          <w:p w14:paraId="73933591">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具有独立法人资格或是具有独立承担民事责任能力的其它组织（提供营业执照（或事业单位法人证书）或其它具有独立承担民事责任能力的登记证明资料扫描件，原件备查；如为分公司参加投标的，须由总公司出具总公司授权且愿为其参与本项目投标及履约行为承担民事责任的《授权承诺书》（格式自定）以及分公司《营业执照》、总公司《营业执照》扫描件，原件备查。（总公司和分公司不得同时参与本项目投标，且同属一家总公司授权的两个或以上分公司不得同时参与本项目投标。若出现前述情况，则该投标人及其所属全部分公司的投标文件均不予受理）。</w:t>
            </w:r>
          </w:p>
          <w:p w14:paraId="793AF41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3.参与本项目投标前三年内，在经营活动中没有重大违法记录（由供应商在《政府采购投标及履约承诺函》中作出声明）。</w:t>
            </w:r>
          </w:p>
          <w:p w14:paraId="6F3325E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4.参与本项目政府采购活动时不存在被有关部门禁止参与政府采购活动且在有效期内的情况（由供应商在《政府采购投标及履约承诺函》中作出声明）。</w:t>
            </w:r>
          </w:p>
          <w:p w14:paraId="22BB1E0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5.依据《中华人民共和国政府采购法实施条例》第十八条规定，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由供应商在《政府采购投标及履约承诺函》中作出声明）。</w:t>
            </w:r>
          </w:p>
          <w:p w14:paraId="5181E6A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6.未被列入失信被执行人、重大税收违法案件当事人名单、政府采购严重违法失信行为记录名单（由供应商在《政府采购投标及履约承诺函》中作出声明）。</w:t>
            </w:r>
          </w:p>
          <w:p w14:paraId="7FAF3579">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注：“信用中国”、“中国政府采购网”、“深圳信用网”以及“深圳市政府采购监管网”为供应商信用信息的查询渠道，相关信息以开标当日的查询结果为准。</w:t>
            </w:r>
          </w:p>
          <w:p w14:paraId="04E815DA">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7.不存在《深圳市财政局政府采购供应商信用信息管理办法》（深财规（2023）3号）列明的严重违法失信行为（由供应商在《政府采购投标及履约承诺函》中作出声明）。</w:t>
            </w:r>
          </w:p>
          <w:p w14:paraId="0C50D9E8">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8.本项目不接受联合体投标，不接受投标人选用进口产品参与投标，不允许转包、分包。</w:t>
            </w:r>
          </w:p>
          <w:p w14:paraId="7CBC01DE">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9.本项目是（否）专门面向中小企业采购：本项目专门面向中小企业（投标人需提供符合要求的《中小企业声明函》；如投标人为残疾人福利性单位或监狱企业，视同小型、微型企业，提供《残疾人福利性单位声明函》或《监狱企业声明函》及监狱企业证明文件亦视为符合）。</w:t>
            </w:r>
          </w:p>
          <w:p w14:paraId="08D246DA">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p>
          <w:p w14:paraId="7468564D">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三、获取招标文件</w:t>
            </w:r>
          </w:p>
          <w:p w14:paraId="39A9893D">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时间：自本公告发布之日起至2025年*月*日（北京时间）。</w:t>
            </w:r>
          </w:p>
          <w:p w14:paraId="36E3D98B">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地点：登录深圳政府采购智慧(监管)平台（http://zfcg.szggzy.com:8081/）下载本项目的招标文件。</w:t>
            </w:r>
          </w:p>
          <w:p w14:paraId="05EAC205">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方式：在线下载。</w:t>
            </w:r>
          </w:p>
          <w:p w14:paraId="10DD15E3">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售价：免费 。</w:t>
            </w:r>
          </w:p>
          <w:p w14:paraId="25080CA9">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凡已注册的深圳市网上政府采购供应商，按照授予的操作权限，可于自本公告发布之日起至2025年*月*日 *:30期间登录深圳政府采购智慧（监管）平台（http://zfcg.szggzy.com:8081/）下载本项目的采购文件。投标人如确定参加投标，首先要在深圳政府采购智慧(监管)平台网上办事子系统（http://zfcg.szggzy.com:8081/TPBidder/memberLogin）网上报名投标，方法为在网上办事子系统后点击“【招标公告】→【我要报名】”；如果网上报名后上传了投标文件，又不参加投标，应再到【我的项目】→【项目流程】→【递交投标(应答)文件】功能点中进行“【撤回本次投标】”操作；如果是未注册为深圳政府采购智慧(监管)平台（http://zfcg.szggzy.com:8081/）的供应商，请先办理密钥（</w:t>
            </w:r>
            <w:r>
              <w:rPr>
                <w:rFonts w:hint="eastAsia" w:ascii="宋体" w:hAnsi="宋体" w:eastAsia="宋体" w:cs="宋体"/>
                <w:color w:val="auto"/>
                <w:kern w:val="0"/>
                <w:sz w:val="21"/>
                <w:szCs w:val="21"/>
                <w:u w:val="single"/>
                <w:lang w:val="en-US" w:eastAsia="zh-CN" w:bidi="ar"/>
              </w:rPr>
              <w:fldChar w:fldCharType="begin"/>
            </w:r>
            <w:r>
              <w:rPr>
                <w:rFonts w:hint="eastAsia" w:ascii="宋体" w:hAnsi="宋体" w:eastAsia="宋体" w:cs="宋体"/>
                <w:color w:val="auto"/>
                <w:kern w:val="0"/>
                <w:sz w:val="21"/>
                <w:szCs w:val="21"/>
                <w:u w:val="single"/>
                <w:lang w:val="en-US" w:eastAsia="zh-CN" w:bidi="ar"/>
              </w:rPr>
              <w:instrText xml:space="preserve"> HYPERLINK "http://zfcg.szggzy.com:8081/TPBidder/CAHandle" </w:instrText>
            </w:r>
            <w:r>
              <w:rPr>
                <w:rFonts w:hint="eastAsia" w:ascii="宋体" w:hAnsi="宋体" w:eastAsia="宋体" w:cs="宋体"/>
                <w:color w:val="auto"/>
                <w:kern w:val="0"/>
                <w:sz w:val="21"/>
                <w:szCs w:val="21"/>
                <w:u w:val="single"/>
                <w:lang w:val="en-US" w:eastAsia="zh-CN" w:bidi="ar"/>
              </w:rPr>
              <w:fldChar w:fldCharType="separate"/>
            </w:r>
            <w:r>
              <w:rPr>
                <w:rStyle w:val="56"/>
                <w:rFonts w:hint="eastAsia" w:ascii="宋体" w:hAnsi="宋体" w:eastAsia="宋体" w:cs="宋体"/>
                <w:color w:val="auto"/>
                <w:sz w:val="21"/>
                <w:szCs w:val="21"/>
                <w:u w:val="single"/>
              </w:rPr>
              <w:t>请点击</w:t>
            </w:r>
            <w:r>
              <w:rPr>
                <w:rFonts w:hint="eastAsia" w:ascii="宋体" w:hAnsi="宋体" w:eastAsia="宋体" w:cs="宋体"/>
                <w:color w:val="auto"/>
                <w:kern w:val="0"/>
                <w:sz w:val="21"/>
                <w:szCs w:val="21"/>
                <w:u w:val="single"/>
                <w:lang w:val="en-US" w:eastAsia="zh-CN" w:bidi="ar"/>
              </w:rPr>
              <w:fldChar w:fldCharType="end"/>
            </w:r>
            <w:r>
              <w:rPr>
                <w:rFonts w:hint="eastAsia" w:ascii="宋体" w:hAnsi="宋体" w:eastAsia="宋体" w:cs="宋体"/>
                <w:color w:val="auto"/>
                <w:kern w:val="0"/>
                <w:sz w:val="21"/>
                <w:szCs w:val="21"/>
                <w:lang w:val="en-US" w:eastAsia="zh-CN" w:bidi="ar"/>
              </w:rPr>
              <w:t>），深圳市南山区沙河西路3185号南山智谷A座（深圳交易集团总部大楼）3楼前台（咨询电话：0755-83948165、0755-83938966、4008301330）绑定深圳政府采购智慧(监管)平台用户,再进行投标报名。在网上报名后，点击“【我的项目】→【项目流程】→【采购文件下载】”进行采购文件的下载。</w:t>
            </w:r>
          </w:p>
          <w:p w14:paraId="748F0A0B">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四、提交投标文件截止时间、开标时间和地点</w:t>
            </w:r>
          </w:p>
          <w:p w14:paraId="398832E8">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1.投标截止时间：所有投标文件应于2025年*月*日 *:30（北京时间）之前上传到深圳政府采购智慧(监管)平台（http://zfcg.szggzy.com:8081/）。具体操作为登录“深圳政府采购智慧(监管)平台用户网上办事子系统（http://zfcg.szggzy.com:8081/TPBidder/memberLogin）”，用“【我的项目】→【项目流程】→【递交投标(应答)文件】”功能点上传投标文件。本项目电子投标文件最大容量为100MB，超过此容量的文件将被拒绝。</w:t>
            </w:r>
          </w:p>
          <w:p w14:paraId="0FE8174D">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2.开标时间和地点：定于2025年*月*日 *:30（北京时间），在深圳公共资源交易中心（深圳市东海国际招标有限公司）公开开标。供应商可以登录“深圳政府采购智慧(监管)平台用户网上办事子系统（http://zfcg.szggzy.com:8081/TPBidder/memberLogin）”，在“【我的项目】→【项目流程】→【开标及解密】”进行在线解密、查询开标情况。</w:t>
            </w:r>
          </w:p>
          <w:p w14:paraId="7F63EA8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3.在线解密： 投标人须在开标当日2025-*-* *:30 ~ 2025-*-* *:30期间进行解密，逾期未解密的作无效处理。解密方法：登录“深圳政府采购智慧(监管)平台用户网上办事子系统（http://zfcg.szggzy.com:8081/TPBidder/memberLogin）”，使用本单位制作电子投标文件同一个电子密钥，在“【我的项目】→【项目流程】→【开标及解密】”进行在线解密、查询开标情况。</w:t>
            </w:r>
          </w:p>
          <w:p w14:paraId="5179FABE">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4.其他说明</w:t>
            </w:r>
          </w:p>
          <w:p w14:paraId="5F716FE3">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本项目允许使用电子营业执照加、解密，投标（应答）供应商在使用“投标文件制作专用软件”制作投标（应答）文件时，可以通过微信扫码功能调用“电子营业执照”小程序制作、加密、解密投标（应答）响应文件。供应商加密投标（应答）响应文件与开标解密必须使用同一种方式，否则解密失败，导致投标无效（即：使用电子执照加密的，后续开标只能使用电子执照解密）。 重要提示： （1）使用电子营业执照功能时，请确保已经在手机微信安装 “电子营业执照”小程序，或已安装了“电子营业执照”APP，并且在 “电子营业执照”小程序/app中完成相应的下载电子营业执照、法人授权、备份密钥等操作（具体详见国家工商总局网站），电子投标地区必须选择 “广东省-深圳市-深圳政府采购智慧平台”（请根据手机小程序/app提示进行设置，或拨打电子营业执照平台技术支持电话010-86355313，15921122750）。 （2）电子营业执照应用于投标文件制作和加解密属于创新应用场景，如不熟悉操作可能导致错过投标截止时间，系统已提供加密、测试解密和撤回重新上传的功能，各投标人须预留充足时间，提前制作和加密上传投标文件。 （3）已办理数字证书（电子密钥）的用户，可以继续使用数字证书完成投标活动。未申请电子营业执照或无法通过电子营业执照完成投标文件制作和加解密的用户，必须使用电子密钥进行投标文件制作和加解密，咨询电话0755-83948165，4008301330（CA办理指引详见链接</w:t>
            </w:r>
            <w:r>
              <w:rPr>
                <w:rFonts w:hint="eastAsia" w:ascii="宋体" w:hAnsi="宋体" w:eastAsia="宋体" w:cs="宋体"/>
                <w:color w:val="auto"/>
                <w:kern w:val="0"/>
                <w:sz w:val="21"/>
                <w:szCs w:val="21"/>
                <w:lang w:val="en-US" w:eastAsia="zh-CN" w:bidi="ar"/>
              </w:rPr>
              <w:fldChar w:fldCharType="begin"/>
            </w:r>
            <w:r>
              <w:rPr>
                <w:rFonts w:hint="eastAsia" w:ascii="宋体" w:hAnsi="宋体" w:eastAsia="宋体" w:cs="宋体"/>
                <w:color w:val="auto"/>
                <w:kern w:val="0"/>
                <w:sz w:val="21"/>
                <w:szCs w:val="21"/>
                <w:lang w:val="en-US" w:eastAsia="zh-CN" w:bidi="ar"/>
              </w:rPr>
              <w:instrText xml:space="preserve"> HYPERLINK "https://www.szzfcg.cn/portal/documentView.do?method=view&amp;id=597167584）。" </w:instrText>
            </w:r>
            <w:r>
              <w:rPr>
                <w:rFonts w:hint="eastAsia" w:ascii="宋体" w:hAnsi="宋体" w:eastAsia="宋体" w:cs="宋体"/>
                <w:color w:val="auto"/>
                <w:kern w:val="0"/>
                <w:sz w:val="21"/>
                <w:szCs w:val="21"/>
                <w:lang w:val="en-US" w:eastAsia="zh-CN" w:bidi="ar"/>
              </w:rPr>
              <w:fldChar w:fldCharType="separate"/>
            </w:r>
            <w:r>
              <w:rPr>
                <w:rStyle w:val="56"/>
                <w:rFonts w:hint="eastAsia" w:ascii="宋体" w:hAnsi="宋体" w:eastAsia="宋体" w:cs="宋体"/>
                <w:color w:val="auto"/>
                <w:kern w:val="0"/>
                <w:sz w:val="21"/>
                <w:szCs w:val="21"/>
                <w:lang w:val="en-US" w:eastAsia="zh-CN" w:bidi="ar"/>
              </w:rPr>
              <w:t>https://www.szzfcg.cn/portal/documentView.do?method=view&amp;id=597167584）。</w:t>
            </w:r>
            <w:r>
              <w:rPr>
                <w:rFonts w:hint="eastAsia" w:ascii="宋体" w:hAnsi="宋体" w:eastAsia="宋体" w:cs="宋体"/>
                <w:color w:val="auto"/>
                <w:kern w:val="0"/>
                <w:sz w:val="21"/>
                <w:szCs w:val="21"/>
                <w:lang w:val="en-US" w:eastAsia="zh-CN" w:bidi="ar"/>
              </w:rPr>
              <w:fldChar w:fldCharType="end"/>
            </w:r>
          </w:p>
          <w:p w14:paraId="36B8ABCB">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五、公告期限</w:t>
            </w:r>
          </w:p>
          <w:p w14:paraId="2BFBF9B9">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自本公告发布之日起5个工作日。</w:t>
            </w:r>
          </w:p>
          <w:p w14:paraId="6DC53111">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六、其他补充事宜</w:t>
            </w:r>
          </w:p>
          <w:p w14:paraId="6ADBD7AD">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1.本项目实行网上投标，采用电子投标文件。</w:t>
            </w:r>
          </w:p>
          <w:p w14:paraId="4822E3C8">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2.报名操作：投标人如确定参加投标，首先要在深圳政府采购网上报名投标，方法为登录深圳政府采购智慧(监管)平台 （http://zfcg.szggzy.com:8081/）网后点击“招标公告”选中要报名标段点击“我要报名”或“待办→邀请提醒”；如果网上报名后上传了投标文件，又不参加投标，应再到【我的项目】→【项目流程】→【递交投标(应答)文件】→【上传投标文件】功能点中进行“撤标”操作；如果是未注册为深圳政府采购的供应商，请访问深圳公共资源交易中心（统一用户中心 https://trade.szggzy.com/ggzy/center/#/login）,先办理注册手续（注册咨询：0755-36568999）,再进行投标报名。在网上报名后，点击“我的项目→项目流程”中进行招标文件的下载。</w:t>
            </w:r>
          </w:p>
          <w:p w14:paraId="7232D0FC">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3.开标操作：投标人可以登录“深圳政府采购智慧(监管)平台 （http://zfcg.szggzy.com:8081/）网站”，在系统登录首页面即可查看开标情况。</w:t>
            </w:r>
          </w:p>
          <w:p w14:paraId="20CDA32E">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4.投标操作：具体操作为登录“深圳政府采购智慧(监管)平台 （http://zfcg.szggzy.com:8081/） 网站”，用“我的项目→项目流程→递交投标(应答)文件→上传投标文件”功能点上传投标文件。本项目电子投标文件最大容量为100MB，超过此容量的文件将被拒绝。</w:t>
            </w:r>
          </w:p>
          <w:p w14:paraId="7090A219">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5.采购文件澄清/修改事项：2025年*月*日 00:00（北京时间）前，供应商如果认为采购文件存在不明确、不清晰和前后不一致等问题，可登录深圳政府采购智慧(监管)平台（http://zfcg.szggzy.com:8081/）→“深圳政府采购智慧(监管)平台用户网上办事子系统（http://zfcg.szggzy.com:8081/TPBidder/memberLogin）”，在“【我的项目】→【项目流程】→【提问】”功能点中填写需澄清内容。2025年*月*日 00:00（北京时间）前将采购文件澄清/修改情况在“【我的项目】→【项目流程】→【答疑澄清文件下载】”中公布，望投标人予以关注。 </w:t>
            </w:r>
            <w:r>
              <w:rPr>
                <w:rFonts w:hint="eastAsia" w:ascii="宋体" w:hAnsi="宋体" w:eastAsia="宋体" w:cs="宋体"/>
                <w:color w:val="auto"/>
                <w:kern w:val="0"/>
                <w:sz w:val="21"/>
                <w:szCs w:val="21"/>
                <w:lang w:val="en-US" w:eastAsia="zh-CN" w:bidi="ar"/>
              </w:rPr>
              <w:br w:type="textWrapping"/>
            </w:r>
            <w:r>
              <w:rPr>
                <w:rFonts w:hint="eastAsia" w:ascii="宋体" w:hAnsi="宋体" w:eastAsia="宋体" w:cs="宋体"/>
                <w:color w:val="auto"/>
                <w:kern w:val="0"/>
                <w:sz w:val="21"/>
                <w:szCs w:val="21"/>
                <w:lang w:val="en-US" w:eastAsia="zh-CN" w:bidi="ar"/>
              </w:rPr>
              <w:t xml:space="preserve">（重要提示：“提出采购文件澄清要求”不等同于“对采购文件质疑”，供应商提出的澄清要求内容如出现“质疑”字眼，将予以退回。供应商如认为采购文件存在限制性、倾向性、其权益受到损害，应在采购文件公布之日起七个工作日内以书面形式提出质疑。请质疑供应商根据深圳公共资源交易中心网页（https://www.szggzy.com/globalSearch/details.html?contentId=1211037）所发布的质疑指引、质疑函模板填写质疑函并提交质疑材料。质疑材料可以采用现场或邮寄方式提交，采用邮寄方式提交的，交邮时间应在本公告发布之日起七个工作日内。质疑材料现场提交、邮寄地址：深圳市罗湖区太宁路2号百仕达大厦27B。质疑咨询电话：0755-86959378或86959778转8014/8005 。根据《深圳经济特区政府采购条例》第四十二条“供应商投诉的事项应当是经过质疑的事项”的规定，未经正式质疑的，将影响供应商行使向财政部门提起投诉的权利。） </w:t>
            </w:r>
          </w:p>
          <w:p w14:paraId="04205A52">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6.深圳政府采购智慧(监管)平台 （http://zfcg.szggzy.com:8081/）有权对投标人就本项目要求提供的相关证明资料（原件）进行审查。供应商提供虚假资料被查实的，则可能面临被取消本项目中标资格、列入不良行为记录名单和三年内禁止参与深圳市政府采购活动的风险。 本招标公告及本项目招标文件所涉及的时间一律为北京时间。投标人有义务在招标活动期间浏览深圳政府采购智慧(监管)平台 （http://zfcg.szggzy.com:8081/）,在深圳政府采购智慧(监管)平台 （http://zfcg.szggzy.com:8081/）网上公布的与本次招标项目有关的信息视为已送达各投标人。</w:t>
            </w:r>
          </w:p>
          <w:p w14:paraId="59C2CB2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7.本项目不需要投标保证金。</w:t>
            </w:r>
          </w:p>
          <w:p w14:paraId="6191DE56">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8.项目中标(成交)供应商可凭借中标通知书和采购合同向金融机构申请政府采购订单融资，详情可登录深圳要素交易金融服务平台https://finance.szexgrp.com/gtm/web/guarantee/#/（或从【深圳政府采购智慧平台】点击【金服平台】），咨询电话0755-36568999转8或拨打0755-88653331。</w:t>
            </w:r>
          </w:p>
          <w:p w14:paraId="14795A6D">
            <w:pPr>
              <w:keepNext w:val="0"/>
              <w:keepLines w:val="0"/>
              <w:pageBreakBefore w:val="0"/>
              <w:widowControl/>
              <w:suppressLineNumbers w:val="0"/>
              <w:kinsoku/>
              <w:wordWrap/>
              <w:overflowPunct/>
              <w:topLinePunct w:val="0"/>
              <w:autoSpaceDE/>
              <w:autoSpaceDN/>
              <w:bidi w:val="0"/>
              <w:adjustRightInd/>
              <w:snapToGrid/>
              <w:spacing w:line="360" w:lineRule="auto"/>
              <w:ind w:firstLine="422" w:firstLineChars="200"/>
              <w:jc w:val="left"/>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七、对本次招标提出询问，请按以下方式联系</w:t>
            </w:r>
          </w:p>
          <w:p w14:paraId="19E0C511">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1.采购人信息</w:t>
            </w:r>
          </w:p>
          <w:p w14:paraId="6AA4A7DC">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名称：深圳市公安局龙华分局    </w:t>
            </w:r>
          </w:p>
          <w:p w14:paraId="2D2A963A">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地址：深圳市龙华区梅龙大道98号    </w:t>
            </w:r>
          </w:p>
          <w:p w14:paraId="7CC96351">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项目联系人：吕警官    0755-85135060</w:t>
            </w:r>
          </w:p>
          <w:p w14:paraId="6A2F6DE6">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2.采购代理机构 </w:t>
            </w:r>
          </w:p>
          <w:p w14:paraId="0ADEF7E7">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名称： 深圳市东海国际招标有限公司 </w:t>
            </w:r>
          </w:p>
          <w:p w14:paraId="7CF9630A">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地址：深圳市罗湖区太宁路2号百仕达大厦27B</w:t>
            </w:r>
          </w:p>
          <w:p w14:paraId="34D24422">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联系方式：0755-86959378或86959778转8014/8005</w:t>
            </w:r>
          </w:p>
          <w:p w14:paraId="07119353">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3.项目联系方式</w:t>
            </w:r>
          </w:p>
          <w:p w14:paraId="2F24D956">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采购项目联系人：白先生、曾小姐</w:t>
            </w:r>
          </w:p>
          <w:p w14:paraId="4589B03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采购项目联系人电话：0755-86959378或86959778转8014/8005</w:t>
            </w:r>
            <w:r>
              <w:rPr>
                <w:rFonts w:hint="eastAsia" w:ascii="宋体" w:hAnsi="宋体" w:eastAsia="宋体" w:cs="宋体"/>
                <w:color w:val="auto"/>
                <w:kern w:val="0"/>
                <w:sz w:val="21"/>
                <w:szCs w:val="21"/>
                <w:lang w:val="en-US" w:eastAsia="zh-CN" w:bidi="ar"/>
              </w:rPr>
              <w:br w:type="textWrapping"/>
            </w:r>
          </w:p>
          <w:p w14:paraId="7D9C9663">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righ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深圳市东海国际招标有限公司</w:t>
            </w:r>
          </w:p>
          <w:p w14:paraId="02EE188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right"/>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2025年*月*日</w:t>
            </w:r>
          </w:p>
        </w:tc>
      </w:tr>
    </w:tbl>
    <w:p w14:paraId="6F0E7832">
      <w:pPr>
        <w:ind w:firstLine="7200" w:firstLineChars="3000"/>
        <w:rPr>
          <w:sz w:val="24"/>
        </w:rPr>
      </w:pPr>
      <w:r>
        <w:rPr>
          <w:sz w:val="24"/>
        </w:rPr>
        <w:br w:type="page"/>
      </w:r>
    </w:p>
    <w:p w14:paraId="4ED7FFCE">
      <w:pPr>
        <w:pStyle w:val="3"/>
        <w:rPr>
          <w:b/>
          <w:bCs/>
          <w:sz w:val="32"/>
          <w:szCs w:val="22"/>
        </w:rPr>
      </w:pPr>
      <w:r>
        <w:rPr>
          <w:rFonts w:hint="eastAsia"/>
          <w:b/>
          <w:bCs/>
          <w:sz w:val="32"/>
          <w:szCs w:val="22"/>
        </w:rPr>
        <w:t>第二章招标项目需求</w:t>
      </w:r>
    </w:p>
    <w:p w14:paraId="7BBF7D19">
      <w:pPr>
        <w:pStyle w:val="3"/>
        <w:keepNext w:val="0"/>
        <w:keepLines w:val="0"/>
        <w:pageBreakBefore w:val="0"/>
        <w:widowControl w:val="0"/>
        <w:numPr>
          <w:ilvl w:val="0"/>
          <w:numId w:val="8"/>
        </w:numPr>
        <w:kinsoku/>
        <w:wordWrap/>
        <w:overflowPunct/>
        <w:topLinePunct w:val="0"/>
        <w:autoSpaceDE/>
        <w:autoSpaceDN/>
        <w:bidi w:val="0"/>
        <w:adjustRightInd w:val="0"/>
        <w:snapToGrid/>
        <w:spacing w:before="0" w:after="0"/>
        <w:ind w:left="0" w:leftChars="0" w:firstLine="0" w:firstLineChars="0"/>
        <w:textAlignment w:val="baseline"/>
        <w:rPr>
          <w:rFonts w:cs="宋体"/>
          <w:b/>
          <w:bCs/>
          <w:sz w:val="32"/>
          <w:szCs w:val="32"/>
        </w:rPr>
      </w:pPr>
      <w:bookmarkStart w:id="20" w:name="_Toc73521635"/>
      <w:bookmarkStart w:id="21" w:name="_Toc100052364"/>
      <w:bookmarkStart w:id="22" w:name="_Toc73518117"/>
      <w:bookmarkStart w:id="23" w:name="_Toc60631620"/>
      <w:bookmarkStart w:id="24" w:name="_Toc73517639"/>
      <w:bookmarkStart w:id="25" w:name="_Toc73521547"/>
      <w:bookmarkStart w:id="26" w:name="_Toc101074876"/>
      <w:bookmarkStart w:id="27" w:name="_Toc60560625"/>
      <w:r>
        <w:rPr>
          <w:rFonts w:hint="eastAsia" w:cs="宋体"/>
          <w:b/>
          <w:bCs/>
          <w:sz w:val="32"/>
          <w:szCs w:val="32"/>
        </w:rPr>
        <w:t>对通用条款的补充内容</w:t>
      </w:r>
    </w:p>
    <w:bookmarkEnd w:id="20"/>
    <w:bookmarkEnd w:id="21"/>
    <w:bookmarkEnd w:id="22"/>
    <w:bookmarkEnd w:id="23"/>
    <w:bookmarkEnd w:id="24"/>
    <w:bookmarkEnd w:id="25"/>
    <w:bookmarkEnd w:id="26"/>
    <w:bookmarkEnd w:id="27"/>
    <w:tbl>
      <w:tblPr>
        <w:tblStyle w:val="44"/>
        <w:tblW w:w="4998"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51"/>
        <w:gridCol w:w="1299"/>
        <w:gridCol w:w="6769"/>
      </w:tblGrid>
      <w:tr w14:paraId="00008BB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65" w:type="pct"/>
            <w:tcBorders>
              <w:top w:val="double" w:color="auto" w:sz="4" w:space="0"/>
            </w:tcBorders>
            <w:vAlign w:val="center"/>
          </w:tcPr>
          <w:p w14:paraId="05AE4CB4">
            <w:pPr>
              <w:jc w:val="center"/>
              <w:rPr>
                <w:b/>
                <w:bCs/>
              </w:rPr>
            </w:pPr>
            <w:r>
              <w:rPr>
                <w:rFonts w:hint="eastAsia"/>
                <w:b/>
                <w:bCs/>
              </w:rPr>
              <w:t>序号</w:t>
            </w:r>
          </w:p>
        </w:tc>
        <w:tc>
          <w:tcPr>
            <w:tcW w:w="762" w:type="pct"/>
            <w:tcBorders>
              <w:top w:val="double" w:color="auto" w:sz="4" w:space="0"/>
            </w:tcBorders>
            <w:vAlign w:val="center"/>
          </w:tcPr>
          <w:p w14:paraId="3B7DE542">
            <w:pPr>
              <w:jc w:val="center"/>
              <w:rPr>
                <w:b/>
                <w:bCs/>
              </w:rPr>
            </w:pPr>
            <w:r>
              <w:rPr>
                <w:rFonts w:hint="eastAsia"/>
                <w:b/>
                <w:bCs/>
              </w:rPr>
              <w:t>内容</w:t>
            </w:r>
          </w:p>
        </w:tc>
        <w:tc>
          <w:tcPr>
            <w:tcW w:w="3972" w:type="pct"/>
            <w:tcBorders>
              <w:top w:val="double" w:color="auto" w:sz="4" w:space="0"/>
            </w:tcBorders>
            <w:vAlign w:val="center"/>
          </w:tcPr>
          <w:p w14:paraId="7A5E850D">
            <w:pPr>
              <w:jc w:val="center"/>
              <w:rPr>
                <w:b/>
                <w:bCs/>
              </w:rPr>
            </w:pPr>
            <w:r>
              <w:rPr>
                <w:rFonts w:hint="eastAsia"/>
                <w:b/>
                <w:bCs/>
              </w:rPr>
              <w:t>规定</w:t>
            </w:r>
          </w:p>
        </w:tc>
      </w:tr>
      <w:tr w14:paraId="0E06A5C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65" w:type="pct"/>
            <w:vAlign w:val="center"/>
          </w:tcPr>
          <w:p w14:paraId="6EB26920">
            <w:pPr>
              <w:jc w:val="center"/>
            </w:pPr>
            <w:r>
              <w:t>1</w:t>
            </w:r>
          </w:p>
        </w:tc>
        <w:tc>
          <w:tcPr>
            <w:tcW w:w="762" w:type="pct"/>
            <w:vAlign w:val="center"/>
          </w:tcPr>
          <w:p w14:paraId="7620BEA3">
            <w:r>
              <w:rPr>
                <w:rFonts w:hint="eastAsia"/>
              </w:rPr>
              <w:t>联合体投标</w:t>
            </w:r>
          </w:p>
        </w:tc>
        <w:tc>
          <w:tcPr>
            <w:tcW w:w="3972" w:type="pct"/>
            <w:vAlign w:val="center"/>
          </w:tcPr>
          <w:p w14:paraId="6ABCA308">
            <w:pPr>
              <w:rPr>
                <w:snapToGrid w:val="0"/>
                <w:kern w:val="0"/>
                <w:szCs w:val="32"/>
                <w:u w:val="single"/>
                <w:lang w:val="zh-CN"/>
              </w:rPr>
            </w:pPr>
            <w:r>
              <w:rPr>
                <w:rFonts w:hint="eastAsia"/>
                <w:snapToGrid w:val="0"/>
                <w:kern w:val="0"/>
                <w:szCs w:val="32"/>
                <w:u w:val="single"/>
                <w:lang w:val="zh-CN"/>
              </w:rPr>
              <w:t>见《招标公告》中</w:t>
            </w:r>
            <w:r>
              <w:rPr>
                <w:snapToGrid w:val="0"/>
                <w:kern w:val="0"/>
                <w:szCs w:val="32"/>
                <w:u w:val="single"/>
                <w:lang w:val="zh-CN"/>
              </w:rPr>
              <w:t>“</w:t>
            </w:r>
            <w:r>
              <w:rPr>
                <w:rFonts w:hint="eastAsia"/>
                <w:snapToGrid w:val="0"/>
                <w:kern w:val="0"/>
                <w:szCs w:val="32"/>
                <w:u w:val="single"/>
                <w:lang w:val="zh-CN"/>
              </w:rPr>
              <w:t>投标人资格要求</w:t>
            </w:r>
            <w:r>
              <w:rPr>
                <w:snapToGrid w:val="0"/>
                <w:kern w:val="0"/>
                <w:szCs w:val="32"/>
                <w:u w:val="single"/>
                <w:lang w:val="zh-CN"/>
              </w:rPr>
              <w:t>”</w:t>
            </w:r>
            <w:r>
              <w:rPr>
                <w:rFonts w:hint="eastAsia"/>
                <w:snapToGrid w:val="0"/>
                <w:kern w:val="0"/>
                <w:szCs w:val="32"/>
                <w:u w:val="single"/>
                <w:lang w:val="zh-CN"/>
              </w:rPr>
              <w:t>部分的相关内容</w:t>
            </w:r>
          </w:p>
        </w:tc>
      </w:tr>
      <w:tr w14:paraId="53B66D1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65" w:type="pct"/>
            <w:vAlign w:val="center"/>
          </w:tcPr>
          <w:p w14:paraId="1C96DD0A">
            <w:pPr>
              <w:jc w:val="center"/>
            </w:pPr>
            <w:r>
              <w:t>2</w:t>
            </w:r>
          </w:p>
        </w:tc>
        <w:tc>
          <w:tcPr>
            <w:tcW w:w="762" w:type="pct"/>
            <w:vAlign w:val="center"/>
          </w:tcPr>
          <w:p w14:paraId="0394B27B">
            <w:r>
              <w:rPr>
                <w:rFonts w:hint="eastAsia"/>
              </w:rPr>
              <w:t>投标有效期</w:t>
            </w:r>
          </w:p>
        </w:tc>
        <w:tc>
          <w:tcPr>
            <w:tcW w:w="3972" w:type="pct"/>
            <w:vAlign w:val="center"/>
          </w:tcPr>
          <w:p w14:paraId="7061804B">
            <w:r>
              <w:rPr>
                <w:rFonts w:hint="eastAsia"/>
                <w:u w:val="single"/>
              </w:rPr>
              <w:t>9</w:t>
            </w:r>
            <w:r>
              <w:rPr>
                <w:u w:val="single"/>
              </w:rPr>
              <w:t>0</w:t>
            </w:r>
            <w:r>
              <w:rPr>
                <w:rFonts w:hint="eastAsia"/>
                <w:u w:val="single"/>
              </w:rPr>
              <w:t>日历天</w:t>
            </w:r>
            <w:r>
              <w:rPr>
                <w:rFonts w:hint="eastAsia"/>
              </w:rPr>
              <w:t>（从投标截止之日算起）</w:t>
            </w:r>
          </w:p>
        </w:tc>
      </w:tr>
      <w:tr w14:paraId="0C6418D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65" w:type="pct"/>
            <w:vAlign w:val="center"/>
          </w:tcPr>
          <w:p w14:paraId="01A17F4E">
            <w:pPr>
              <w:jc w:val="center"/>
            </w:pPr>
            <w:r>
              <w:t>3</w:t>
            </w:r>
          </w:p>
        </w:tc>
        <w:tc>
          <w:tcPr>
            <w:tcW w:w="762" w:type="pct"/>
            <w:vAlign w:val="center"/>
          </w:tcPr>
          <w:p w14:paraId="06BAF3F1">
            <w:r>
              <w:rPr>
                <w:rFonts w:hint="eastAsia"/>
              </w:rPr>
              <w:t>投标人的替代方案</w:t>
            </w:r>
          </w:p>
        </w:tc>
        <w:tc>
          <w:tcPr>
            <w:tcW w:w="3972" w:type="pct"/>
            <w:vAlign w:val="center"/>
          </w:tcPr>
          <w:p w14:paraId="464E1D68">
            <w:r>
              <w:rPr>
                <w:rFonts w:hint="eastAsia"/>
              </w:rPr>
              <w:t>不允许</w:t>
            </w:r>
          </w:p>
        </w:tc>
      </w:tr>
      <w:tr w14:paraId="65114B4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65" w:type="pct"/>
            <w:vAlign w:val="center"/>
          </w:tcPr>
          <w:p w14:paraId="2E09FC13">
            <w:pPr>
              <w:jc w:val="center"/>
            </w:pPr>
            <w:r>
              <w:rPr>
                <w:rFonts w:hint="eastAsia"/>
              </w:rPr>
              <w:t>4</w:t>
            </w:r>
          </w:p>
        </w:tc>
        <w:tc>
          <w:tcPr>
            <w:tcW w:w="762" w:type="pct"/>
            <w:vAlign w:val="center"/>
          </w:tcPr>
          <w:p w14:paraId="66620F49">
            <w:r>
              <w:rPr>
                <w:rFonts w:hint="eastAsia"/>
              </w:rPr>
              <w:t>投标文件的投递</w:t>
            </w:r>
          </w:p>
        </w:tc>
        <w:tc>
          <w:tcPr>
            <w:tcW w:w="3972" w:type="pct"/>
            <w:vAlign w:val="center"/>
          </w:tcPr>
          <w:p w14:paraId="7DB4A81A">
            <w:r>
              <w:rPr>
                <w:rFonts w:hint="eastAsia"/>
              </w:rPr>
              <w:t>本项目实行网上投标，投标人必须在招标文件规定的投标截止时间前登录“深圳公共资源交易网”，使用“应标管理-&gt;上传投标文件”功能点，将编制好的电子投标文件上传，投标文件大小不得超过100MB</w:t>
            </w:r>
          </w:p>
        </w:tc>
      </w:tr>
      <w:tr w14:paraId="6A8251D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65" w:type="pct"/>
            <w:vAlign w:val="center"/>
          </w:tcPr>
          <w:p w14:paraId="00E08F62">
            <w:pPr>
              <w:jc w:val="center"/>
            </w:pPr>
            <w:r>
              <w:rPr>
                <w:rFonts w:hint="eastAsia"/>
              </w:rPr>
              <w:t>5</w:t>
            </w:r>
          </w:p>
        </w:tc>
        <w:tc>
          <w:tcPr>
            <w:tcW w:w="762" w:type="pct"/>
            <w:vAlign w:val="center"/>
          </w:tcPr>
          <w:p w14:paraId="5E240E58">
            <w:r>
              <w:rPr>
                <w:rFonts w:hint="eastAsia"/>
              </w:rPr>
              <w:t>履约保证金</w:t>
            </w:r>
          </w:p>
        </w:tc>
        <w:tc>
          <w:tcPr>
            <w:tcW w:w="3972" w:type="pct"/>
            <w:vAlign w:val="center"/>
          </w:tcPr>
          <w:p w14:paraId="3FCA0EEB">
            <w:r>
              <w:rPr>
                <w:rFonts w:hint="eastAsia"/>
              </w:rPr>
              <w:t>/。</w:t>
            </w:r>
          </w:p>
        </w:tc>
      </w:tr>
      <w:tr w14:paraId="30193D4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65" w:type="pct"/>
            <w:vAlign w:val="center"/>
          </w:tcPr>
          <w:p w14:paraId="33FAF078">
            <w:pPr>
              <w:jc w:val="center"/>
            </w:pPr>
            <w:r>
              <w:rPr>
                <w:rFonts w:hint="eastAsia"/>
              </w:rPr>
              <w:t>6</w:t>
            </w:r>
          </w:p>
        </w:tc>
        <w:tc>
          <w:tcPr>
            <w:tcW w:w="762" w:type="pct"/>
            <w:vAlign w:val="center"/>
          </w:tcPr>
          <w:p w14:paraId="6D75C7FC">
            <w:r>
              <w:rPr>
                <w:rFonts w:hint="eastAsia"/>
              </w:rPr>
              <w:t>招标代理服务费</w:t>
            </w:r>
          </w:p>
        </w:tc>
        <w:tc>
          <w:tcPr>
            <w:tcW w:w="3972" w:type="pct"/>
            <w:vAlign w:val="center"/>
          </w:tcPr>
          <w:p w14:paraId="1367D176">
            <w:pPr>
              <w:spacing w:line="360" w:lineRule="exact"/>
              <w:rPr>
                <w:szCs w:val="21"/>
                <w:lang w:val="zh-CN"/>
              </w:rPr>
            </w:pPr>
            <w:r>
              <w:rPr>
                <w:rFonts w:hint="eastAsia"/>
                <w:szCs w:val="21"/>
                <w:lang w:val="zh-CN"/>
              </w:rPr>
              <w:t>根据</w:t>
            </w:r>
            <w:r>
              <w:rPr>
                <w:szCs w:val="21"/>
                <w:lang w:val="zh-CN"/>
              </w:rPr>
              <w:t>“</w:t>
            </w:r>
            <w:r>
              <w:rPr>
                <w:rFonts w:hint="eastAsia"/>
                <w:szCs w:val="21"/>
                <w:lang w:val="zh-CN"/>
              </w:rPr>
              <w:t>深圳市财政委员会关于规范深圳市社会采购代理机构管理有关事项的补充通知</w:t>
            </w:r>
            <w:r>
              <w:rPr>
                <w:szCs w:val="21"/>
              </w:rPr>
              <w:t>(</w:t>
            </w:r>
            <w:r>
              <w:rPr>
                <w:rFonts w:hint="eastAsia"/>
                <w:szCs w:val="21"/>
                <w:lang w:val="zh-CN"/>
              </w:rPr>
              <w:t>深财购</w:t>
            </w:r>
            <w:r>
              <w:rPr>
                <w:szCs w:val="21"/>
              </w:rPr>
              <w:t>[2018]27</w:t>
            </w:r>
            <w:r>
              <w:rPr>
                <w:rFonts w:hint="eastAsia"/>
                <w:szCs w:val="21"/>
                <w:lang w:val="zh-CN"/>
              </w:rPr>
              <w:t>号</w:t>
            </w:r>
            <w:r>
              <w:rPr>
                <w:szCs w:val="21"/>
              </w:rPr>
              <w:t>)</w:t>
            </w:r>
            <w:r>
              <w:rPr>
                <w:szCs w:val="21"/>
                <w:lang w:val="zh-CN"/>
              </w:rPr>
              <w:t>”</w:t>
            </w:r>
            <w:r>
              <w:rPr>
                <w:rFonts w:hint="eastAsia"/>
                <w:szCs w:val="21"/>
                <w:lang w:val="zh-CN"/>
              </w:rPr>
              <w:t>的规定的执行。招标代理服务收费以中标</w:t>
            </w:r>
            <w:r>
              <w:rPr>
                <w:szCs w:val="21"/>
              </w:rPr>
              <w:t>/</w:t>
            </w:r>
            <w:r>
              <w:rPr>
                <w:rFonts w:hint="eastAsia"/>
                <w:szCs w:val="21"/>
                <w:lang w:val="zh-CN"/>
              </w:rPr>
              <w:t>成交通知书公布的中标金额为计算基准</w:t>
            </w:r>
            <w:r>
              <w:rPr>
                <w:szCs w:val="21"/>
              </w:rPr>
              <w:t>,</w:t>
            </w:r>
            <w:r>
              <w:rPr>
                <w:rFonts w:hint="eastAsia"/>
                <w:szCs w:val="21"/>
                <w:lang w:val="zh-CN"/>
              </w:rPr>
              <w:t>按差额定率累进法计算</w:t>
            </w:r>
            <w:r>
              <w:rPr>
                <w:szCs w:val="21"/>
              </w:rPr>
              <w:t>,</w:t>
            </w:r>
            <w:r>
              <w:rPr>
                <w:rFonts w:hint="eastAsia"/>
                <w:szCs w:val="21"/>
                <w:lang w:val="zh-CN"/>
              </w:rPr>
              <w:t>作为招标代理服务费。</w:t>
            </w:r>
          </w:p>
          <w:tbl>
            <w:tblPr>
              <w:tblStyle w:val="44"/>
              <w:tblW w:w="65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04"/>
              <w:gridCol w:w="1172"/>
              <w:gridCol w:w="1460"/>
              <w:gridCol w:w="1184"/>
            </w:tblGrid>
            <w:tr w14:paraId="6141A3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vMerge w:val="restart"/>
                  <w:tcBorders>
                    <w:top w:val="single" w:color="auto" w:sz="12" w:space="0"/>
                    <w:left w:val="single" w:color="auto" w:sz="12" w:space="0"/>
                    <w:bottom w:val="single" w:color="auto" w:sz="4" w:space="0"/>
                    <w:right w:val="single" w:color="auto" w:sz="4" w:space="0"/>
                  </w:tcBorders>
                  <w:shd w:val="clear" w:color="auto" w:fill="D7D7D7"/>
                  <w:vAlign w:val="center"/>
                </w:tcPr>
                <w:p w14:paraId="5783F146">
                  <w:pPr>
                    <w:adjustRightInd w:val="0"/>
                    <w:snapToGrid w:val="0"/>
                    <w:spacing w:line="264" w:lineRule="auto"/>
                    <w:ind w:right="26"/>
                    <w:jc w:val="center"/>
                    <w:rPr>
                      <w:b/>
                      <w:bCs/>
                      <w:szCs w:val="21"/>
                    </w:rPr>
                  </w:pPr>
                  <w:r>
                    <w:rPr>
                      <w:rFonts w:hint="eastAsia"/>
                      <w:b/>
                      <w:bCs/>
                      <w:szCs w:val="21"/>
                    </w:rPr>
                    <w:t>中标金额（万元）</w:t>
                  </w:r>
                </w:p>
              </w:tc>
              <w:tc>
                <w:tcPr>
                  <w:tcW w:w="3816" w:type="dxa"/>
                  <w:gridSpan w:val="3"/>
                  <w:tcBorders>
                    <w:top w:val="single" w:color="auto" w:sz="12" w:space="0"/>
                    <w:left w:val="single" w:color="auto" w:sz="4" w:space="0"/>
                    <w:bottom w:val="single" w:color="auto" w:sz="4" w:space="0"/>
                    <w:right w:val="single" w:color="auto" w:sz="12" w:space="0"/>
                  </w:tcBorders>
                  <w:shd w:val="clear" w:color="auto" w:fill="D7D7D7"/>
                  <w:vAlign w:val="center"/>
                </w:tcPr>
                <w:p w14:paraId="2ECFAE7A">
                  <w:pPr>
                    <w:adjustRightInd w:val="0"/>
                    <w:snapToGrid w:val="0"/>
                    <w:spacing w:line="264" w:lineRule="auto"/>
                    <w:ind w:right="26"/>
                    <w:jc w:val="center"/>
                    <w:rPr>
                      <w:b/>
                      <w:bCs/>
                      <w:szCs w:val="21"/>
                    </w:rPr>
                  </w:pPr>
                  <w:r>
                    <w:rPr>
                      <w:rFonts w:hint="eastAsia"/>
                      <w:b/>
                      <w:bCs/>
                      <w:szCs w:val="21"/>
                    </w:rPr>
                    <w:t>各类型招标代理服务费计算费率</w:t>
                  </w:r>
                </w:p>
              </w:tc>
            </w:tr>
            <w:tr w14:paraId="370B13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vMerge w:val="continue"/>
                  <w:tcBorders>
                    <w:top w:val="single" w:color="auto" w:sz="4" w:space="0"/>
                    <w:left w:val="single" w:color="auto" w:sz="12" w:space="0"/>
                    <w:bottom w:val="single" w:color="auto" w:sz="4" w:space="0"/>
                    <w:right w:val="single" w:color="auto" w:sz="4" w:space="0"/>
                  </w:tcBorders>
                  <w:shd w:val="clear" w:color="auto" w:fill="D7D7D7"/>
                  <w:vAlign w:val="center"/>
                </w:tcPr>
                <w:p w14:paraId="76DA984C">
                  <w:pPr>
                    <w:adjustRightInd w:val="0"/>
                    <w:snapToGrid w:val="0"/>
                    <w:spacing w:line="264" w:lineRule="auto"/>
                    <w:ind w:right="26"/>
                    <w:jc w:val="center"/>
                    <w:rPr>
                      <w:b/>
                      <w:bCs/>
                      <w:szCs w:val="21"/>
                    </w:rPr>
                  </w:pPr>
                </w:p>
              </w:tc>
              <w:tc>
                <w:tcPr>
                  <w:tcW w:w="1172" w:type="dxa"/>
                  <w:tcBorders>
                    <w:top w:val="single" w:color="auto" w:sz="4" w:space="0"/>
                    <w:left w:val="single" w:color="auto" w:sz="4" w:space="0"/>
                    <w:bottom w:val="single" w:color="auto" w:sz="4" w:space="0"/>
                    <w:right w:val="single" w:color="auto" w:sz="4" w:space="0"/>
                  </w:tcBorders>
                  <w:shd w:val="clear" w:color="auto" w:fill="D7D7D7"/>
                  <w:vAlign w:val="center"/>
                </w:tcPr>
                <w:p w14:paraId="5BE819D5">
                  <w:pPr>
                    <w:adjustRightInd w:val="0"/>
                    <w:snapToGrid w:val="0"/>
                    <w:spacing w:line="264" w:lineRule="auto"/>
                    <w:ind w:right="26"/>
                    <w:jc w:val="center"/>
                    <w:rPr>
                      <w:b/>
                      <w:bCs/>
                      <w:szCs w:val="21"/>
                    </w:rPr>
                  </w:pPr>
                  <w:r>
                    <w:rPr>
                      <w:rFonts w:hint="eastAsia"/>
                      <w:b/>
                      <w:bCs/>
                      <w:szCs w:val="21"/>
                    </w:rPr>
                    <w:t>货物招标</w:t>
                  </w:r>
                </w:p>
              </w:tc>
              <w:tc>
                <w:tcPr>
                  <w:tcW w:w="1460" w:type="dxa"/>
                  <w:tcBorders>
                    <w:top w:val="single" w:color="auto" w:sz="4" w:space="0"/>
                    <w:left w:val="single" w:color="auto" w:sz="4" w:space="0"/>
                    <w:bottom w:val="single" w:color="auto" w:sz="4" w:space="0"/>
                    <w:right w:val="single" w:color="auto" w:sz="4" w:space="0"/>
                  </w:tcBorders>
                  <w:shd w:val="clear" w:color="auto" w:fill="D7D7D7"/>
                  <w:vAlign w:val="center"/>
                </w:tcPr>
                <w:p w14:paraId="4F972432">
                  <w:pPr>
                    <w:adjustRightInd w:val="0"/>
                    <w:snapToGrid w:val="0"/>
                    <w:spacing w:line="264" w:lineRule="auto"/>
                    <w:ind w:right="26"/>
                    <w:jc w:val="center"/>
                    <w:rPr>
                      <w:b/>
                      <w:bCs/>
                      <w:szCs w:val="21"/>
                    </w:rPr>
                  </w:pPr>
                  <w:r>
                    <w:rPr>
                      <w:rFonts w:hint="eastAsia"/>
                      <w:b/>
                      <w:bCs/>
                      <w:szCs w:val="21"/>
                    </w:rPr>
                    <w:t>服务招标</w:t>
                  </w:r>
                </w:p>
              </w:tc>
              <w:tc>
                <w:tcPr>
                  <w:tcW w:w="1184" w:type="dxa"/>
                  <w:tcBorders>
                    <w:top w:val="single" w:color="auto" w:sz="4" w:space="0"/>
                    <w:left w:val="single" w:color="auto" w:sz="4" w:space="0"/>
                    <w:bottom w:val="single" w:color="auto" w:sz="4" w:space="0"/>
                    <w:right w:val="single" w:color="auto" w:sz="12" w:space="0"/>
                  </w:tcBorders>
                  <w:shd w:val="clear" w:color="auto" w:fill="D7D7D7"/>
                  <w:vAlign w:val="center"/>
                </w:tcPr>
                <w:p w14:paraId="0E2AC293">
                  <w:pPr>
                    <w:adjustRightInd w:val="0"/>
                    <w:snapToGrid w:val="0"/>
                    <w:spacing w:line="264" w:lineRule="auto"/>
                    <w:ind w:right="26"/>
                    <w:jc w:val="center"/>
                    <w:rPr>
                      <w:b/>
                      <w:bCs/>
                      <w:szCs w:val="21"/>
                    </w:rPr>
                  </w:pPr>
                  <w:r>
                    <w:rPr>
                      <w:rFonts w:hint="eastAsia"/>
                      <w:b/>
                      <w:bCs/>
                      <w:szCs w:val="21"/>
                    </w:rPr>
                    <w:t>工程招标</w:t>
                  </w:r>
                </w:p>
              </w:tc>
            </w:tr>
            <w:tr w14:paraId="08AD19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19E2651F">
                  <w:pPr>
                    <w:adjustRightInd w:val="0"/>
                    <w:snapToGrid w:val="0"/>
                    <w:spacing w:line="264" w:lineRule="auto"/>
                    <w:ind w:right="26"/>
                    <w:jc w:val="left"/>
                    <w:rPr>
                      <w:szCs w:val="21"/>
                    </w:rPr>
                  </w:pPr>
                  <w:r>
                    <w:rPr>
                      <w:szCs w:val="21"/>
                    </w:rPr>
                    <w:t>100</w:t>
                  </w:r>
                  <w:r>
                    <w:rPr>
                      <w:rFonts w:hint="eastAsia"/>
                      <w:szCs w:val="21"/>
                    </w:rPr>
                    <w:t>万元以下</w:t>
                  </w:r>
                </w:p>
              </w:tc>
              <w:tc>
                <w:tcPr>
                  <w:tcW w:w="1172" w:type="dxa"/>
                  <w:tcBorders>
                    <w:top w:val="single" w:color="auto" w:sz="4" w:space="0"/>
                    <w:left w:val="single" w:color="auto" w:sz="4" w:space="0"/>
                    <w:bottom w:val="single" w:color="auto" w:sz="4" w:space="0"/>
                    <w:right w:val="single" w:color="auto" w:sz="4" w:space="0"/>
                  </w:tcBorders>
                  <w:vAlign w:val="center"/>
                </w:tcPr>
                <w:p w14:paraId="30B227D6">
                  <w:pPr>
                    <w:adjustRightInd w:val="0"/>
                    <w:snapToGrid w:val="0"/>
                    <w:spacing w:line="264" w:lineRule="auto"/>
                    <w:ind w:right="26"/>
                    <w:jc w:val="center"/>
                    <w:rPr>
                      <w:szCs w:val="21"/>
                    </w:rPr>
                  </w:pPr>
                  <w:r>
                    <w:rPr>
                      <w:szCs w:val="21"/>
                    </w:rPr>
                    <w:t>1.5%</w:t>
                  </w:r>
                </w:p>
              </w:tc>
              <w:tc>
                <w:tcPr>
                  <w:tcW w:w="1460" w:type="dxa"/>
                  <w:tcBorders>
                    <w:top w:val="single" w:color="auto" w:sz="4" w:space="0"/>
                    <w:left w:val="single" w:color="auto" w:sz="4" w:space="0"/>
                    <w:bottom w:val="single" w:color="auto" w:sz="4" w:space="0"/>
                    <w:right w:val="single" w:color="auto" w:sz="4" w:space="0"/>
                  </w:tcBorders>
                  <w:vAlign w:val="center"/>
                </w:tcPr>
                <w:p w14:paraId="15F9873C">
                  <w:pPr>
                    <w:adjustRightInd w:val="0"/>
                    <w:snapToGrid w:val="0"/>
                    <w:spacing w:line="264" w:lineRule="auto"/>
                    <w:ind w:right="26"/>
                    <w:jc w:val="center"/>
                    <w:rPr>
                      <w:szCs w:val="21"/>
                    </w:rPr>
                  </w:pPr>
                  <w:r>
                    <w:rPr>
                      <w:szCs w:val="21"/>
                    </w:rPr>
                    <w:t>1.5%</w:t>
                  </w:r>
                </w:p>
              </w:tc>
              <w:tc>
                <w:tcPr>
                  <w:tcW w:w="1184" w:type="dxa"/>
                  <w:tcBorders>
                    <w:top w:val="single" w:color="auto" w:sz="4" w:space="0"/>
                    <w:left w:val="single" w:color="auto" w:sz="4" w:space="0"/>
                    <w:bottom w:val="single" w:color="auto" w:sz="4" w:space="0"/>
                    <w:right w:val="single" w:color="auto" w:sz="12" w:space="0"/>
                  </w:tcBorders>
                  <w:vAlign w:val="center"/>
                </w:tcPr>
                <w:p w14:paraId="62C345C4">
                  <w:pPr>
                    <w:adjustRightInd w:val="0"/>
                    <w:snapToGrid w:val="0"/>
                    <w:spacing w:line="264" w:lineRule="auto"/>
                    <w:ind w:right="26"/>
                    <w:jc w:val="center"/>
                    <w:rPr>
                      <w:szCs w:val="21"/>
                    </w:rPr>
                  </w:pPr>
                  <w:r>
                    <w:rPr>
                      <w:szCs w:val="21"/>
                    </w:rPr>
                    <w:t>1.0%</w:t>
                  </w:r>
                </w:p>
              </w:tc>
            </w:tr>
            <w:tr w14:paraId="72E35E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59748CFC">
                  <w:pPr>
                    <w:adjustRightInd w:val="0"/>
                    <w:snapToGrid w:val="0"/>
                    <w:spacing w:line="264" w:lineRule="auto"/>
                    <w:ind w:right="26"/>
                    <w:jc w:val="left"/>
                    <w:rPr>
                      <w:szCs w:val="21"/>
                    </w:rPr>
                  </w:pPr>
                  <w:r>
                    <w:rPr>
                      <w:szCs w:val="21"/>
                    </w:rPr>
                    <w:t>100</w:t>
                  </w:r>
                  <w:r>
                    <w:rPr>
                      <w:rFonts w:hint="eastAsia"/>
                      <w:szCs w:val="21"/>
                    </w:rPr>
                    <w:t>万元（含）</w:t>
                  </w:r>
                  <w:r>
                    <w:rPr>
                      <w:szCs w:val="21"/>
                    </w:rPr>
                    <w:t>-500</w:t>
                  </w:r>
                  <w:r>
                    <w:rPr>
                      <w:rFonts w:hint="eastAsia"/>
                      <w:szCs w:val="21"/>
                    </w:rPr>
                    <w:t>万元</w:t>
                  </w:r>
                </w:p>
              </w:tc>
              <w:tc>
                <w:tcPr>
                  <w:tcW w:w="1172" w:type="dxa"/>
                  <w:tcBorders>
                    <w:top w:val="single" w:color="auto" w:sz="4" w:space="0"/>
                    <w:left w:val="single" w:color="auto" w:sz="4" w:space="0"/>
                    <w:bottom w:val="single" w:color="auto" w:sz="4" w:space="0"/>
                    <w:right w:val="single" w:color="auto" w:sz="4" w:space="0"/>
                  </w:tcBorders>
                  <w:vAlign w:val="center"/>
                </w:tcPr>
                <w:p w14:paraId="57F161F3">
                  <w:pPr>
                    <w:adjustRightInd w:val="0"/>
                    <w:snapToGrid w:val="0"/>
                    <w:spacing w:line="264" w:lineRule="auto"/>
                    <w:ind w:right="26"/>
                    <w:jc w:val="center"/>
                    <w:rPr>
                      <w:szCs w:val="21"/>
                    </w:rPr>
                  </w:pPr>
                  <w:r>
                    <w:rPr>
                      <w:szCs w:val="21"/>
                    </w:rPr>
                    <w:t>1.1%</w:t>
                  </w:r>
                </w:p>
              </w:tc>
              <w:tc>
                <w:tcPr>
                  <w:tcW w:w="1460" w:type="dxa"/>
                  <w:tcBorders>
                    <w:top w:val="single" w:color="auto" w:sz="4" w:space="0"/>
                    <w:left w:val="single" w:color="auto" w:sz="4" w:space="0"/>
                    <w:bottom w:val="single" w:color="auto" w:sz="4" w:space="0"/>
                    <w:right w:val="single" w:color="auto" w:sz="4" w:space="0"/>
                  </w:tcBorders>
                  <w:vAlign w:val="center"/>
                </w:tcPr>
                <w:p w14:paraId="5F808479">
                  <w:pPr>
                    <w:adjustRightInd w:val="0"/>
                    <w:snapToGrid w:val="0"/>
                    <w:spacing w:line="264" w:lineRule="auto"/>
                    <w:ind w:right="26"/>
                    <w:jc w:val="center"/>
                    <w:rPr>
                      <w:szCs w:val="21"/>
                    </w:rPr>
                  </w:pPr>
                  <w:r>
                    <w:rPr>
                      <w:szCs w:val="21"/>
                    </w:rPr>
                    <w:t>0.8%</w:t>
                  </w:r>
                </w:p>
              </w:tc>
              <w:tc>
                <w:tcPr>
                  <w:tcW w:w="1184" w:type="dxa"/>
                  <w:tcBorders>
                    <w:top w:val="single" w:color="auto" w:sz="4" w:space="0"/>
                    <w:left w:val="single" w:color="auto" w:sz="4" w:space="0"/>
                    <w:bottom w:val="single" w:color="auto" w:sz="4" w:space="0"/>
                    <w:right w:val="single" w:color="auto" w:sz="12" w:space="0"/>
                  </w:tcBorders>
                  <w:vAlign w:val="center"/>
                </w:tcPr>
                <w:p w14:paraId="75B25610">
                  <w:pPr>
                    <w:adjustRightInd w:val="0"/>
                    <w:snapToGrid w:val="0"/>
                    <w:spacing w:line="264" w:lineRule="auto"/>
                    <w:ind w:right="26"/>
                    <w:jc w:val="center"/>
                    <w:rPr>
                      <w:szCs w:val="21"/>
                    </w:rPr>
                  </w:pPr>
                  <w:r>
                    <w:rPr>
                      <w:szCs w:val="21"/>
                    </w:rPr>
                    <w:t>0.7%</w:t>
                  </w:r>
                </w:p>
              </w:tc>
            </w:tr>
            <w:tr w14:paraId="7484B1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3C56E9AC">
                  <w:pPr>
                    <w:adjustRightInd w:val="0"/>
                    <w:snapToGrid w:val="0"/>
                    <w:spacing w:line="264" w:lineRule="auto"/>
                    <w:ind w:right="26"/>
                    <w:jc w:val="left"/>
                    <w:rPr>
                      <w:szCs w:val="21"/>
                    </w:rPr>
                  </w:pPr>
                  <w:r>
                    <w:rPr>
                      <w:szCs w:val="21"/>
                    </w:rPr>
                    <w:t>500</w:t>
                  </w:r>
                  <w:r>
                    <w:rPr>
                      <w:rFonts w:hint="eastAsia"/>
                      <w:szCs w:val="21"/>
                    </w:rPr>
                    <w:t>万元（含）</w:t>
                  </w:r>
                  <w:r>
                    <w:rPr>
                      <w:szCs w:val="21"/>
                    </w:rPr>
                    <w:t>-1000</w:t>
                  </w:r>
                  <w:r>
                    <w:rPr>
                      <w:rFonts w:hint="eastAsia"/>
                      <w:szCs w:val="21"/>
                    </w:rPr>
                    <w:t>万元</w:t>
                  </w:r>
                </w:p>
              </w:tc>
              <w:tc>
                <w:tcPr>
                  <w:tcW w:w="1172" w:type="dxa"/>
                  <w:tcBorders>
                    <w:top w:val="single" w:color="auto" w:sz="4" w:space="0"/>
                    <w:left w:val="single" w:color="auto" w:sz="4" w:space="0"/>
                    <w:bottom w:val="single" w:color="auto" w:sz="4" w:space="0"/>
                    <w:right w:val="single" w:color="auto" w:sz="4" w:space="0"/>
                  </w:tcBorders>
                  <w:vAlign w:val="center"/>
                </w:tcPr>
                <w:p w14:paraId="67EAFC73">
                  <w:pPr>
                    <w:adjustRightInd w:val="0"/>
                    <w:snapToGrid w:val="0"/>
                    <w:spacing w:line="264" w:lineRule="auto"/>
                    <w:ind w:right="26"/>
                    <w:jc w:val="center"/>
                    <w:rPr>
                      <w:szCs w:val="21"/>
                    </w:rPr>
                  </w:pPr>
                  <w:r>
                    <w:rPr>
                      <w:szCs w:val="21"/>
                    </w:rPr>
                    <w:t>0.8%</w:t>
                  </w:r>
                </w:p>
              </w:tc>
              <w:tc>
                <w:tcPr>
                  <w:tcW w:w="1460" w:type="dxa"/>
                  <w:tcBorders>
                    <w:top w:val="single" w:color="auto" w:sz="4" w:space="0"/>
                    <w:left w:val="single" w:color="auto" w:sz="4" w:space="0"/>
                    <w:bottom w:val="single" w:color="auto" w:sz="4" w:space="0"/>
                    <w:right w:val="single" w:color="auto" w:sz="4" w:space="0"/>
                  </w:tcBorders>
                  <w:vAlign w:val="center"/>
                </w:tcPr>
                <w:p w14:paraId="10ADAF29">
                  <w:pPr>
                    <w:adjustRightInd w:val="0"/>
                    <w:snapToGrid w:val="0"/>
                    <w:spacing w:line="264" w:lineRule="auto"/>
                    <w:ind w:right="26"/>
                    <w:jc w:val="center"/>
                    <w:rPr>
                      <w:szCs w:val="21"/>
                    </w:rPr>
                  </w:pPr>
                  <w:r>
                    <w:rPr>
                      <w:szCs w:val="21"/>
                    </w:rPr>
                    <w:t>0.45%</w:t>
                  </w:r>
                </w:p>
              </w:tc>
              <w:tc>
                <w:tcPr>
                  <w:tcW w:w="1184" w:type="dxa"/>
                  <w:tcBorders>
                    <w:top w:val="single" w:color="auto" w:sz="4" w:space="0"/>
                    <w:left w:val="single" w:color="auto" w:sz="4" w:space="0"/>
                    <w:bottom w:val="single" w:color="auto" w:sz="4" w:space="0"/>
                    <w:right w:val="single" w:color="auto" w:sz="12" w:space="0"/>
                  </w:tcBorders>
                  <w:vAlign w:val="center"/>
                </w:tcPr>
                <w:p w14:paraId="5A886F15">
                  <w:pPr>
                    <w:adjustRightInd w:val="0"/>
                    <w:snapToGrid w:val="0"/>
                    <w:spacing w:line="264" w:lineRule="auto"/>
                    <w:ind w:right="26"/>
                    <w:jc w:val="center"/>
                    <w:rPr>
                      <w:szCs w:val="21"/>
                    </w:rPr>
                  </w:pPr>
                  <w:r>
                    <w:rPr>
                      <w:szCs w:val="21"/>
                    </w:rPr>
                    <w:t>0.55%</w:t>
                  </w:r>
                </w:p>
              </w:tc>
            </w:tr>
            <w:tr w14:paraId="42A184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35FBBC97">
                  <w:pPr>
                    <w:adjustRightInd w:val="0"/>
                    <w:snapToGrid w:val="0"/>
                    <w:spacing w:line="264" w:lineRule="auto"/>
                    <w:ind w:right="26"/>
                    <w:jc w:val="left"/>
                    <w:rPr>
                      <w:szCs w:val="21"/>
                    </w:rPr>
                  </w:pPr>
                  <w:r>
                    <w:rPr>
                      <w:szCs w:val="21"/>
                    </w:rPr>
                    <w:t>1000</w:t>
                  </w:r>
                  <w:r>
                    <w:rPr>
                      <w:rFonts w:hint="eastAsia"/>
                      <w:szCs w:val="21"/>
                    </w:rPr>
                    <w:t>万元（含）</w:t>
                  </w:r>
                  <w:r>
                    <w:rPr>
                      <w:szCs w:val="21"/>
                    </w:rPr>
                    <w:t>-5000</w:t>
                  </w:r>
                  <w:r>
                    <w:rPr>
                      <w:rFonts w:hint="eastAsia"/>
                      <w:szCs w:val="21"/>
                    </w:rPr>
                    <w:t>万元</w:t>
                  </w:r>
                </w:p>
              </w:tc>
              <w:tc>
                <w:tcPr>
                  <w:tcW w:w="1172" w:type="dxa"/>
                  <w:tcBorders>
                    <w:top w:val="single" w:color="auto" w:sz="4" w:space="0"/>
                    <w:left w:val="single" w:color="auto" w:sz="4" w:space="0"/>
                    <w:bottom w:val="single" w:color="auto" w:sz="4" w:space="0"/>
                    <w:right w:val="single" w:color="auto" w:sz="4" w:space="0"/>
                  </w:tcBorders>
                  <w:vAlign w:val="center"/>
                </w:tcPr>
                <w:p w14:paraId="291CBDCB">
                  <w:pPr>
                    <w:adjustRightInd w:val="0"/>
                    <w:snapToGrid w:val="0"/>
                    <w:spacing w:line="264" w:lineRule="auto"/>
                    <w:ind w:right="26"/>
                    <w:jc w:val="center"/>
                    <w:rPr>
                      <w:szCs w:val="21"/>
                    </w:rPr>
                  </w:pPr>
                  <w:r>
                    <w:rPr>
                      <w:szCs w:val="21"/>
                    </w:rPr>
                    <w:t>0.5%</w:t>
                  </w:r>
                </w:p>
              </w:tc>
              <w:tc>
                <w:tcPr>
                  <w:tcW w:w="1460" w:type="dxa"/>
                  <w:tcBorders>
                    <w:top w:val="single" w:color="auto" w:sz="4" w:space="0"/>
                    <w:left w:val="single" w:color="auto" w:sz="4" w:space="0"/>
                    <w:bottom w:val="single" w:color="auto" w:sz="4" w:space="0"/>
                    <w:right w:val="single" w:color="auto" w:sz="4" w:space="0"/>
                  </w:tcBorders>
                  <w:vAlign w:val="center"/>
                </w:tcPr>
                <w:p w14:paraId="034DCFDE">
                  <w:pPr>
                    <w:adjustRightInd w:val="0"/>
                    <w:snapToGrid w:val="0"/>
                    <w:spacing w:line="264" w:lineRule="auto"/>
                    <w:ind w:right="26"/>
                    <w:jc w:val="center"/>
                    <w:rPr>
                      <w:szCs w:val="21"/>
                    </w:rPr>
                  </w:pPr>
                  <w:r>
                    <w:rPr>
                      <w:szCs w:val="21"/>
                    </w:rPr>
                    <w:t>0.25%</w:t>
                  </w:r>
                </w:p>
              </w:tc>
              <w:tc>
                <w:tcPr>
                  <w:tcW w:w="1184" w:type="dxa"/>
                  <w:tcBorders>
                    <w:top w:val="single" w:color="auto" w:sz="4" w:space="0"/>
                    <w:left w:val="single" w:color="auto" w:sz="4" w:space="0"/>
                    <w:bottom w:val="single" w:color="auto" w:sz="4" w:space="0"/>
                    <w:right w:val="single" w:color="auto" w:sz="12" w:space="0"/>
                  </w:tcBorders>
                  <w:vAlign w:val="center"/>
                </w:tcPr>
                <w:p w14:paraId="735AE98A">
                  <w:pPr>
                    <w:adjustRightInd w:val="0"/>
                    <w:snapToGrid w:val="0"/>
                    <w:spacing w:line="264" w:lineRule="auto"/>
                    <w:ind w:right="26"/>
                    <w:jc w:val="center"/>
                    <w:rPr>
                      <w:szCs w:val="21"/>
                    </w:rPr>
                  </w:pPr>
                  <w:r>
                    <w:rPr>
                      <w:szCs w:val="21"/>
                    </w:rPr>
                    <w:t>0.35%</w:t>
                  </w:r>
                </w:p>
              </w:tc>
            </w:tr>
            <w:tr w14:paraId="16E22E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620AD287">
                  <w:pPr>
                    <w:adjustRightInd w:val="0"/>
                    <w:snapToGrid w:val="0"/>
                    <w:spacing w:line="264" w:lineRule="auto"/>
                    <w:ind w:right="26"/>
                    <w:jc w:val="left"/>
                    <w:rPr>
                      <w:szCs w:val="21"/>
                    </w:rPr>
                  </w:pPr>
                  <w:r>
                    <w:rPr>
                      <w:szCs w:val="21"/>
                    </w:rPr>
                    <w:t>5000</w:t>
                  </w:r>
                  <w:r>
                    <w:rPr>
                      <w:rFonts w:hint="eastAsia"/>
                      <w:szCs w:val="21"/>
                    </w:rPr>
                    <w:t>万元（含）</w:t>
                  </w:r>
                  <w:r>
                    <w:rPr>
                      <w:szCs w:val="21"/>
                    </w:rPr>
                    <w:t>-1</w:t>
                  </w:r>
                  <w:r>
                    <w:rPr>
                      <w:rFonts w:hint="eastAsia"/>
                      <w:szCs w:val="21"/>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4EDEFA4A">
                  <w:pPr>
                    <w:adjustRightInd w:val="0"/>
                    <w:snapToGrid w:val="0"/>
                    <w:spacing w:line="264" w:lineRule="auto"/>
                    <w:ind w:right="26"/>
                    <w:jc w:val="center"/>
                    <w:rPr>
                      <w:szCs w:val="21"/>
                    </w:rPr>
                  </w:pPr>
                  <w:r>
                    <w:rPr>
                      <w:szCs w:val="21"/>
                    </w:rPr>
                    <w:t>0.25%</w:t>
                  </w:r>
                </w:p>
              </w:tc>
              <w:tc>
                <w:tcPr>
                  <w:tcW w:w="1460" w:type="dxa"/>
                  <w:tcBorders>
                    <w:top w:val="single" w:color="auto" w:sz="4" w:space="0"/>
                    <w:left w:val="single" w:color="auto" w:sz="4" w:space="0"/>
                    <w:bottom w:val="single" w:color="auto" w:sz="4" w:space="0"/>
                    <w:right w:val="single" w:color="auto" w:sz="4" w:space="0"/>
                  </w:tcBorders>
                  <w:vAlign w:val="center"/>
                </w:tcPr>
                <w:p w14:paraId="6873A6C4">
                  <w:pPr>
                    <w:adjustRightInd w:val="0"/>
                    <w:snapToGrid w:val="0"/>
                    <w:spacing w:line="264" w:lineRule="auto"/>
                    <w:ind w:right="26"/>
                    <w:jc w:val="center"/>
                    <w:rPr>
                      <w:szCs w:val="21"/>
                    </w:rPr>
                  </w:pPr>
                  <w:r>
                    <w:rPr>
                      <w:szCs w:val="21"/>
                    </w:rPr>
                    <w:t>0.1%</w:t>
                  </w:r>
                </w:p>
              </w:tc>
              <w:tc>
                <w:tcPr>
                  <w:tcW w:w="1184" w:type="dxa"/>
                  <w:tcBorders>
                    <w:top w:val="single" w:color="auto" w:sz="4" w:space="0"/>
                    <w:left w:val="single" w:color="auto" w:sz="4" w:space="0"/>
                    <w:bottom w:val="single" w:color="auto" w:sz="4" w:space="0"/>
                    <w:right w:val="single" w:color="auto" w:sz="12" w:space="0"/>
                  </w:tcBorders>
                  <w:vAlign w:val="center"/>
                </w:tcPr>
                <w:p w14:paraId="1EE9AE59">
                  <w:pPr>
                    <w:adjustRightInd w:val="0"/>
                    <w:snapToGrid w:val="0"/>
                    <w:spacing w:line="264" w:lineRule="auto"/>
                    <w:ind w:right="26"/>
                    <w:jc w:val="center"/>
                    <w:rPr>
                      <w:szCs w:val="21"/>
                    </w:rPr>
                  </w:pPr>
                  <w:r>
                    <w:rPr>
                      <w:szCs w:val="21"/>
                    </w:rPr>
                    <w:t>0.2%</w:t>
                  </w:r>
                </w:p>
              </w:tc>
            </w:tr>
            <w:tr w14:paraId="6EA4EB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7657A86A">
                  <w:pPr>
                    <w:adjustRightInd w:val="0"/>
                    <w:snapToGrid w:val="0"/>
                    <w:spacing w:line="264" w:lineRule="auto"/>
                    <w:ind w:right="26"/>
                    <w:jc w:val="left"/>
                    <w:rPr>
                      <w:szCs w:val="21"/>
                    </w:rPr>
                  </w:pPr>
                  <w:r>
                    <w:rPr>
                      <w:szCs w:val="21"/>
                    </w:rPr>
                    <w:t>1</w:t>
                  </w:r>
                  <w:r>
                    <w:rPr>
                      <w:rFonts w:hint="eastAsia"/>
                      <w:szCs w:val="21"/>
                    </w:rPr>
                    <w:t>亿元（含）</w:t>
                  </w:r>
                  <w:r>
                    <w:rPr>
                      <w:szCs w:val="21"/>
                    </w:rPr>
                    <w:t>-5</w:t>
                  </w:r>
                  <w:r>
                    <w:rPr>
                      <w:rFonts w:hint="eastAsia"/>
                      <w:szCs w:val="21"/>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1B61158D">
                  <w:pPr>
                    <w:adjustRightInd w:val="0"/>
                    <w:snapToGrid w:val="0"/>
                    <w:spacing w:line="264" w:lineRule="auto"/>
                    <w:ind w:right="26"/>
                    <w:jc w:val="center"/>
                    <w:rPr>
                      <w:szCs w:val="21"/>
                    </w:rPr>
                  </w:pPr>
                  <w:r>
                    <w:rPr>
                      <w:szCs w:val="21"/>
                    </w:rPr>
                    <w:t>0.05%</w:t>
                  </w:r>
                </w:p>
              </w:tc>
              <w:tc>
                <w:tcPr>
                  <w:tcW w:w="1460" w:type="dxa"/>
                  <w:tcBorders>
                    <w:top w:val="single" w:color="auto" w:sz="4" w:space="0"/>
                    <w:left w:val="single" w:color="auto" w:sz="4" w:space="0"/>
                    <w:bottom w:val="single" w:color="auto" w:sz="4" w:space="0"/>
                    <w:right w:val="single" w:color="auto" w:sz="4" w:space="0"/>
                  </w:tcBorders>
                  <w:vAlign w:val="center"/>
                </w:tcPr>
                <w:p w14:paraId="6A4283BE">
                  <w:pPr>
                    <w:adjustRightInd w:val="0"/>
                    <w:snapToGrid w:val="0"/>
                    <w:spacing w:line="264" w:lineRule="auto"/>
                    <w:ind w:right="26"/>
                    <w:jc w:val="center"/>
                    <w:rPr>
                      <w:szCs w:val="21"/>
                    </w:rPr>
                  </w:pPr>
                  <w:r>
                    <w:rPr>
                      <w:szCs w:val="21"/>
                    </w:rPr>
                    <w:t>0.05%</w:t>
                  </w:r>
                </w:p>
              </w:tc>
              <w:tc>
                <w:tcPr>
                  <w:tcW w:w="1184" w:type="dxa"/>
                  <w:tcBorders>
                    <w:top w:val="single" w:color="auto" w:sz="4" w:space="0"/>
                    <w:left w:val="single" w:color="auto" w:sz="4" w:space="0"/>
                    <w:bottom w:val="single" w:color="auto" w:sz="4" w:space="0"/>
                    <w:right w:val="single" w:color="auto" w:sz="12" w:space="0"/>
                  </w:tcBorders>
                  <w:vAlign w:val="center"/>
                </w:tcPr>
                <w:p w14:paraId="7014EF15">
                  <w:pPr>
                    <w:adjustRightInd w:val="0"/>
                    <w:snapToGrid w:val="0"/>
                    <w:spacing w:line="264" w:lineRule="auto"/>
                    <w:ind w:right="26"/>
                    <w:jc w:val="center"/>
                    <w:rPr>
                      <w:szCs w:val="21"/>
                    </w:rPr>
                  </w:pPr>
                  <w:r>
                    <w:rPr>
                      <w:szCs w:val="21"/>
                    </w:rPr>
                    <w:t>0.05%</w:t>
                  </w:r>
                </w:p>
              </w:tc>
            </w:tr>
            <w:tr w14:paraId="72E5BE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7EEAA62A">
                  <w:pPr>
                    <w:adjustRightInd w:val="0"/>
                    <w:snapToGrid w:val="0"/>
                    <w:spacing w:line="264" w:lineRule="auto"/>
                    <w:ind w:right="26"/>
                    <w:jc w:val="left"/>
                    <w:rPr>
                      <w:szCs w:val="21"/>
                    </w:rPr>
                  </w:pPr>
                  <w:r>
                    <w:rPr>
                      <w:szCs w:val="21"/>
                    </w:rPr>
                    <w:t>5</w:t>
                  </w:r>
                  <w:r>
                    <w:rPr>
                      <w:rFonts w:hint="eastAsia"/>
                      <w:szCs w:val="21"/>
                    </w:rPr>
                    <w:t>亿元（含）</w:t>
                  </w:r>
                  <w:r>
                    <w:rPr>
                      <w:szCs w:val="21"/>
                    </w:rPr>
                    <w:t>-10</w:t>
                  </w:r>
                  <w:r>
                    <w:rPr>
                      <w:rFonts w:hint="eastAsia"/>
                      <w:szCs w:val="21"/>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12EFA5FD">
                  <w:pPr>
                    <w:adjustRightInd w:val="0"/>
                    <w:snapToGrid w:val="0"/>
                    <w:spacing w:line="264" w:lineRule="auto"/>
                    <w:ind w:right="26"/>
                    <w:jc w:val="center"/>
                    <w:rPr>
                      <w:szCs w:val="21"/>
                    </w:rPr>
                  </w:pPr>
                  <w:r>
                    <w:rPr>
                      <w:szCs w:val="21"/>
                    </w:rPr>
                    <w:t>0.035%</w:t>
                  </w:r>
                </w:p>
              </w:tc>
              <w:tc>
                <w:tcPr>
                  <w:tcW w:w="1460" w:type="dxa"/>
                  <w:tcBorders>
                    <w:top w:val="single" w:color="auto" w:sz="4" w:space="0"/>
                    <w:left w:val="single" w:color="auto" w:sz="4" w:space="0"/>
                    <w:bottom w:val="single" w:color="auto" w:sz="4" w:space="0"/>
                    <w:right w:val="single" w:color="auto" w:sz="4" w:space="0"/>
                  </w:tcBorders>
                  <w:vAlign w:val="center"/>
                </w:tcPr>
                <w:p w14:paraId="590DAA41">
                  <w:pPr>
                    <w:adjustRightInd w:val="0"/>
                    <w:snapToGrid w:val="0"/>
                    <w:spacing w:line="264" w:lineRule="auto"/>
                    <w:ind w:right="26"/>
                    <w:jc w:val="center"/>
                    <w:rPr>
                      <w:szCs w:val="21"/>
                    </w:rPr>
                  </w:pPr>
                  <w:r>
                    <w:rPr>
                      <w:szCs w:val="21"/>
                    </w:rPr>
                    <w:t>0.035%</w:t>
                  </w:r>
                </w:p>
              </w:tc>
              <w:tc>
                <w:tcPr>
                  <w:tcW w:w="1184" w:type="dxa"/>
                  <w:tcBorders>
                    <w:top w:val="single" w:color="auto" w:sz="4" w:space="0"/>
                    <w:left w:val="single" w:color="auto" w:sz="4" w:space="0"/>
                    <w:bottom w:val="single" w:color="auto" w:sz="4" w:space="0"/>
                    <w:right w:val="single" w:color="auto" w:sz="12" w:space="0"/>
                  </w:tcBorders>
                  <w:vAlign w:val="center"/>
                </w:tcPr>
                <w:p w14:paraId="0856FA79">
                  <w:pPr>
                    <w:adjustRightInd w:val="0"/>
                    <w:snapToGrid w:val="0"/>
                    <w:spacing w:line="264" w:lineRule="auto"/>
                    <w:ind w:right="26"/>
                    <w:jc w:val="center"/>
                    <w:rPr>
                      <w:szCs w:val="21"/>
                    </w:rPr>
                  </w:pPr>
                  <w:r>
                    <w:rPr>
                      <w:szCs w:val="21"/>
                    </w:rPr>
                    <w:t>0.035%</w:t>
                  </w:r>
                </w:p>
              </w:tc>
            </w:tr>
            <w:tr w14:paraId="7F9C7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3B3517AB">
                  <w:pPr>
                    <w:adjustRightInd w:val="0"/>
                    <w:snapToGrid w:val="0"/>
                    <w:spacing w:line="264" w:lineRule="auto"/>
                    <w:ind w:right="26"/>
                    <w:jc w:val="left"/>
                    <w:rPr>
                      <w:szCs w:val="21"/>
                    </w:rPr>
                  </w:pPr>
                  <w:r>
                    <w:rPr>
                      <w:szCs w:val="21"/>
                    </w:rPr>
                    <w:t>10</w:t>
                  </w:r>
                  <w:r>
                    <w:rPr>
                      <w:rFonts w:hint="eastAsia"/>
                      <w:szCs w:val="21"/>
                    </w:rPr>
                    <w:t>亿元（含）</w:t>
                  </w:r>
                  <w:r>
                    <w:rPr>
                      <w:szCs w:val="21"/>
                    </w:rPr>
                    <w:t>-50</w:t>
                  </w:r>
                  <w:r>
                    <w:rPr>
                      <w:rFonts w:hint="eastAsia"/>
                      <w:szCs w:val="21"/>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3A2F54DD">
                  <w:pPr>
                    <w:adjustRightInd w:val="0"/>
                    <w:snapToGrid w:val="0"/>
                    <w:spacing w:line="264" w:lineRule="auto"/>
                    <w:ind w:right="26"/>
                    <w:jc w:val="center"/>
                    <w:rPr>
                      <w:szCs w:val="21"/>
                    </w:rPr>
                  </w:pPr>
                  <w:r>
                    <w:rPr>
                      <w:szCs w:val="21"/>
                    </w:rPr>
                    <w:t>0.008%</w:t>
                  </w:r>
                </w:p>
              </w:tc>
              <w:tc>
                <w:tcPr>
                  <w:tcW w:w="1460" w:type="dxa"/>
                  <w:tcBorders>
                    <w:top w:val="single" w:color="auto" w:sz="4" w:space="0"/>
                    <w:left w:val="single" w:color="auto" w:sz="4" w:space="0"/>
                    <w:bottom w:val="single" w:color="auto" w:sz="4" w:space="0"/>
                    <w:right w:val="single" w:color="auto" w:sz="4" w:space="0"/>
                  </w:tcBorders>
                  <w:vAlign w:val="center"/>
                </w:tcPr>
                <w:p w14:paraId="28E916A5">
                  <w:pPr>
                    <w:adjustRightInd w:val="0"/>
                    <w:snapToGrid w:val="0"/>
                    <w:spacing w:line="264" w:lineRule="auto"/>
                    <w:ind w:right="26"/>
                    <w:jc w:val="center"/>
                    <w:rPr>
                      <w:szCs w:val="21"/>
                    </w:rPr>
                  </w:pPr>
                  <w:r>
                    <w:rPr>
                      <w:szCs w:val="21"/>
                    </w:rPr>
                    <w:t>0.008%</w:t>
                  </w:r>
                </w:p>
              </w:tc>
              <w:tc>
                <w:tcPr>
                  <w:tcW w:w="1184" w:type="dxa"/>
                  <w:tcBorders>
                    <w:top w:val="single" w:color="auto" w:sz="4" w:space="0"/>
                    <w:left w:val="single" w:color="auto" w:sz="4" w:space="0"/>
                    <w:bottom w:val="single" w:color="auto" w:sz="4" w:space="0"/>
                    <w:right w:val="single" w:color="auto" w:sz="12" w:space="0"/>
                  </w:tcBorders>
                  <w:vAlign w:val="center"/>
                </w:tcPr>
                <w:p w14:paraId="0190A5AB">
                  <w:pPr>
                    <w:adjustRightInd w:val="0"/>
                    <w:snapToGrid w:val="0"/>
                    <w:spacing w:line="264" w:lineRule="auto"/>
                    <w:ind w:right="26"/>
                    <w:jc w:val="center"/>
                    <w:rPr>
                      <w:szCs w:val="21"/>
                    </w:rPr>
                  </w:pPr>
                  <w:r>
                    <w:rPr>
                      <w:szCs w:val="21"/>
                    </w:rPr>
                    <w:t>0.008%</w:t>
                  </w:r>
                </w:p>
              </w:tc>
            </w:tr>
            <w:tr w14:paraId="025360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4" w:space="0"/>
                    <w:right w:val="single" w:color="auto" w:sz="4" w:space="0"/>
                  </w:tcBorders>
                  <w:vAlign w:val="center"/>
                </w:tcPr>
                <w:p w14:paraId="38BDBACB">
                  <w:pPr>
                    <w:adjustRightInd w:val="0"/>
                    <w:snapToGrid w:val="0"/>
                    <w:spacing w:line="264" w:lineRule="auto"/>
                    <w:ind w:right="26"/>
                    <w:jc w:val="left"/>
                    <w:rPr>
                      <w:szCs w:val="21"/>
                    </w:rPr>
                  </w:pPr>
                  <w:r>
                    <w:rPr>
                      <w:szCs w:val="21"/>
                    </w:rPr>
                    <w:t>50</w:t>
                  </w:r>
                  <w:r>
                    <w:rPr>
                      <w:rFonts w:hint="eastAsia"/>
                      <w:szCs w:val="21"/>
                    </w:rPr>
                    <w:t>亿元（含）</w:t>
                  </w:r>
                  <w:r>
                    <w:rPr>
                      <w:szCs w:val="21"/>
                    </w:rPr>
                    <w:t>-100</w:t>
                  </w:r>
                  <w:r>
                    <w:rPr>
                      <w:rFonts w:hint="eastAsia"/>
                      <w:szCs w:val="21"/>
                    </w:rPr>
                    <w:t>亿元</w:t>
                  </w:r>
                </w:p>
              </w:tc>
              <w:tc>
                <w:tcPr>
                  <w:tcW w:w="1172" w:type="dxa"/>
                  <w:tcBorders>
                    <w:top w:val="single" w:color="auto" w:sz="4" w:space="0"/>
                    <w:left w:val="single" w:color="auto" w:sz="4" w:space="0"/>
                    <w:bottom w:val="single" w:color="auto" w:sz="4" w:space="0"/>
                    <w:right w:val="single" w:color="auto" w:sz="4" w:space="0"/>
                  </w:tcBorders>
                  <w:vAlign w:val="center"/>
                </w:tcPr>
                <w:p w14:paraId="4F14C465">
                  <w:pPr>
                    <w:adjustRightInd w:val="0"/>
                    <w:snapToGrid w:val="0"/>
                    <w:spacing w:line="264" w:lineRule="auto"/>
                    <w:ind w:right="26"/>
                    <w:jc w:val="center"/>
                    <w:rPr>
                      <w:szCs w:val="21"/>
                    </w:rPr>
                  </w:pPr>
                  <w:r>
                    <w:rPr>
                      <w:szCs w:val="21"/>
                    </w:rPr>
                    <w:t>0.006%</w:t>
                  </w:r>
                </w:p>
              </w:tc>
              <w:tc>
                <w:tcPr>
                  <w:tcW w:w="1460" w:type="dxa"/>
                  <w:tcBorders>
                    <w:top w:val="single" w:color="auto" w:sz="4" w:space="0"/>
                    <w:left w:val="single" w:color="auto" w:sz="4" w:space="0"/>
                    <w:bottom w:val="single" w:color="auto" w:sz="4" w:space="0"/>
                    <w:right w:val="single" w:color="auto" w:sz="4" w:space="0"/>
                  </w:tcBorders>
                  <w:vAlign w:val="center"/>
                </w:tcPr>
                <w:p w14:paraId="035A2807">
                  <w:pPr>
                    <w:adjustRightInd w:val="0"/>
                    <w:snapToGrid w:val="0"/>
                    <w:spacing w:line="264" w:lineRule="auto"/>
                    <w:ind w:right="26"/>
                    <w:jc w:val="center"/>
                    <w:rPr>
                      <w:szCs w:val="21"/>
                    </w:rPr>
                  </w:pPr>
                  <w:r>
                    <w:rPr>
                      <w:szCs w:val="21"/>
                    </w:rPr>
                    <w:t>0.006%</w:t>
                  </w:r>
                </w:p>
              </w:tc>
              <w:tc>
                <w:tcPr>
                  <w:tcW w:w="1184" w:type="dxa"/>
                  <w:tcBorders>
                    <w:top w:val="single" w:color="auto" w:sz="4" w:space="0"/>
                    <w:left w:val="single" w:color="auto" w:sz="4" w:space="0"/>
                    <w:bottom w:val="single" w:color="auto" w:sz="4" w:space="0"/>
                    <w:right w:val="single" w:color="auto" w:sz="12" w:space="0"/>
                  </w:tcBorders>
                  <w:vAlign w:val="center"/>
                </w:tcPr>
                <w:p w14:paraId="314225ED">
                  <w:pPr>
                    <w:adjustRightInd w:val="0"/>
                    <w:snapToGrid w:val="0"/>
                    <w:spacing w:line="264" w:lineRule="auto"/>
                    <w:ind w:right="26"/>
                    <w:jc w:val="center"/>
                    <w:rPr>
                      <w:szCs w:val="21"/>
                    </w:rPr>
                  </w:pPr>
                  <w:r>
                    <w:rPr>
                      <w:szCs w:val="21"/>
                    </w:rPr>
                    <w:t>0.006%</w:t>
                  </w:r>
                </w:p>
              </w:tc>
            </w:tr>
            <w:tr w14:paraId="5B0A5A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704" w:type="dxa"/>
                  <w:tcBorders>
                    <w:top w:val="single" w:color="auto" w:sz="4" w:space="0"/>
                    <w:left w:val="single" w:color="auto" w:sz="12" w:space="0"/>
                    <w:bottom w:val="single" w:color="auto" w:sz="12" w:space="0"/>
                    <w:right w:val="single" w:color="auto" w:sz="4" w:space="0"/>
                  </w:tcBorders>
                  <w:vAlign w:val="center"/>
                </w:tcPr>
                <w:p w14:paraId="5DAE9560">
                  <w:pPr>
                    <w:adjustRightInd w:val="0"/>
                    <w:snapToGrid w:val="0"/>
                    <w:spacing w:line="264" w:lineRule="auto"/>
                    <w:ind w:right="26"/>
                    <w:jc w:val="left"/>
                    <w:rPr>
                      <w:szCs w:val="21"/>
                    </w:rPr>
                  </w:pPr>
                  <w:r>
                    <w:rPr>
                      <w:szCs w:val="21"/>
                    </w:rPr>
                    <w:t>100</w:t>
                  </w:r>
                  <w:r>
                    <w:rPr>
                      <w:rFonts w:hint="eastAsia"/>
                      <w:szCs w:val="21"/>
                    </w:rPr>
                    <w:t>亿元（含）以上</w:t>
                  </w:r>
                </w:p>
              </w:tc>
              <w:tc>
                <w:tcPr>
                  <w:tcW w:w="1172" w:type="dxa"/>
                  <w:tcBorders>
                    <w:top w:val="single" w:color="auto" w:sz="4" w:space="0"/>
                    <w:left w:val="single" w:color="auto" w:sz="4" w:space="0"/>
                    <w:bottom w:val="single" w:color="auto" w:sz="12" w:space="0"/>
                    <w:right w:val="single" w:color="auto" w:sz="4" w:space="0"/>
                  </w:tcBorders>
                  <w:vAlign w:val="center"/>
                </w:tcPr>
                <w:p w14:paraId="033E6EA8">
                  <w:pPr>
                    <w:adjustRightInd w:val="0"/>
                    <w:snapToGrid w:val="0"/>
                    <w:spacing w:line="264" w:lineRule="auto"/>
                    <w:ind w:right="26"/>
                    <w:jc w:val="center"/>
                    <w:rPr>
                      <w:szCs w:val="21"/>
                    </w:rPr>
                  </w:pPr>
                  <w:r>
                    <w:rPr>
                      <w:szCs w:val="21"/>
                    </w:rPr>
                    <w:t>0.004%</w:t>
                  </w:r>
                </w:p>
              </w:tc>
              <w:tc>
                <w:tcPr>
                  <w:tcW w:w="1460" w:type="dxa"/>
                  <w:tcBorders>
                    <w:top w:val="single" w:color="auto" w:sz="4" w:space="0"/>
                    <w:left w:val="single" w:color="auto" w:sz="4" w:space="0"/>
                    <w:bottom w:val="single" w:color="auto" w:sz="12" w:space="0"/>
                    <w:right w:val="single" w:color="auto" w:sz="4" w:space="0"/>
                  </w:tcBorders>
                  <w:vAlign w:val="center"/>
                </w:tcPr>
                <w:p w14:paraId="2E013AD6">
                  <w:pPr>
                    <w:adjustRightInd w:val="0"/>
                    <w:snapToGrid w:val="0"/>
                    <w:spacing w:line="264" w:lineRule="auto"/>
                    <w:ind w:right="26"/>
                    <w:jc w:val="center"/>
                    <w:rPr>
                      <w:szCs w:val="21"/>
                    </w:rPr>
                  </w:pPr>
                  <w:r>
                    <w:rPr>
                      <w:szCs w:val="21"/>
                    </w:rPr>
                    <w:t>0.004%</w:t>
                  </w:r>
                </w:p>
              </w:tc>
              <w:tc>
                <w:tcPr>
                  <w:tcW w:w="1184" w:type="dxa"/>
                  <w:tcBorders>
                    <w:top w:val="single" w:color="auto" w:sz="4" w:space="0"/>
                    <w:left w:val="single" w:color="auto" w:sz="4" w:space="0"/>
                    <w:bottom w:val="single" w:color="auto" w:sz="12" w:space="0"/>
                    <w:right w:val="single" w:color="auto" w:sz="12" w:space="0"/>
                  </w:tcBorders>
                  <w:vAlign w:val="center"/>
                </w:tcPr>
                <w:p w14:paraId="201D89AC">
                  <w:pPr>
                    <w:adjustRightInd w:val="0"/>
                    <w:snapToGrid w:val="0"/>
                    <w:spacing w:line="264" w:lineRule="auto"/>
                    <w:ind w:right="26"/>
                    <w:jc w:val="center"/>
                    <w:rPr>
                      <w:szCs w:val="21"/>
                    </w:rPr>
                  </w:pPr>
                  <w:r>
                    <w:rPr>
                      <w:szCs w:val="21"/>
                    </w:rPr>
                    <w:t>0.004%</w:t>
                  </w:r>
                </w:p>
              </w:tc>
            </w:tr>
          </w:tbl>
          <w:p w14:paraId="534BC8B0">
            <w:pPr>
              <w:adjustRightInd w:val="0"/>
              <w:snapToGrid w:val="0"/>
              <w:spacing w:line="264" w:lineRule="auto"/>
              <w:ind w:right="26"/>
              <w:rPr>
                <w:b/>
                <w:bCs/>
                <w:szCs w:val="21"/>
              </w:rPr>
            </w:pPr>
            <w:r>
              <w:rPr>
                <w:rFonts w:hint="eastAsia"/>
                <w:b/>
                <w:bCs/>
                <w:szCs w:val="21"/>
              </w:rPr>
              <w:t>注：</w:t>
            </w:r>
          </w:p>
          <w:p w14:paraId="479A39C7">
            <w:pPr>
              <w:adjustRightInd w:val="0"/>
              <w:snapToGrid w:val="0"/>
              <w:spacing w:line="264" w:lineRule="auto"/>
              <w:ind w:right="26" w:firstLine="420" w:firstLineChars="200"/>
              <w:rPr>
                <w:szCs w:val="21"/>
              </w:rPr>
            </w:pPr>
            <w:r>
              <w:rPr>
                <w:szCs w:val="21"/>
              </w:rPr>
              <w:t>1</w:t>
            </w:r>
            <w:r>
              <w:rPr>
                <w:rFonts w:hint="eastAsia"/>
                <w:szCs w:val="21"/>
              </w:rPr>
              <w:t>、招标代理服务收费按差额定率累进法计算；</w:t>
            </w:r>
          </w:p>
          <w:p w14:paraId="0D391E8E">
            <w:pPr>
              <w:adjustRightInd w:val="0"/>
              <w:snapToGrid w:val="0"/>
              <w:spacing w:line="264" w:lineRule="auto"/>
              <w:ind w:right="26" w:firstLine="420" w:firstLineChars="200"/>
              <w:rPr>
                <w:szCs w:val="21"/>
              </w:rPr>
            </w:pPr>
            <w:r>
              <w:rPr>
                <w:szCs w:val="21"/>
              </w:rPr>
              <w:t>2</w:t>
            </w:r>
            <w:r>
              <w:rPr>
                <w:rFonts w:hint="eastAsia"/>
                <w:szCs w:val="21"/>
              </w:rPr>
              <w:t>、本次招标为服务招标，招标代理（中标）服务费按服务招标计费标准收费。</w:t>
            </w:r>
          </w:p>
          <w:p w14:paraId="127499A4">
            <w:pPr>
              <w:adjustRightInd w:val="0"/>
              <w:snapToGrid w:val="0"/>
              <w:spacing w:line="264" w:lineRule="auto"/>
              <w:ind w:right="26" w:firstLine="420" w:firstLineChars="200"/>
              <w:rPr>
                <w:szCs w:val="21"/>
              </w:rPr>
            </w:pPr>
            <w:r>
              <w:rPr>
                <w:szCs w:val="21"/>
              </w:rPr>
              <w:t>3</w:t>
            </w:r>
            <w:r>
              <w:rPr>
                <w:rFonts w:hint="eastAsia"/>
                <w:szCs w:val="21"/>
              </w:rPr>
              <w:t>、招标代理服务费缴纳至：</w:t>
            </w:r>
          </w:p>
          <w:p w14:paraId="033FC850">
            <w:pPr>
              <w:adjustRightInd w:val="0"/>
              <w:snapToGrid w:val="0"/>
              <w:spacing w:line="264" w:lineRule="auto"/>
              <w:ind w:right="26" w:firstLine="420" w:firstLineChars="200"/>
              <w:rPr>
                <w:szCs w:val="21"/>
              </w:rPr>
            </w:pPr>
            <w:r>
              <w:rPr>
                <w:rFonts w:hint="eastAsia"/>
                <w:szCs w:val="21"/>
              </w:rPr>
              <w:t>开户行：中国农业银行股份有限公司深圳东湖支行</w:t>
            </w:r>
          </w:p>
          <w:p w14:paraId="28F2F727">
            <w:pPr>
              <w:adjustRightInd w:val="0"/>
              <w:snapToGrid w:val="0"/>
              <w:spacing w:line="264" w:lineRule="auto"/>
              <w:ind w:right="26" w:firstLine="420" w:firstLineChars="200"/>
              <w:rPr>
                <w:szCs w:val="21"/>
              </w:rPr>
            </w:pPr>
            <w:r>
              <w:rPr>
                <w:rFonts w:hint="eastAsia"/>
                <w:szCs w:val="21"/>
              </w:rPr>
              <w:t>帐户名称：深圳市东海国际招标有限公司</w:t>
            </w:r>
          </w:p>
          <w:p w14:paraId="45DDF97A">
            <w:pPr>
              <w:adjustRightInd w:val="0"/>
              <w:snapToGrid w:val="0"/>
              <w:spacing w:line="264" w:lineRule="auto"/>
              <w:ind w:right="26" w:firstLine="420" w:firstLineChars="200"/>
            </w:pPr>
            <w:r>
              <w:rPr>
                <w:rFonts w:hint="eastAsia"/>
                <w:szCs w:val="21"/>
              </w:rPr>
              <w:t>帐号：</w:t>
            </w:r>
            <w:r>
              <w:rPr>
                <w:szCs w:val="21"/>
              </w:rPr>
              <w:t>4100 1800 0400 2656 1</w:t>
            </w:r>
          </w:p>
        </w:tc>
      </w:tr>
      <w:tr w14:paraId="593D292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265" w:type="pct"/>
            <w:vAlign w:val="center"/>
          </w:tcPr>
          <w:p w14:paraId="41EE5534">
            <w:pPr>
              <w:jc w:val="center"/>
              <w:rPr>
                <w:rFonts w:hint="eastAsia" w:eastAsia="宋体"/>
                <w:lang w:val="en-US" w:eastAsia="zh-CN"/>
              </w:rPr>
            </w:pPr>
            <w:r>
              <w:rPr>
                <w:rFonts w:hint="eastAsia"/>
                <w:lang w:val="en-US" w:eastAsia="zh-CN"/>
              </w:rPr>
              <w:t>7</w:t>
            </w:r>
          </w:p>
        </w:tc>
        <w:tc>
          <w:tcPr>
            <w:tcW w:w="762" w:type="pct"/>
            <w:vAlign w:val="center"/>
          </w:tcPr>
          <w:p w14:paraId="4E177272">
            <w:pPr>
              <w:rPr>
                <w:rFonts w:hint="eastAsia"/>
                <w:b w:val="0"/>
                <w:bCs/>
              </w:rPr>
            </w:pPr>
            <w:r>
              <w:rPr>
                <w:rFonts w:hint="eastAsia"/>
                <w:b w:val="0"/>
                <w:bCs/>
                <w:szCs w:val="21"/>
              </w:rPr>
              <w:t>带“</w:t>
            </w:r>
            <w:r>
              <w:rPr>
                <w:rFonts w:hint="eastAsia" w:ascii="宋体" w:hAnsi="宋体" w:cs="宋体"/>
                <w:b w:val="0"/>
                <w:bCs/>
                <w:szCs w:val="21"/>
              </w:rPr>
              <w:t>★</w:t>
            </w:r>
            <w:r>
              <w:rPr>
                <w:rFonts w:hint="eastAsia"/>
                <w:b w:val="0"/>
                <w:bCs/>
                <w:szCs w:val="21"/>
              </w:rPr>
              <w:t>”指标项为实质性条款</w:t>
            </w:r>
          </w:p>
        </w:tc>
        <w:tc>
          <w:tcPr>
            <w:tcW w:w="3972" w:type="pct"/>
            <w:vAlign w:val="center"/>
          </w:tcPr>
          <w:p w14:paraId="5407C991">
            <w:pPr>
              <w:adjustRightInd w:val="0"/>
              <w:snapToGrid w:val="0"/>
              <w:spacing w:line="264" w:lineRule="auto"/>
              <w:ind w:right="26" w:firstLine="420" w:firstLineChars="200"/>
              <w:rPr>
                <w:rFonts w:hint="eastAsia"/>
                <w:b w:val="0"/>
                <w:bCs/>
                <w:szCs w:val="21"/>
              </w:rPr>
            </w:pPr>
            <w:r>
              <w:rPr>
                <w:rFonts w:hint="eastAsia"/>
                <w:b w:val="0"/>
                <w:bCs/>
                <w:szCs w:val="21"/>
              </w:rPr>
              <w:t>说明：带“</w:t>
            </w:r>
            <w:r>
              <w:rPr>
                <w:rFonts w:hint="eastAsia" w:ascii="宋体" w:hAnsi="宋体" w:cs="宋体"/>
                <w:b w:val="0"/>
                <w:bCs/>
                <w:szCs w:val="21"/>
              </w:rPr>
              <w:t>★</w:t>
            </w:r>
            <w:r>
              <w:rPr>
                <w:rFonts w:hint="eastAsia"/>
                <w:b w:val="0"/>
                <w:bCs/>
                <w:szCs w:val="21"/>
              </w:rPr>
              <w:t>”指标项为实质性条款，如出现负偏离，将被视为未实质性满足招标文件要求作投标无效处理。</w:t>
            </w:r>
          </w:p>
        </w:tc>
      </w:tr>
    </w:tbl>
    <w:p w14:paraId="77AC2BE2">
      <w:r>
        <w:rPr>
          <w:rFonts w:hint="eastAsia"/>
          <w:szCs w:val="21"/>
        </w:rPr>
        <w:t>备注：本表为通用条款相关内容的补充和明确，如与通用条款相冲突的以本表为准。</w:t>
      </w:r>
    </w:p>
    <w:p w14:paraId="08B7036F">
      <w:pPr>
        <w:rPr>
          <w:rFonts w:cs="宋体"/>
          <w:b/>
          <w:bCs/>
          <w:sz w:val="32"/>
          <w:szCs w:val="32"/>
        </w:rPr>
      </w:pPr>
      <w:bookmarkStart w:id="28" w:name="_Toc128884461"/>
      <w:r>
        <w:rPr>
          <w:rFonts w:hint="eastAsia" w:cs="宋体"/>
          <w:b/>
          <w:bCs/>
          <w:sz w:val="32"/>
          <w:szCs w:val="32"/>
        </w:rPr>
        <w:br w:type="page"/>
      </w:r>
    </w:p>
    <w:p w14:paraId="062B08D9">
      <w:pPr>
        <w:pStyle w:val="3"/>
        <w:keepNext w:val="0"/>
        <w:keepLines w:val="0"/>
        <w:pageBreakBefore w:val="0"/>
        <w:widowControl w:val="0"/>
        <w:numPr>
          <w:ilvl w:val="0"/>
          <w:numId w:val="8"/>
        </w:numPr>
        <w:kinsoku/>
        <w:wordWrap/>
        <w:overflowPunct/>
        <w:topLinePunct w:val="0"/>
        <w:autoSpaceDE/>
        <w:autoSpaceDN/>
        <w:bidi w:val="0"/>
        <w:adjustRightInd w:val="0"/>
        <w:snapToGrid/>
        <w:spacing w:before="0" w:after="0"/>
        <w:ind w:left="0" w:leftChars="0" w:firstLine="0" w:firstLineChars="0"/>
        <w:textAlignment w:val="baseline"/>
        <w:rPr>
          <w:rFonts w:hint="eastAsia" w:ascii="宋体" w:hAnsi="宋体" w:eastAsia="宋体" w:cs="宋体"/>
          <w:b/>
          <w:bCs/>
          <w:sz w:val="32"/>
          <w:szCs w:val="32"/>
        </w:rPr>
      </w:pPr>
      <w:r>
        <w:rPr>
          <w:rFonts w:hint="eastAsia" w:ascii="宋体" w:hAnsi="宋体" w:eastAsia="宋体" w:cs="宋体"/>
          <w:b/>
          <w:bCs/>
          <w:sz w:val="32"/>
          <w:szCs w:val="32"/>
        </w:rPr>
        <w:t>实质性条款</w:t>
      </w:r>
    </w:p>
    <w:tbl>
      <w:tblPr>
        <w:tblStyle w:val="4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7573"/>
      </w:tblGrid>
      <w:tr w14:paraId="6BB2A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shd w:val="clear" w:color="auto" w:fill="DCE6F2" w:themeFill="accent1" w:themeFillTint="32"/>
            <w:vAlign w:val="center"/>
          </w:tcPr>
          <w:p w14:paraId="35FEFB81">
            <w:pPr>
              <w:adjustRightInd w:val="0"/>
              <w:snapToGrid w:val="0"/>
              <w:spacing w:line="360" w:lineRule="exact"/>
              <w:jc w:val="center"/>
              <w:rPr>
                <w:b/>
                <w:bCs/>
                <w:kern w:val="0"/>
                <w:sz w:val="22"/>
                <w:szCs w:val="22"/>
                <w:highlight w:val="none"/>
              </w:rPr>
            </w:pPr>
            <w:r>
              <w:rPr>
                <w:b/>
                <w:bCs/>
                <w:kern w:val="0"/>
                <w:sz w:val="22"/>
                <w:szCs w:val="22"/>
                <w:highlight w:val="none"/>
              </w:rPr>
              <w:t>序号</w:t>
            </w:r>
          </w:p>
        </w:tc>
        <w:tc>
          <w:tcPr>
            <w:tcW w:w="4444" w:type="pct"/>
            <w:shd w:val="clear" w:color="auto" w:fill="DCE6F2" w:themeFill="accent1" w:themeFillTint="32"/>
            <w:vAlign w:val="center"/>
          </w:tcPr>
          <w:p w14:paraId="007DB7B4">
            <w:pPr>
              <w:adjustRightInd w:val="0"/>
              <w:snapToGrid w:val="0"/>
              <w:spacing w:line="360" w:lineRule="exact"/>
              <w:jc w:val="center"/>
              <w:rPr>
                <w:b/>
                <w:bCs/>
                <w:kern w:val="0"/>
                <w:sz w:val="22"/>
                <w:szCs w:val="22"/>
                <w:highlight w:val="none"/>
              </w:rPr>
            </w:pPr>
            <w:r>
              <w:rPr>
                <w:b/>
                <w:bCs/>
                <w:kern w:val="0"/>
                <w:sz w:val="22"/>
                <w:szCs w:val="22"/>
                <w:highlight w:val="none"/>
              </w:rPr>
              <w:t>具体内容</w:t>
            </w:r>
          </w:p>
        </w:tc>
      </w:tr>
      <w:tr w14:paraId="5D232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pct"/>
            <w:vAlign w:val="center"/>
          </w:tcPr>
          <w:p w14:paraId="27B81679">
            <w:pPr>
              <w:adjustRightInd w:val="0"/>
              <w:snapToGrid w:val="0"/>
              <w:spacing w:line="360" w:lineRule="exact"/>
              <w:jc w:val="center"/>
              <w:rPr>
                <w:kern w:val="0"/>
                <w:sz w:val="22"/>
                <w:szCs w:val="22"/>
                <w:highlight w:val="none"/>
              </w:rPr>
            </w:pPr>
            <w:r>
              <w:rPr>
                <w:kern w:val="0"/>
                <w:sz w:val="22"/>
                <w:szCs w:val="22"/>
                <w:highlight w:val="none"/>
              </w:rPr>
              <w:t>1</w:t>
            </w:r>
          </w:p>
        </w:tc>
        <w:tc>
          <w:tcPr>
            <w:tcW w:w="4444" w:type="pct"/>
            <w:vAlign w:val="center"/>
          </w:tcPr>
          <w:p w14:paraId="61DBA927">
            <w:pPr>
              <w:adjustRightInd w:val="0"/>
              <w:snapToGrid w:val="0"/>
              <w:spacing w:line="360" w:lineRule="exact"/>
              <w:jc w:val="left"/>
              <w:rPr>
                <w:kern w:val="0"/>
                <w:sz w:val="22"/>
                <w:szCs w:val="22"/>
                <w:highlight w:val="none"/>
              </w:rPr>
            </w:pPr>
            <w:r>
              <w:rPr>
                <w:rFonts w:hint="eastAsia"/>
                <w:b w:val="0"/>
                <w:bCs/>
                <w:szCs w:val="21"/>
              </w:rPr>
              <w:t>带“</w:t>
            </w:r>
            <w:r>
              <w:rPr>
                <w:rFonts w:hint="eastAsia" w:ascii="宋体" w:hAnsi="宋体" w:cs="宋体"/>
                <w:b w:val="0"/>
                <w:bCs/>
                <w:szCs w:val="21"/>
              </w:rPr>
              <w:t>★</w:t>
            </w:r>
            <w:r>
              <w:rPr>
                <w:rFonts w:hint="eastAsia"/>
                <w:b w:val="0"/>
                <w:bCs/>
                <w:szCs w:val="21"/>
              </w:rPr>
              <w:t>”指标项</w:t>
            </w:r>
            <w:r>
              <w:rPr>
                <w:b w:val="0"/>
                <w:bCs/>
                <w:kern w:val="0"/>
                <w:sz w:val="22"/>
                <w:szCs w:val="22"/>
              </w:rPr>
              <w:t>完全满足本项目的要求</w:t>
            </w:r>
          </w:p>
        </w:tc>
      </w:tr>
    </w:tbl>
    <w:p w14:paraId="2596E9DC">
      <w:pPr>
        <w:ind w:firstLine="442" w:firstLineChars="200"/>
        <w:rPr>
          <w:b/>
          <w:sz w:val="22"/>
          <w:szCs w:val="22"/>
        </w:rPr>
      </w:pPr>
    </w:p>
    <w:p w14:paraId="7BC78D90">
      <w:pPr>
        <w:ind w:firstLine="442" w:firstLineChars="200"/>
        <w:rPr>
          <w:b/>
          <w:sz w:val="22"/>
          <w:szCs w:val="22"/>
        </w:rPr>
      </w:pPr>
      <w:r>
        <w:rPr>
          <w:rFonts w:hint="eastAsia"/>
          <w:b/>
          <w:sz w:val="22"/>
          <w:szCs w:val="22"/>
        </w:rPr>
        <w:t>注：上表所列内容为不可负偏离条款</w:t>
      </w:r>
      <w:bookmarkEnd w:id="28"/>
      <w:r>
        <w:rPr>
          <w:rFonts w:hint="eastAsia"/>
          <w:b/>
          <w:sz w:val="22"/>
          <w:szCs w:val="22"/>
        </w:rPr>
        <w:t>。</w:t>
      </w:r>
    </w:p>
    <w:p w14:paraId="668037FC">
      <w:pPr>
        <w:pStyle w:val="3"/>
        <w:keepNext w:val="0"/>
        <w:keepLines w:val="0"/>
        <w:pageBreakBefore w:val="0"/>
        <w:widowControl w:val="0"/>
        <w:numPr>
          <w:ilvl w:val="0"/>
          <w:numId w:val="8"/>
        </w:numPr>
        <w:kinsoku/>
        <w:wordWrap/>
        <w:overflowPunct/>
        <w:topLinePunct w:val="0"/>
        <w:autoSpaceDE/>
        <w:autoSpaceDN/>
        <w:bidi w:val="0"/>
        <w:adjustRightInd w:val="0"/>
        <w:snapToGrid/>
        <w:spacing w:before="0" w:after="0"/>
        <w:ind w:left="0" w:leftChars="0" w:firstLine="0" w:firstLineChars="0"/>
        <w:textAlignment w:val="baseline"/>
        <w:rPr>
          <w:rFonts w:hint="eastAsia" w:ascii="宋体" w:hAnsi="宋体" w:eastAsia="宋体" w:cs="宋体"/>
          <w:b/>
          <w:bCs/>
          <w:sz w:val="32"/>
          <w:szCs w:val="32"/>
        </w:rPr>
      </w:pPr>
      <w:r>
        <w:rPr>
          <w:rFonts w:hint="eastAsia" w:ascii="宋体" w:hAnsi="宋体" w:eastAsia="宋体" w:cs="宋体"/>
          <w:b/>
          <w:bCs/>
          <w:sz w:val="32"/>
          <w:szCs w:val="32"/>
        </w:rPr>
        <w:t>项目清单</w:t>
      </w:r>
    </w:p>
    <w:p w14:paraId="38475EEC">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Fonts w:hint="eastAsia"/>
          <w:color w:val="auto"/>
          <w:lang w:eastAsia="zh-CN"/>
        </w:rPr>
      </w:pPr>
      <w:r>
        <w:rPr>
          <w:rFonts w:hint="eastAsia" w:ascii="宋体" w:hAnsi="宋体" w:eastAsia="宋体" w:cs="宋体"/>
          <w:b w:val="0"/>
          <w:bCs w:val="0"/>
          <w:color w:val="auto"/>
          <w:kern w:val="0"/>
          <w:sz w:val="24"/>
          <w:szCs w:val="24"/>
          <w:lang w:val="en-US" w:eastAsia="zh-CN" w:bidi="ar-SA"/>
        </w:rPr>
        <w:t>服务需求清单：</w:t>
      </w:r>
    </w:p>
    <w:tbl>
      <w:tblPr>
        <w:tblStyle w:val="44"/>
        <w:tblW w:w="85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4377"/>
        <w:gridCol w:w="954"/>
        <w:gridCol w:w="2383"/>
      </w:tblGrid>
      <w:tr w14:paraId="48806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64" w:type="dxa"/>
            <w:vAlign w:val="center"/>
          </w:tcPr>
          <w:p w14:paraId="386CEFB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val="0"/>
                <w:color w:val="auto"/>
                <w:szCs w:val="21"/>
              </w:rPr>
            </w:pPr>
            <w:r>
              <w:rPr>
                <w:rFonts w:hint="eastAsia"/>
                <w:b/>
                <w:bCs w:val="0"/>
                <w:color w:val="auto"/>
                <w:szCs w:val="21"/>
              </w:rPr>
              <w:t>序号</w:t>
            </w:r>
          </w:p>
        </w:tc>
        <w:tc>
          <w:tcPr>
            <w:tcW w:w="4377" w:type="dxa"/>
            <w:vAlign w:val="center"/>
          </w:tcPr>
          <w:p w14:paraId="3D10CD1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val="0"/>
                <w:color w:val="auto"/>
                <w:szCs w:val="21"/>
              </w:rPr>
            </w:pPr>
            <w:r>
              <w:rPr>
                <w:rFonts w:hint="eastAsia"/>
                <w:b/>
                <w:bCs w:val="0"/>
                <w:color w:val="auto"/>
                <w:szCs w:val="21"/>
              </w:rPr>
              <w:t>服务需求名称（标的名称）</w:t>
            </w:r>
          </w:p>
        </w:tc>
        <w:tc>
          <w:tcPr>
            <w:tcW w:w="954" w:type="dxa"/>
            <w:vAlign w:val="center"/>
          </w:tcPr>
          <w:p w14:paraId="676105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val="0"/>
                <w:color w:val="auto"/>
                <w:szCs w:val="21"/>
              </w:rPr>
            </w:pPr>
            <w:r>
              <w:rPr>
                <w:rFonts w:hint="eastAsia"/>
                <w:b/>
                <w:bCs w:val="0"/>
                <w:color w:val="auto"/>
                <w:szCs w:val="21"/>
              </w:rPr>
              <w:t>数量</w:t>
            </w:r>
          </w:p>
        </w:tc>
        <w:tc>
          <w:tcPr>
            <w:tcW w:w="2383" w:type="dxa"/>
            <w:vAlign w:val="center"/>
          </w:tcPr>
          <w:p w14:paraId="42E298C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val="0"/>
                <w:color w:val="auto"/>
                <w:szCs w:val="21"/>
              </w:rPr>
            </w:pPr>
            <w:r>
              <w:rPr>
                <w:rFonts w:hint="eastAsia"/>
                <w:b/>
                <w:bCs w:val="0"/>
                <w:color w:val="auto"/>
                <w:szCs w:val="21"/>
              </w:rPr>
              <w:t>单位</w:t>
            </w:r>
          </w:p>
        </w:tc>
      </w:tr>
      <w:tr w14:paraId="6374E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64" w:type="dxa"/>
            <w:vAlign w:val="center"/>
          </w:tcPr>
          <w:p w14:paraId="0AD453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Cs/>
                <w:color w:val="auto"/>
                <w:szCs w:val="21"/>
              </w:rPr>
            </w:pPr>
            <w:r>
              <w:rPr>
                <w:rFonts w:hint="eastAsia"/>
                <w:bCs/>
                <w:color w:val="auto"/>
                <w:szCs w:val="21"/>
              </w:rPr>
              <w:t>1</w:t>
            </w:r>
          </w:p>
        </w:tc>
        <w:tc>
          <w:tcPr>
            <w:tcW w:w="4377" w:type="dxa"/>
            <w:vAlign w:val="center"/>
          </w:tcPr>
          <w:p w14:paraId="45D9A9B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Cs/>
                <w:color w:val="auto"/>
                <w:szCs w:val="21"/>
                <w:lang w:eastAsia="zh-CN"/>
              </w:rPr>
            </w:pPr>
            <w:r>
              <w:rPr>
                <w:rFonts w:hint="eastAsia"/>
                <w:bCs/>
                <w:color w:val="auto"/>
                <w:szCs w:val="21"/>
                <w:lang w:eastAsia="zh-CN"/>
              </w:rPr>
              <w:t>深圳市公安局龙华分局民治等5个派出所食堂物资配送</w:t>
            </w:r>
          </w:p>
        </w:tc>
        <w:tc>
          <w:tcPr>
            <w:tcW w:w="954" w:type="dxa"/>
            <w:vAlign w:val="center"/>
          </w:tcPr>
          <w:p w14:paraId="272B7CB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Cs/>
                <w:color w:val="auto"/>
                <w:szCs w:val="21"/>
                <w:lang w:eastAsia="zh-CN"/>
              </w:rPr>
            </w:pPr>
            <w:r>
              <w:rPr>
                <w:rFonts w:hint="eastAsia"/>
                <w:color w:val="auto"/>
                <w:lang w:val="en-US" w:eastAsia="zh-CN"/>
              </w:rPr>
              <w:t>1</w:t>
            </w:r>
          </w:p>
        </w:tc>
        <w:tc>
          <w:tcPr>
            <w:tcW w:w="2383" w:type="dxa"/>
            <w:vAlign w:val="center"/>
          </w:tcPr>
          <w:p w14:paraId="235EDA1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bCs/>
                <w:color w:val="auto"/>
                <w:szCs w:val="21"/>
                <w:lang w:eastAsia="zh-CN"/>
              </w:rPr>
            </w:pPr>
            <w:r>
              <w:rPr>
                <w:rFonts w:hint="eastAsia"/>
                <w:bCs/>
                <w:color w:val="auto"/>
                <w:szCs w:val="21"/>
                <w:lang w:eastAsia="zh-CN"/>
              </w:rPr>
              <w:t>项</w:t>
            </w:r>
          </w:p>
        </w:tc>
      </w:tr>
    </w:tbl>
    <w:p w14:paraId="46B87B0F">
      <w:pPr>
        <w:pStyle w:val="5"/>
        <w:keepNext/>
        <w:keepLines/>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lang w:val="en-US" w:eastAsia="zh-CN" w:bidi="ar-SA"/>
        </w:rPr>
        <w:t>详细清单：</w:t>
      </w:r>
    </w:p>
    <w:tbl>
      <w:tblPr>
        <w:tblStyle w:val="44"/>
        <w:tblW w:w="86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452"/>
        <w:gridCol w:w="1500"/>
        <w:gridCol w:w="1987"/>
        <w:gridCol w:w="2974"/>
      </w:tblGrid>
      <w:tr w14:paraId="1D793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14:paraId="5AD20AD8">
            <w:pPr>
              <w:pageBreakBefore w:val="0"/>
              <w:kinsoku/>
              <w:overflowPunct/>
              <w:topLinePunct w:val="0"/>
              <w:bidi w:val="0"/>
              <w:spacing w:line="360" w:lineRule="auto"/>
              <w:ind w:firstLine="0" w:firstLineChars="0"/>
              <w:jc w:val="center"/>
              <w:rPr>
                <w:rFonts w:hint="eastAsia" w:ascii="宋体" w:hAnsi="宋体" w:eastAsia="宋体" w:cs="宋体"/>
                <w:b/>
                <w:bCs/>
                <w:color w:val="auto"/>
                <w:szCs w:val="21"/>
                <w:lang w:eastAsia="zh-CN"/>
              </w:rPr>
            </w:pPr>
            <w:r>
              <w:rPr>
                <w:rFonts w:hint="eastAsia" w:ascii="宋体" w:hAnsi="宋体" w:cs="宋体"/>
                <w:b/>
                <w:bCs/>
                <w:color w:val="auto"/>
                <w:szCs w:val="21"/>
                <w:lang w:eastAsia="zh-CN"/>
              </w:rPr>
              <w:t>标段</w:t>
            </w:r>
          </w:p>
        </w:tc>
        <w:tc>
          <w:tcPr>
            <w:tcW w:w="1452" w:type="dxa"/>
            <w:tcBorders>
              <w:top w:val="single" w:color="auto" w:sz="4" w:space="0"/>
              <w:left w:val="single" w:color="auto" w:sz="4" w:space="0"/>
              <w:bottom w:val="single" w:color="auto" w:sz="4" w:space="0"/>
              <w:right w:val="single" w:color="auto" w:sz="4" w:space="0"/>
            </w:tcBorders>
            <w:noWrap w:val="0"/>
            <w:vAlign w:val="center"/>
          </w:tcPr>
          <w:p w14:paraId="7EC72939">
            <w:pPr>
              <w:pageBreakBefore w:val="0"/>
              <w:kinsoku/>
              <w:overflowPunct/>
              <w:topLinePunct w:val="0"/>
              <w:bidi w:val="0"/>
              <w:spacing w:line="360" w:lineRule="auto"/>
              <w:ind w:firstLine="0" w:firstLineChars="0"/>
              <w:jc w:val="center"/>
              <w:rPr>
                <w:rFonts w:hint="eastAsia" w:ascii="宋体" w:hAnsi="宋体" w:cs="宋体"/>
                <w:b/>
                <w:bCs/>
                <w:color w:val="auto"/>
                <w:szCs w:val="21"/>
              </w:rPr>
            </w:pPr>
            <w:r>
              <w:rPr>
                <w:rFonts w:hint="eastAsia" w:ascii="宋体" w:hAnsi="宋体" w:eastAsia="宋体" w:cs="宋体"/>
                <w:b/>
                <w:bCs/>
                <w:color w:val="auto"/>
                <w:szCs w:val="21"/>
                <w:highlight w:val="yellow"/>
              </w:rPr>
              <w:t>采购计划编号</w:t>
            </w:r>
          </w:p>
        </w:tc>
        <w:tc>
          <w:tcPr>
            <w:tcW w:w="1500" w:type="dxa"/>
            <w:tcBorders>
              <w:top w:val="single" w:color="auto" w:sz="4" w:space="0"/>
              <w:left w:val="single" w:color="auto" w:sz="4" w:space="0"/>
              <w:bottom w:val="single" w:color="auto" w:sz="4" w:space="0"/>
              <w:right w:val="single" w:color="auto" w:sz="4" w:space="0"/>
            </w:tcBorders>
            <w:noWrap w:val="0"/>
            <w:vAlign w:val="center"/>
          </w:tcPr>
          <w:p w14:paraId="567AFD20">
            <w:pPr>
              <w:pageBreakBefore w:val="0"/>
              <w:kinsoku/>
              <w:overflowPunct/>
              <w:topLinePunct w:val="0"/>
              <w:bidi w:val="0"/>
              <w:spacing w:line="360" w:lineRule="auto"/>
              <w:ind w:firstLine="0" w:firstLineChars="0"/>
              <w:jc w:val="center"/>
              <w:rPr>
                <w:rFonts w:hint="eastAsia" w:ascii="宋体" w:hAnsi="宋体" w:eastAsia="宋体" w:cs="宋体"/>
                <w:b/>
                <w:bCs/>
                <w:color w:val="auto"/>
                <w:szCs w:val="21"/>
                <w:lang w:eastAsia="zh-CN"/>
              </w:rPr>
            </w:pPr>
            <w:r>
              <w:rPr>
                <w:rFonts w:hint="eastAsia" w:ascii="宋体" w:hAnsi="宋体" w:cs="宋体"/>
                <w:b/>
                <w:bCs/>
                <w:color w:val="auto"/>
                <w:szCs w:val="21"/>
              </w:rPr>
              <w:t>年度支付上限</w:t>
            </w:r>
            <w:r>
              <w:rPr>
                <w:rFonts w:hint="eastAsia" w:ascii="宋体" w:hAnsi="宋体" w:cs="宋体"/>
                <w:b/>
                <w:bCs/>
                <w:color w:val="auto"/>
                <w:szCs w:val="21"/>
                <w:lang w:eastAsia="zh-CN"/>
              </w:rPr>
              <w:t>（元）</w:t>
            </w:r>
          </w:p>
        </w:tc>
        <w:tc>
          <w:tcPr>
            <w:tcW w:w="1987" w:type="dxa"/>
            <w:tcBorders>
              <w:top w:val="single" w:color="auto" w:sz="4" w:space="0"/>
              <w:left w:val="single" w:color="auto" w:sz="4" w:space="0"/>
              <w:bottom w:val="single" w:color="auto" w:sz="4" w:space="0"/>
              <w:right w:val="single" w:color="auto" w:sz="4" w:space="0"/>
            </w:tcBorders>
            <w:noWrap w:val="0"/>
            <w:vAlign w:val="center"/>
          </w:tcPr>
          <w:p w14:paraId="144046EC">
            <w:pPr>
              <w:pageBreakBefore w:val="0"/>
              <w:kinsoku/>
              <w:overflowPunct/>
              <w:topLinePunct w:val="0"/>
              <w:bidi w:val="0"/>
              <w:spacing w:line="360" w:lineRule="auto"/>
              <w:ind w:firstLine="0" w:firstLineChars="0"/>
              <w:jc w:val="center"/>
              <w:rPr>
                <w:rFonts w:hint="eastAsia" w:ascii="宋体" w:hAnsi="宋体" w:cs="宋体"/>
                <w:b/>
                <w:bCs/>
                <w:color w:val="auto"/>
                <w:szCs w:val="21"/>
              </w:rPr>
            </w:pPr>
            <w:r>
              <w:rPr>
                <w:rFonts w:hint="eastAsia" w:ascii="宋体" w:hAnsi="宋体" w:cs="宋体"/>
                <w:b/>
                <w:bCs/>
                <w:color w:val="auto"/>
                <w:szCs w:val="21"/>
              </w:rPr>
              <w:t>服务范围</w:t>
            </w:r>
          </w:p>
        </w:tc>
        <w:tc>
          <w:tcPr>
            <w:tcW w:w="2974" w:type="dxa"/>
            <w:tcBorders>
              <w:top w:val="single" w:color="auto" w:sz="4" w:space="0"/>
              <w:left w:val="single" w:color="auto" w:sz="4" w:space="0"/>
              <w:bottom w:val="single" w:color="auto" w:sz="4" w:space="0"/>
              <w:right w:val="single" w:color="auto" w:sz="4" w:space="0"/>
            </w:tcBorders>
            <w:noWrap w:val="0"/>
            <w:vAlign w:val="center"/>
          </w:tcPr>
          <w:p w14:paraId="6418F55A">
            <w:pPr>
              <w:pageBreakBefore w:val="0"/>
              <w:kinsoku/>
              <w:overflowPunct/>
              <w:topLinePunct w:val="0"/>
              <w:bidi w:val="0"/>
              <w:spacing w:line="360" w:lineRule="auto"/>
              <w:ind w:firstLine="0" w:firstLineChars="0"/>
              <w:jc w:val="center"/>
              <w:rPr>
                <w:rFonts w:hint="eastAsia" w:ascii="宋体" w:hAnsi="宋体" w:cs="宋体"/>
                <w:b/>
                <w:bCs/>
                <w:color w:val="auto"/>
                <w:szCs w:val="21"/>
              </w:rPr>
            </w:pPr>
            <w:r>
              <w:rPr>
                <w:rFonts w:hint="eastAsia" w:ascii="宋体" w:hAnsi="宋体" w:cs="宋体"/>
                <w:b/>
                <w:bCs/>
                <w:color w:val="auto"/>
                <w:szCs w:val="21"/>
              </w:rPr>
              <w:t>备注</w:t>
            </w:r>
          </w:p>
        </w:tc>
      </w:tr>
      <w:tr w14:paraId="74D5C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5"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14:paraId="49924BBD">
            <w:pPr>
              <w:pageBreakBefore w:val="0"/>
              <w:kinsoku/>
              <w:overflowPunct/>
              <w:topLinePunct w:val="0"/>
              <w:bidi w:val="0"/>
              <w:spacing w:line="360" w:lineRule="auto"/>
              <w:ind w:firstLine="0" w:firstLineChars="0"/>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一</w:t>
            </w:r>
          </w:p>
        </w:tc>
        <w:tc>
          <w:tcPr>
            <w:tcW w:w="1452" w:type="dxa"/>
            <w:tcBorders>
              <w:top w:val="single" w:color="auto" w:sz="4" w:space="0"/>
              <w:left w:val="single" w:color="auto" w:sz="4" w:space="0"/>
              <w:bottom w:val="single" w:color="auto" w:sz="4" w:space="0"/>
              <w:right w:val="single" w:color="auto" w:sz="4" w:space="0"/>
            </w:tcBorders>
            <w:noWrap w:val="0"/>
            <w:vAlign w:val="center"/>
          </w:tcPr>
          <w:p w14:paraId="397E42DC">
            <w:pPr>
              <w:pageBreakBefore w:val="0"/>
              <w:kinsoku/>
              <w:overflowPunct/>
              <w:topLinePunct w:val="0"/>
              <w:bidi w:val="0"/>
              <w:spacing w:line="360" w:lineRule="auto"/>
              <w:ind w:firstLine="0" w:firstLineChars="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        </w:t>
            </w:r>
          </w:p>
        </w:tc>
        <w:tc>
          <w:tcPr>
            <w:tcW w:w="1500" w:type="dxa"/>
            <w:tcBorders>
              <w:top w:val="single" w:color="auto" w:sz="4" w:space="0"/>
              <w:left w:val="single" w:color="auto" w:sz="4" w:space="0"/>
              <w:bottom w:val="single" w:color="auto" w:sz="4" w:space="0"/>
              <w:right w:val="single" w:color="auto" w:sz="4" w:space="0"/>
            </w:tcBorders>
            <w:noWrap w:val="0"/>
            <w:vAlign w:val="center"/>
          </w:tcPr>
          <w:p w14:paraId="60ED4CDE">
            <w:pPr>
              <w:pageBreakBefore w:val="0"/>
              <w:kinsoku/>
              <w:overflowPunct/>
              <w:topLinePunct w:val="0"/>
              <w:bidi w:val="0"/>
              <w:spacing w:line="360" w:lineRule="auto"/>
              <w:ind w:firstLine="0" w:firstLineChars="0"/>
              <w:jc w:val="center"/>
              <w:rPr>
                <w:rFonts w:hint="default" w:ascii="宋体" w:hAnsi="宋体" w:cs="宋体"/>
                <w:color w:val="auto"/>
                <w:szCs w:val="21"/>
                <w:highlight w:val="none"/>
                <w:lang w:val="en-US"/>
              </w:rPr>
            </w:pPr>
            <w:r>
              <w:rPr>
                <w:rFonts w:hint="eastAsia" w:ascii="宋体" w:hAnsi="宋体" w:cs="宋体"/>
                <w:color w:val="auto"/>
                <w:szCs w:val="21"/>
                <w:highlight w:val="none"/>
                <w:lang w:val="en-US" w:eastAsia="zh-CN"/>
              </w:rPr>
              <w:t>9,506,400.00</w:t>
            </w:r>
          </w:p>
        </w:tc>
        <w:tc>
          <w:tcPr>
            <w:tcW w:w="1987" w:type="dxa"/>
            <w:tcBorders>
              <w:top w:val="single" w:color="auto" w:sz="4" w:space="0"/>
              <w:left w:val="single" w:color="auto" w:sz="4" w:space="0"/>
              <w:bottom w:val="single" w:color="auto" w:sz="4" w:space="0"/>
              <w:right w:val="single" w:color="auto" w:sz="4" w:space="0"/>
            </w:tcBorders>
            <w:noWrap w:val="0"/>
            <w:vAlign w:val="center"/>
          </w:tcPr>
          <w:p w14:paraId="06CF8106">
            <w:pPr>
              <w:pageBreakBefore w:val="0"/>
              <w:kinsoku/>
              <w:overflowPunct/>
              <w:topLinePunct w:val="0"/>
              <w:bidi w:val="0"/>
              <w:spacing w:line="360" w:lineRule="auto"/>
              <w:ind w:firstLine="0" w:firstLineChars="0"/>
              <w:jc w:val="center"/>
              <w:rPr>
                <w:rFonts w:hint="eastAsia" w:ascii="宋体" w:hAnsi="宋体" w:cs="宋体"/>
                <w:color w:val="auto"/>
                <w:szCs w:val="21"/>
              </w:rPr>
            </w:pPr>
            <w:r>
              <w:rPr>
                <w:rFonts w:hint="eastAsia" w:ascii="宋体" w:hAnsi="宋体" w:cs="宋体"/>
                <w:color w:val="auto"/>
                <w:szCs w:val="21"/>
                <w:lang w:val="en-US" w:eastAsia="zh-CN"/>
              </w:rPr>
              <w:t>深圳市公安局龙华分局民治派出所、民新派出所、上塘派出所3</w:t>
            </w:r>
            <w:r>
              <w:rPr>
                <w:rFonts w:hint="eastAsia" w:ascii="宋体" w:hAnsi="宋体" w:cs="宋体"/>
                <w:color w:val="auto"/>
                <w:szCs w:val="21"/>
              </w:rPr>
              <w:t>个食堂。</w:t>
            </w:r>
          </w:p>
        </w:tc>
        <w:tc>
          <w:tcPr>
            <w:tcW w:w="2974" w:type="dxa"/>
            <w:vMerge w:val="restart"/>
            <w:tcBorders>
              <w:top w:val="nil"/>
              <w:left w:val="single" w:color="auto" w:sz="4" w:space="0"/>
              <w:bottom w:val="single" w:color="auto" w:sz="4" w:space="0"/>
              <w:right w:val="single" w:color="auto" w:sz="4" w:space="0"/>
            </w:tcBorders>
            <w:noWrap w:val="0"/>
            <w:vAlign w:val="top"/>
          </w:tcPr>
          <w:p w14:paraId="6279515C">
            <w:pPr>
              <w:pageBreakBefore w:val="0"/>
              <w:kinsoku/>
              <w:overflowPunct/>
              <w:topLinePunct w:val="0"/>
              <w:bidi w:val="0"/>
              <w:spacing w:line="360" w:lineRule="auto"/>
              <w:ind w:firstLine="0" w:firstLineChars="0"/>
              <w:rPr>
                <w:rFonts w:hint="eastAsia"/>
                <w:color w:val="auto"/>
              </w:rPr>
            </w:pPr>
            <w:r>
              <w:rPr>
                <w:rFonts w:hint="eastAsia"/>
                <w:color w:val="auto"/>
              </w:rPr>
              <w:t>评审委员会将推荐综合得分最高的前</w:t>
            </w:r>
            <w:r>
              <w:rPr>
                <w:rFonts w:hint="eastAsia"/>
                <w:color w:val="auto"/>
                <w:lang w:val="en-US" w:eastAsia="zh-CN"/>
              </w:rPr>
              <w:t>2</w:t>
            </w:r>
            <w:r>
              <w:rPr>
                <w:rFonts w:hint="eastAsia"/>
                <w:color w:val="auto"/>
              </w:rPr>
              <w:t>名供应商为中标单位，根据n+2原则（即n=</w:t>
            </w:r>
            <w:r>
              <w:rPr>
                <w:rFonts w:hint="eastAsia"/>
                <w:color w:val="auto"/>
                <w:lang w:val="en-US" w:eastAsia="zh-CN"/>
              </w:rPr>
              <w:t>2</w:t>
            </w:r>
            <w:r>
              <w:rPr>
                <w:rFonts w:hint="eastAsia"/>
                <w:color w:val="auto"/>
              </w:rPr>
              <w:t>），如通过资格性和符合性审查的投标人数量＜</w:t>
            </w:r>
            <w:r>
              <w:rPr>
                <w:rFonts w:hint="eastAsia"/>
                <w:color w:val="auto"/>
                <w:lang w:val="en-US" w:eastAsia="zh-CN"/>
              </w:rPr>
              <w:t>4</w:t>
            </w:r>
            <w:r>
              <w:rPr>
                <w:rFonts w:hint="eastAsia"/>
                <w:color w:val="auto"/>
              </w:rPr>
              <w:t>，则本次招标失败，重新组织招标。</w:t>
            </w:r>
          </w:p>
          <w:p w14:paraId="576DAF13">
            <w:pPr>
              <w:pageBreakBefore w:val="0"/>
              <w:kinsoku/>
              <w:overflowPunct/>
              <w:topLinePunct w:val="0"/>
              <w:bidi w:val="0"/>
              <w:spacing w:line="360" w:lineRule="auto"/>
              <w:ind w:firstLine="0" w:firstLineChars="0"/>
              <w:rPr>
                <w:rFonts w:hint="eastAsia"/>
                <w:color w:val="auto"/>
              </w:rPr>
            </w:pPr>
            <w:r>
              <w:rPr>
                <w:rFonts w:hint="eastAsia"/>
                <w:color w:val="auto"/>
              </w:rPr>
              <w:t>若出现供应商得分相同的情况，则按投标报价由低到高顺序排列（选择投标报价最低的供应商），出现得分且投标报价相同的并列情况时，采取随机抽取的方式确定，具体操作办法及流程</w:t>
            </w:r>
            <w:r>
              <w:rPr>
                <w:rFonts w:hint="eastAsia"/>
                <w:color w:val="auto"/>
                <w:lang w:eastAsia="zh-CN"/>
              </w:rPr>
              <w:t>详见招标文件通用条款</w:t>
            </w:r>
            <w:r>
              <w:rPr>
                <w:rFonts w:hint="eastAsia"/>
                <w:color w:val="auto"/>
              </w:rPr>
              <w:t>。</w:t>
            </w:r>
          </w:p>
          <w:p w14:paraId="67A2BDFA">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Cs/>
                <w:color w:val="auto"/>
                <w:sz w:val="21"/>
                <w:szCs w:val="21"/>
              </w:rPr>
            </w:pPr>
            <w:r>
              <w:rPr>
                <w:rFonts w:hint="eastAsia" w:ascii="宋体" w:hAnsi="宋体" w:eastAsia="宋体" w:cs="宋体"/>
                <w:bCs/>
                <w:color w:val="auto"/>
                <w:sz w:val="21"/>
                <w:szCs w:val="21"/>
              </w:rPr>
              <w:t>应急条款：</w:t>
            </w:r>
          </w:p>
          <w:p w14:paraId="7158A834">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bCs/>
                <w:color w:val="auto"/>
                <w:sz w:val="21"/>
                <w:szCs w:val="21"/>
                <w:lang w:eastAsia="zh-CN"/>
              </w:rPr>
            </w:pPr>
            <w:r>
              <w:rPr>
                <w:rFonts w:hint="eastAsia" w:ascii="宋体" w:hAnsi="宋体" w:cs="宋体"/>
                <w:bCs/>
                <w:color w:val="auto"/>
                <w:sz w:val="21"/>
                <w:szCs w:val="21"/>
                <w:lang w:eastAsia="zh-CN"/>
              </w:rPr>
              <w:t>①中标结果公告之后，中标单位因受其他供应商质疑投诉其在投标过程存在虚假响应或违法违纪问题，并经财政主管单位核实被依法取消中标资格解除合同的；</w:t>
            </w:r>
          </w:p>
          <w:p w14:paraId="25B67C49">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bCs/>
                <w:color w:val="auto"/>
                <w:sz w:val="21"/>
                <w:szCs w:val="21"/>
                <w:lang w:eastAsia="zh-CN"/>
              </w:rPr>
            </w:pPr>
            <w:r>
              <w:rPr>
                <w:rFonts w:hint="eastAsia" w:ascii="宋体" w:hAnsi="宋体" w:cs="宋体"/>
                <w:bCs/>
                <w:color w:val="auto"/>
                <w:sz w:val="21"/>
                <w:szCs w:val="21"/>
                <w:lang w:eastAsia="zh-CN"/>
              </w:rPr>
              <w:t>②履约</w:t>
            </w:r>
            <w:r>
              <w:rPr>
                <w:rFonts w:hint="eastAsia" w:ascii="宋体" w:hAnsi="宋体" w:eastAsia="宋体" w:cs="宋体"/>
                <w:bCs/>
                <w:color w:val="auto"/>
                <w:sz w:val="21"/>
                <w:szCs w:val="21"/>
              </w:rPr>
              <w:t>服务过程中出现某一</w:t>
            </w:r>
            <w:r>
              <w:rPr>
                <w:rFonts w:hint="eastAsia" w:ascii="宋体" w:hAnsi="宋体" w:eastAsia="宋体" w:cs="宋体"/>
                <w:bCs/>
                <w:color w:val="auto"/>
                <w:sz w:val="21"/>
                <w:szCs w:val="21"/>
                <w:lang w:eastAsia="zh-CN"/>
              </w:rPr>
              <w:t>标段范围内</w:t>
            </w:r>
            <w:r>
              <w:rPr>
                <w:rFonts w:hint="eastAsia" w:ascii="宋体" w:hAnsi="宋体" w:eastAsia="宋体" w:cs="宋体"/>
                <w:bCs/>
                <w:color w:val="auto"/>
                <w:sz w:val="21"/>
                <w:szCs w:val="21"/>
              </w:rPr>
              <w:t>配送供应商出现严重违反采购要求</w:t>
            </w:r>
            <w:r>
              <w:rPr>
                <w:rFonts w:hint="eastAsia" w:ascii="宋体" w:hAnsi="宋体" w:eastAsia="宋体" w:cs="宋体"/>
                <w:bCs/>
                <w:color w:val="auto"/>
                <w:sz w:val="21"/>
                <w:szCs w:val="21"/>
                <w:lang w:eastAsia="zh-CN"/>
              </w:rPr>
              <w:t>或不符合考核要求</w:t>
            </w:r>
            <w:r>
              <w:rPr>
                <w:rFonts w:hint="eastAsia" w:ascii="宋体" w:hAnsi="宋体" w:eastAsia="宋体" w:cs="宋体"/>
                <w:bCs/>
                <w:color w:val="auto"/>
                <w:sz w:val="21"/>
                <w:szCs w:val="21"/>
              </w:rPr>
              <w:t>，需解除合同的</w:t>
            </w:r>
            <w:r>
              <w:rPr>
                <w:rFonts w:hint="eastAsia" w:ascii="宋体" w:hAnsi="宋体" w:cs="宋体"/>
                <w:bCs/>
                <w:color w:val="auto"/>
                <w:sz w:val="21"/>
                <w:szCs w:val="21"/>
                <w:lang w:eastAsia="zh-CN"/>
              </w:rPr>
              <w:t>。</w:t>
            </w:r>
          </w:p>
          <w:p w14:paraId="425E9CBB">
            <w:pPr>
              <w:keepNext w:val="0"/>
              <w:keepLines w:val="0"/>
              <w:pageBreakBefore w:val="0"/>
              <w:kinsoku/>
              <w:wordWrap/>
              <w:overflowPunct/>
              <w:topLinePunct w:val="0"/>
              <w:autoSpaceDE w:val="0"/>
              <w:autoSpaceDN/>
              <w:bidi w:val="0"/>
              <w:adjustRightInd/>
              <w:snapToGrid/>
              <w:spacing w:before="0" w:after="0" w:line="360" w:lineRule="auto"/>
              <w:ind w:left="0" w:firstLine="0" w:firstLineChars="0"/>
              <w:textAlignment w:val="auto"/>
              <w:rPr>
                <w:rFonts w:hint="eastAsia"/>
                <w:color w:val="auto"/>
              </w:rPr>
            </w:pPr>
            <w:r>
              <w:rPr>
                <w:rFonts w:hint="eastAsia" w:ascii="宋体" w:hAnsi="宋体" w:cs="宋体"/>
                <w:bCs/>
                <w:color w:val="auto"/>
                <w:sz w:val="21"/>
                <w:szCs w:val="21"/>
                <w:lang w:eastAsia="zh-CN"/>
              </w:rPr>
              <w:t>出现以上任意一种情形的，</w:t>
            </w:r>
            <w:r>
              <w:rPr>
                <w:rFonts w:hint="eastAsia" w:ascii="宋体" w:hAnsi="宋体" w:eastAsia="宋体" w:cs="宋体"/>
                <w:bCs/>
                <w:color w:val="auto"/>
                <w:sz w:val="21"/>
                <w:szCs w:val="21"/>
              </w:rPr>
              <w:t>经</w:t>
            </w:r>
            <w:r>
              <w:rPr>
                <w:rFonts w:hint="eastAsia" w:ascii="宋体" w:hAnsi="宋体" w:cs="宋体"/>
                <w:bCs/>
                <w:color w:val="auto"/>
                <w:sz w:val="21"/>
                <w:szCs w:val="21"/>
                <w:lang w:eastAsia="zh-CN"/>
              </w:rPr>
              <w:t>相关</w:t>
            </w:r>
            <w:r>
              <w:rPr>
                <w:rFonts w:hint="eastAsia" w:ascii="宋体" w:hAnsi="宋体" w:eastAsia="宋体" w:cs="宋体"/>
                <w:bCs/>
                <w:color w:val="auto"/>
                <w:sz w:val="21"/>
                <w:szCs w:val="21"/>
                <w:lang w:eastAsia="zh-CN"/>
              </w:rPr>
              <w:t>部门</w:t>
            </w:r>
            <w:r>
              <w:rPr>
                <w:rFonts w:hint="eastAsia" w:ascii="宋体" w:hAnsi="宋体" w:eastAsia="宋体" w:cs="宋体"/>
                <w:bCs/>
                <w:color w:val="auto"/>
                <w:sz w:val="21"/>
                <w:szCs w:val="21"/>
              </w:rPr>
              <w:t>同意后，在重新招标完成以前，该</w:t>
            </w:r>
            <w:r>
              <w:rPr>
                <w:rFonts w:hint="eastAsia" w:ascii="宋体" w:hAnsi="宋体" w:eastAsia="宋体" w:cs="宋体"/>
                <w:bCs/>
                <w:color w:val="auto"/>
                <w:sz w:val="21"/>
                <w:szCs w:val="21"/>
                <w:lang w:eastAsia="zh-CN"/>
              </w:rPr>
              <w:t>标段范围内</w:t>
            </w:r>
            <w:r>
              <w:rPr>
                <w:rFonts w:hint="eastAsia" w:ascii="宋体" w:hAnsi="宋体" w:eastAsia="宋体" w:cs="宋体"/>
                <w:bCs/>
                <w:color w:val="auto"/>
                <w:sz w:val="21"/>
                <w:szCs w:val="21"/>
              </w:rPr>
              <w:t>的配送服务将由另外</w:t>
            </w:r>
            <w:r>
              <w:rPr>
                <w:rFonts w:hint="eastAsia" w:ascii="宋体" w:hAnsi="宋体" w:eastAsia="宋体" w:cs="宋体"/>
                <w:bCs/>
                <w:color w:val="auto"/>
                <w:sz w:val="21"/>
                <w:szCs w:val="21"/>
                <w:lang w:eastAsia="zh-CN"/>
              </w:rPr>
              <w:t>标段中</w:t>
            </w:r>
            <w:r>
              <w:rPr>
                <w:rFonts w:hint="eastAsia" w:ascii="宋体" w:hAnsi="宋体" w:eastAsia="宋体" w:cs="宋体"/>
                <w:bCs/>
                <w:color w:val="auto"/>
                <w:sz w:val="21"/>
                <w:szCs w:val="21"/>
              </w:rPr>
              <w:t>的一名中标人作为应急替补供应商</w:t>
            </w:r>
            <w:r>
              <w:rPr>
                <w:rFonts w:hint="eastAsia" w:ascii="宋体" w:hAnsi="宋体" w:cs="宋体"/>
                <w:bCs/>
                <w:color w:val="auto"/>
                <w:sz w:val="21"/>
                <w:szCs w:val="21"/>
                <w:lang w:eastAsia="zh-CN"/>
              </w:rPr>
              <w:t>临时</w:t>
            </w:r>
            <w:r>
              <w:rPr>
                <w:rFonts w:hint="eastAsia" w:ascii="宋体" w:hAnsi="宋体" w:eastAsia="宋体" w:cs="宋体"/>
                <w:bCs/>
                <w:color w:val="auto"/>
                <w:sz w:val="21"/>
                <w:szCs w:val="21"/>
              </w:rPr>
              <w:t>提供，</w:t>
            </w:r>
            <w:r>
              <w:rPr>
                <w:rFonts w:hint="eastAsia" w:ascii="宋体" w:hAnsi="宋体" w:eastAsia="宋体" w:cs="宋体"/>
                <w:bCs/>
                <w:color w:val="auto"/>
                <w:sz w:val="21"/>
                <w:szCs w:val="21"/>
                <w:lang w:eastAsia="zh-CN"/>
              </w:rPr>
              <w:t>替补方式为按照其他标段中标人综合得分高低依次替补（同等分值抽签确定替补名单），</w:t>
            </w:r>
            <w:r>
              <w:rPr>
                <w:rFonts w:hint="eastAsia" w:ascii="宋体" w:hAnsi="宋体" w:eastAsia="宋体" w:cs="宋体"/>
                <w:bCs/>
                <w:color w:val="auto"/>
                <w:sz w:val="21"/>
                <w:szCs w:val="21"/>
              </w:rPr>
              <w:t>临时配送期限至重新招标确定的供应商履约</w:t>
            </w:r>
            <w:r>
              <w:rPr>
                <w:rFonts w:hint="eastAsia" w:ascii="宋体" w:hAnsi="宋体" w:eastAsia="宋体" w:cs="宋体"/>
                <w:bCs/>
                <w:color w:val="auto"/>
                <w:sz w:val="21"/>
                <w:szCs w:val="21"/>
                <w:lang w:eastAsia="zh-CN"/>
              </w:rPr>
              <w:t>。</w:t>
            </w:r>
          </w:p>
        </w:tc>
      </w:tr>
      <w:tr w14:paraId="1EA83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3" w:hRule="atLeast"/>
        </w:trPr>
        <w:tc>
          <w:tcPr>
            <w:tcW w:w="705" w:type="dxa"/>
            <w:tcBorders>
              <w:top w:val="single" w:color="auto" w:sz="4" w:space="0"/>
              <w:left w:val="single" w:color="auto" w:sz="4" w:space="0"/>
              <w:bottom w:val="single" w:color="auto" w:sz="4" w:space="0"/>
              <w:right w:val="single" w:color="auto" w:sz="4" w:space="0"/>
            </w:tcBorders>
            <w:noWrap w:val="0"/>
            <w:vAlign w:val="center"/>
          </w:tcPr>
          <w:p w14:paraId="763924A8">
            <w:pPr>
              <w:pageBreakBefore w:val="0"/>
              <w:kinsoku/>
              <w:overflowPunct/>
              <w:topLinePunct w:val="0"/>
              <w:bidi w:val="0"/>
              <w:spacing w:line="360" w:lineRule="auto"/>
              <w:ind w:firstLine="0" w:firstLineChars="0"/>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二</w:t>
            </w:r>
          </w:p>
        </w:tc>
        <w:tc>
          <w:tcPr>
            <w:tcW w:w="1452" w:type="dxa"/>
            <w:tcBorders>
              <w:top w:val="single" w:color="auto" w:sz="4" w:space="0"/>
              <w:left w:val="single" w:color="auto" w:sz="4" w:space="0"/>
              <w:bottom w:val="single" w:color="auto" w:sz="4" w:space="0"/>
              <w:right w:val="single" w:color="auto" w:sz="4" w:space="0"/>
            </w:tcBorders>
            <w:noWrap w:val="0"/>
            <w:vAlign w:val="center"/>
          </w:tcPr>
          <w:p w14:paraId="51F09C21">
            <w:pPr>
              <w:pageBreakBefore w:val="0"/>
              <w:kinsoku/>
              <w:overflowPunct/>
              <w:topLinePunct w:val="0"/>
              <w:bidi w:val="0"/>
              <w:spacing w:line="360" w:lineRule="auto"/>
              <w:ind w:firstLine="0" w:firstLineChars="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 xml:space="preserve">        </w:t>
            </w:r>
          </w:p>
        </w:tc>
        <w:tc>
          <w:tcPr>
            <w:tcW w:w="1500" w:type="dxa"/>
            <w:tcBorders>
              <w:top w:val="single" w:color="auto" w:sz="4" w:space="0"/>
              <w:left w:val="single" w:color="auto" w:sz="4" w:space="0"/>
              <w:bottom w:val="single" w:color="auto" w:sz="4" w:space="0"/>
              <w:right w:val="single" w:color="auto" w:sz="4" w:space="0"/>
            </w:tcBorders>
            <w:noWrap w:val="0"/>
            <w:vAlign w:val="center"/>
          </w:tcPr>
          <w:p w14:paraId="2A017FBE">
            <w:pPr>
              <w:pageBreakBefore w:val="0"/>
              <w:kinsoku/>
              <w:overflowPunct/>
              <w:topLinePunct w:val="0"/>
              <w:bidi w:val="0"/>
              <w:spacing w:line="360" w:lineRule="auto"/>
              <w:ind w:firstLine="0" w:firstLineChars="0"/>
              <w:jc w:val="center"/>
              <w:rPr>
                <w:rFonts w:hint="default" w:ascii="宋体" w:hAnsi="宋体" w:cs="宋体"/>
                <w:color w:val="auto"/>
                <w:szCs w:val="21"/>
                <w:highlight w:val="none"/>
                <w:lang w:val="en-US"/>
              </w:rPr>
            </w:pPr>
            <w:r>
              <w:rPr>
                <w:rFonts w:hint="eastAsia" w:ascii="宋体" w:hAnsi="宋体" w:cs="宋体"/>
                <w:color w:val="auto"/>
                <w:szCs w:val="21"/>
                <w:highlight w:val="none"/>
                <w:lang w:val="en-US" w:eastAsia="zh-CN"/>
              </w:rPr>
              <w:t>6,497,400.00</w:t>
            </w:r>
          </w:p>
        </w:tc>
        <w:tc>
          <w:tcPr>
            <w:tcW w:w="1987" w:type="dxa"/>
            <w:tcBorders>
              <w:top w:val="single" w:color="auto" w:sz="4" w:space="0"/>
              <w:left w:val="single" w:color="auto" w:sz="4" w:space="0"/>
              <w:bottom w:val="single" w:color="auto" w:sz="4" w:space="0"/>
              <w:right w:val="single" w:color="auto" w:sz="4" w:space="0"/>
            </w:tcBorders>
            <w:noWrap w:val="0"/>
            <w:vAlign w:val="center"/>
          </w:tcPr>
          <w:p w14:paraId="0CE4C801">
            <w:pPr>
              <w:pageBreakBefore w:val="0"/>
              <w:kinsoku/>
              <w:overflowPunct/>
              <w:topLinePunct w:val="0"/>
              <w:bidi w:val="0"/>
              <w:spacing w:line="360" w:lineRule="auto"/>
              <w:ind w:firstLine="0" w:firstLineChars="0"/>
              <w:jc w:val="center"/>
              <w:rPr>
                <w:rFonts w:hint="eastAsia" w:ascii="宋体" w:hAnsi="宋体" w:cs="宋体"/>
                <w:color w:val="auto"/>
                <w:szCs w:val="21"/>
              </w:rPr>
            </w:pPr>
            <w:r>
              <w:rPr>
                <w:rFonts w:hint="eastAsia" w:ascii="宋体" w:hAnsi="宋体" w:cs="宋体"/>
                <w:color w:val="auto"/>
                <w:szCs w:val="21"/>
                <w:lang w:val="en-US" w:eastAsia="zh-CN"/>
              </w:rPr>
              <w:t>深圳市公安局龙华分局龙城派出所、龙华派出所2</w:t>
            </w:r>
            <w:r>
              <w:rPr>
                <w:rFonts w:hint="eastAsia" w:ascii="宋体" w:hAnsi="宋体" w:cs="宋体"/>
                <w:color w:val="auto"/>
                <w:szCs w:val="21"/>
              </w:rPr>
              <w:t>个食堂。</w:t>
            </w:r>
          </w:p>
        </w:tc>
        <w:tc>
          <w:tcPr>
            <w:tcW w:w="2974" w:type="dxa"/>
            <w:vMerge w:val="continue"/>
            <w:tcBorders>
              <w:top w:val="nil"/>
              <w:left w:val="single" w:color="auto" w:sz="4" w:space="0"/>
              <w:bottom w:val="single" w:color="auto" w:sz="4" w:space="0"/>
              <w:right w:val="single" w:color="auto" w:sz="4" w:space="0"/>
            </w:tcBorders>
            <w:noWrap w:val="0"/>
            <w:vAlign w:val="top"/>
          </w:tcPr>
          <w:p w14:paraId="6C9CFD05">
            <w:pPr>
              <w:pageBreakBefore w:val="0"/>
              <w:kinsoku/>
              <w:overflowPunct/>
              <w:topLinePunct w:val="0"/>
              <w:bidi w:val="0"/>
              <w:spacing w:line="360" w:lineRule="auto"/>
              <w:ind w:firstLine="0" w:firstLineChars="0"/>
              <w:rPr>
                <w:rFonts w:hint="eastAsia" w:ascii="宋体" w:hAnsi="宋体" w:cs="宋体"/>
                <w:color w:val="auto"/>
                <w:szCs w:val="21"/>
              </w:rPr>
            </w:pPr>
          </w:p>
        </w:tc>
      </w:tr>
    </w:tbl>
    <w:p w14:paraId="40C6366A">
      <w:pPr>
        <w:pStyle w:val="3"/>
        <w:pageBreakBefore w:val="0"/>
        <w:kinsoku/>
        <w:overflowPunct/>
        <w:topLinePunct w:val="0"/>
        <w:autoSpaceDE/>
        <w:autoSpaceDN/>
        <w:bidi w:val="0"/>
        <w:adjustRightInd/>
        <w:spacing w:before="0" w:beforeAutospacing="0" w:after="0" w:afterAutospacing="0" w:line="360" w:lineRule="auto"/>
        <w:ind w:left="0" w:leftChars="0" w:right="0" w:firstLine="0" w:firstLineChars="0"/>
        <w:jc w:val="left"/>
        <w:rPr>
          <w:rFonts w:hint="eastAsia" w:ascii="宋体" w:hAnsi="宋体" w:eastAsia="宋体" w:cs="宋体"/>
          <w:b/>
          <w:bCs w:val="0"/>
          <w:color w:val="auto"/>
          <w:kern w:val="0"/>
          <w:sz w:val="21"/>
          <w:szCs w:val="21"/>
          <w:highlight w:val="none"/>
          <w:lang w:val="en-US" w:eastAsia="zh-CN" w:bidi="ar-SA"/>
        </w:rPr>
      </w:pPr>
      <w:r>
        <w:rPr>
          <w:rFonts w:hint="eastAsia" w:ascii="宋体" w:hAnsi="宋体" w:eastAsia="宋体" w:cs="宋体"/>
          <w:b/>
          <w:bCs w:val="0"/>
          <w:color w:val="auto"/>
          <w:kern w:val="0"/>
          <w:sz w:val="21"/>
          <w:szCs w:val="21"/>
          <w:highlight w:val="none"/>
          <w:lang w:val="en-US" w:eastAsia="zh-CN" w:bidi="ar-SA"/>
        </w:rPr>
        <w:t>备注：</w:t>
      </w:r>
    </w:p>
    <w:p w14:paraId="51AAF3D0">
      <w:pPr>
        <w:pStyle w:val="3"/>
        <w:pageBreakBefore w:val="0"/>
        <w:kinsoku/>
        <w:overflowPunct/>
        <w:topLinePunct w:val="0"/>
        <w:autoSpaceDE/>
        <w:autoSpaceDN/>
        <w:bidi w:val="0"/>
        <w:adjustRightInd/>
        <w:spacing w:before="0" w:beforeAutospacing="0" w:after="0" w:afterAutospacing="0" w:line="360" w:lineRule="auto"/>
        <w:ind w:left="0" w:leftChars="0" w:right="0" w:firstLine="0" w:firstLineChars="0"/>
        <w:jc w:val="left"/>
        <w:rPr>
          <w:rFonts w:hint="eastAsia" w:ascii="宋体" w:hAnsi="宋体" w:eastAsia="宋体" w:cs="宋体"/>
          <w:b/>
          <w:bCs w:val="0"/>
          <w:color w:val="auto"/>
          <w:kern w:val="0"/>
          <w:sz w:val="21"/>
          <w:szCs w:val="21"/>
          <w:highlight w:val="none"/>
          <w:lang w:val="en-US" w:eastAsia="zh-CN" w:bidi="ar-SA"/>
        </w:rPr>
      </w:pPr>
      <w:r>
        <w:rPr>
          <w:rFonts w:hint="eastAsia" w:ascii="宋体" w:hAnsi="宋体" w:eastAsia="宋体" w:cs="宋体"/>
          <w:b/>
          <w:bCs w:val="0"/>
          <w:color w:val="auto"/>
          <w:kern w:val="0"/>
          <w:sz w:val="21"/>
          <w:szCs w:val="21"/>
          <w:highlight w:val="none"/>
          <w:lang w:val="en-US" w:eastAsia="zh-CN" w:bidi="ar-SA"/>
        </w:rPr>
        <w:t>1.本次招标不涉及具体投标金额（无须投标人在投标文件中填报具体投标金额），投标人只需在投标一览表“投标总价”一栏里报填报唯一的“折扣率”作为投标报价，折扣率等于结算价占基准价的比例，即折扣率=结算价/基准价。投标人应根据自身成本自行填报“折扣率”，但不得以低于其成本的报价竞标。</w:t>
      </w:r>
    </w:p>
    <w:p w14:paraId="2E0A6B5E">
      <w:pPr>
        <w:pStyle w:val="3"/>
        <w:pageBreakBefore w:val="0"/>
        <w:kinsoku/>
        <w:overflowPunct/>
        <w:topLinePunct w:val="0"/>
        <w:autoSpaceDE/>
        <w:autoSpaceDN/>
        <w:bidi w:val="0"/>
        <w:adjustRightInd/>
        <w:spacing w:before="0" w:beforeAutospacing="0" w:after="0" w:afterAutospacing="0" w:line="360" w:lineRule="auto"/>
        <w:ind w:left="0" w:leftChars="0" w:right="0" w:firstLine="0" w:firstLineChars="0"/>
        <w:jc w:val="left"/>
        <w:rPr>
          <w:rFonts w:hint="eastAsia" w:ascii="宋体" w:hAnsi="宋体" w:eastAsia="宋体" w:cs="宋体"/>
          <w:b/>
          <w:bCs w:val="0"/>
          <w:color w:val="auto"/>
          <w:kern w:val="0"/>
          <w:sz w:val="21"/>
          <w:szCs w:val="21"/>
          <w:highlight w:val="none"/>
          <w:lang w:val="en-US" w:eastAsia="zh-CN" w:bidi="ar-SA"/>
        </w:rPr>
      </w:pPr>
      <w:r>
        <w:rPr>
          <w:rFonts w:hint="eastAsia" w:ascii="宋体" w:hAnsi="宋体" w:cs="宋体"/>
          <w:b/>
          <w:bCs w:val="0"/>
          <w:color w:val="auto"/>
          <w:kern w:val="0"/>
          <w:sz w:val="21"/>
          <w:szCs w:val="21"/>
          <w:highlight w:val="none"/>
          <w:lang w:val="en-US" w:eastAsia="zh-CN" w:bidi="ar-SA"/>
        </w:rPr>
        <w:t>2.</w:t>
      </w:r>
      <w:r>
        <w:rPr>
          <w:rFonts w:hint="eastAsia" w:ascii="宋体" w:hAnsi="宋体" w:eastAsia="宋体" w:cs="宋体"/>
          <w:b/>
          <w:bCs w:val="0"/>
          <w:color w:val="auto"/>
          <w:kern w:val="0"/>
          <w:sz w:val="21"/>
          <w:szCs w:val="21"/>
          <w:highlight w:val="none"/>
          <w:lang w:val="en-US" w:eastAsia="zh-CN" w:bidi="ar-SA"/>
        </w:rPr>
        <w:t>报价说明：投标人须按折扣率报价，（如：折扣率为0.95，则投标人在填报开标一览表时，投标报价须填报：0.95），投标折扣率大于1的将做投标无效处理。</w:t>
      </w:r>
    </w:p>
    <w:p w14:paraId="2AA4C8C2">
      <w:pPr>
        <w:pStyle w:val="3"/>
        <w:keepNext w:val="0"/>
        <w:keepLines w:val="0"/>
        <w:pageBreakBefore w:val="0"/>
        <w:widowControl w:val="0"/>
        <w:numPr>
          <w:ilvl w:val="0"/>
          <w:numId w:val="8"/>
        </w:numPr>
        <w:kinsoku/>
        <w:wordWrap/>
        <w:overflowPunct/>
        <w:topLinePunct w:val="0"/>
        <w:autoSpaceDE/>
        <w:autoSpaceDN/>
        <w:bidi w:val="0"/>
        <w:adjustRightInd w:val="0"/>
        <w:snapToGrid/>
        <w:spacing w:before="0" w:after="0"/>
        <w:ind w:left="0" w:leftChars="0" w:firstLine="0" w:firstLineChars="0"/>
        <w:textAlignment w:val="baseline"/>
        <w:rPr>
          <w:rFonts w:hint="eastAsia" w:ascii="宋体" w:hAnsi="宋体" w:eastAsia="宋体" w:cs="宋体"/>
          <w:b/>
          <w:bCs/>
          <w:sz w:val="32"/>
          <w:szCs w:val="32"/>
        </w:rPr>
      </w:pPr>
      <w:r>
        <w:rPr>
          <w:rFonts w:hint="eastAsia" w:ascii="宋体" w:hAnsi="宋体" w:eastAsia="宋体" w:cs="宋体"/>
          <w:b/>
          <w:bCs/>
          <w:sz w:val="32"/>
          <w:szCs w:val="32"/>
        </w:rPr>
        <w:t>技术要求</w:t>
      </w:r>
    </w:p>
    <w:p w14:paraId="2166E05A">
      <w:pPr>
        <w:keepNext w:val="0"/>
        <w:keepLines w:val="0"/>
        <w:pageBreakBefore w:val="0"/>
        <w:numPr>
          <w:ilvl w:val="0"/>
          <w:numId w:val="9"/>
        </w:numPr>
        <w:kinsoku/>
        <w:wordWrap/>
        <w:overflowPunct/>
        <w:topLinePunct w:val="0"/>
        <w:autoSpaceDE w:val="0"/>
        <w:autoSpaceDN/>
        <w:bidi w:val="0"/>
        <w:adjustRightInd/>
        <w:snapToGrid/>
        <w:spacing w:line="360" w:lineRule="auto"/>
        <w:ind w:left="0" w:firstLine="0" w:firstLineChars="0"/>
        <w:textAlignment w:val="auto"/>
        <w:rPr>
          <w:rFonts w:hint="eastAsia" w:ascii="宋体" w:hAnsi="宋体" w:cs="宋体"/>
          <w:b/>
          <w:szCs w:val="21"/>
        </w:rPr>
      </w:pPr>
      <w:r>
        <w:rPr>
          <w:rFonts w:hint="eastAsia" w:ascii="宋体" w:hAnsi="宋体" w:cs="宋体"/>
          <w:b/>
          <w:szCs w:val="21"/>
        </w:rPr>
        <w:t>项目概况</w:t>
      </w:r>
    </w:p>
    <w:p w14:paraId="7738C8B2">
      <w:pPr>
        <w:keepNext w:val="0"/>
        <w:keepLines w:val="0"/>
        <w:pageBreakBefore w:val="0"/>
        <w:numPr>
          <w:ilvl w:val="0"/>
          <w:numId w:val="0"/>
        </w:numPr>
        <w:kinsoku/>
        <w:wordWrap/>
        <w:overflowPunct/>
        <w:topLinePunct w:val="0"/>
        <w:autoSpaceDE w:val="0"/>
        <w:autoSpaceDN/>
        <w:bidi w:val="0"/>
        <w:adjustRightInd/>
        <w:snapToGrid/>
        <w:spacing w:line="360" w:lineRule="auto"/>
        <w:ind w:leftChars="0" w:firstLine="420" w:firstLineChars="200"/>
        <w:textAlignment w:val="auto"/>
        <w:rPr>
          <w:rFonts w:hint="eastAsia" w:ascii="宋体" w:hAnsi="宋体" w:cs="宋体"/>
          <w:szCs w:val="21"/>
        </w:rPr>
      </w:pPr>
      <w:r>
        <w:rPr>
          <w:rFonts w:hint="eastAsia" w:ascii="宋体" w:hAnsi="宋体" w:cs="宋体"/>
          <w:szCs w:val="21"/>
        </w:rPr>
        <w:t>为从源头上保障食堂原材料的卫生安全，降低采购成本，杜绝食堂管理漏洞，现招标具有相关资质和能力的供应商进行食堂原材料配送服务。</w:t>
      </w:r>
    </w:p>
    <w:p w14:paraId="7FE93CC9">
      <w:pPr>
        <w:keepNext w:val="0"/>
        <w:keepLines w:val="0"/>
        <w:pageBreakBefore w:val="0"/>
        <w:widowControl/>
        <w:numPr>
          <w:ilvl w:val="0"/>
          <w:numId w:val="9"/>
        </w:numPr>
        <w:kinsoku/>
        <w:wordWrap/>
        <w:overflowPunct/>
        <w:topLinePunct w:val="0"/>
        <w:autoSpaceDE w:val="0"/>
        <w:autoSpaceDN/>
        <w:bidi w:val="0"/>
        <w:adjustRightInd/>
        <w:snapToGrid/>
        <w:spacing w:line="360" w:lineRule="auto"/>
        <w:ind w:left="0" w:leftChars="0" w:firstLine="0" w:firstLineChars="0"/>
        <w:textAlignment w:val="auto"/>
        <w:rPr>
          <w:rFonts w:hint="eastAsia" w:ascii="宋体" w:hAnsi="宋体" w:cs="宋体"/>
          <w:b/>
          <w:szCs w:val="21"/>
        </w:rPr>
      </w:pPr>
      <w:r>
        <w:rPr>
          <w:rFonts w:hint="eastAsia" w:ascii="宋体" w:hAnsi="宋体" w:cs="宋体"/>
          <w:b/>
          <w:szCs w:val="21"/>
        </w:rPr>
        <w:t>服务范围</w:t>
      </w:r>
    </w:p>
    <w:p w14:paraId="4B287498">
      <w:pPr>
        <w:keepNext w:val="0"/>
        <w:keepLines w:val="0"/>
        <w:pageBreakBefore w:val="0"/>
        <w:widowControl/>
        <w:numPr>
          <w:ilvl w:val="0"/>
          <w:numId w:val="0"/>
        </w:numPr>
        <w:kinsoku/>
        <w:wordWrap/>
        <w:overflowPunct/>
        <w:topLinePunct w:val="0"/>
        <w:autoSpaceDE w:val="0"/>
        <w:autoSpaceDN/>
        <w:bidi w:val="0"/>
        <w:adjustRightInd/>
        <w:snapToGrid/>
        <w:spacing w:line="360" w:lineRule="auto"/>
        <w:ind w:leftChars="0" w:firstLine="420" w:firstLineChars="200"/>
        <w:textAlignment w:val="auto"/>
        <w:rPr>
          <w:rFonts w:hint="eastAsia" w:ascii="宋体" w:hAnsi="宋体" w:cs="宋体"/>
          <w:szCs w:val="21"/>
        </w:rPr>
      </w:pPr>
      <w:r>
        <w:rPr>
          <w:rFonts w:hint="eastAsia" w:ascii="宋体" w:hAnsi="宋体" w:cs="宋体"/>
          <w:szCs w:val="21"/>
        </w:rPr>
        <w:t>根据投标供应商综合评审后得分由高到低顺序排列，排名前</w:t>
      </w:r>
      <w:r>
        <w:rPr>
          <w:rFonts w:hint="eastAsia" w:ascii="宋体" w:hAnsi="宋体" w:cs="宋体"/>
          <w:szCs w:val="21"/>
          <w:lang w:val="en-US" w:eastAsia="zh-CN"/>
        </w:rPr>
        <w:t>2</w:t>
      </w:r>
      <w:r>
        <w:rPr>
          <w:rFonts w:hint="eastAsia" w:ascii="宋体" w:hAnsi="宋体" w:cs="宋体"/>
          <w:szCs w:val="21"/>
        </w:rPr>
        <w:t>名为中标人</w:t>
      </w:r>
      <w:r>
        <w:rPr>
          <w:rFonts w:hint="eastAsia" w:ascii="宋体" w:hAnsi="宋体" w:cs="宋体"/>
          <w:color w:val="auto"/>
          <w:szCs w:val="21"/>
        </w:rPr>
        <w:t>。</w:t>
      </w:r>
    </w:p>
    <w:p w14:paraId="466C9EC9">
      <w:pPr>
        <w:keepNext w:val="0"/>
        <w:keepLines w:val="0"/>
        <w:pageBreakBefore w:val="0"/>
        <w:widowControl/>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cs="宋体"/>
          <w:szCs w:val="21"/>
          <w:highlight w:val="none"/>
        </w:rPr>
      </w:pPr>
      <w:r>
        <w:rPr>
          <w:rFonts w:hint="eastAsia" w:ascii="宋体" w:hAnsi="宋体" w:cs="宋体"/>
          <w:szCs w:val="21"/>
          <w:highlight w:val="none"/>
        </w:rPr>
        <w:t>第一名负责深圳市公安局龙华分局民治派出所、民新派出所、上塘派出所3个食堂（第一标段），年度支付上限</w:t>
      </w:r>
      <w:r>
        <w:rPr>
          <w:rFonts w:hint="eastAsia" w:ascii="宋体" w:hAnsi="宋体" w:cs="宋体"/>
          <w:szCs w:val="21"/>
          <w:highlight w:val="none"/>
          <w:lang w:val="en-US" w:eastAsia="zh-CN"/>
        </w:rPr>
        <w:t>950.64</w:t>
      </w:r>
      <w:r>
        <w:rPr>
          <w:rFonts w:hint="eastAsia" w:ascii="宋体" w:hAnsi="宋体" w:cs="宋体"/>
          <w:szCs w:val="21"/>
          <w:highlight w:val="none"/>
        </w:rPr>
        <w:t>万元；</w:t>
      </w:r>
    </w:p>
    <w:p w14:paraId="1D754622">
      <w:pPr>
        <w:keepNext w:val="0"/>
        <w:keepLines w:val="0"/>
        <w:pageBreakBefore w:val="0"/>
        <w:widowControl/>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cs="宋体"/>
          <w:szCs w:val="21"/>
          <w:highlight w:val="none"/>
        </w:rPr>
      </w:pPr>
      <w:r>
        <w:rPr>
          <w:rFonts w:hint="eastAsia" w:ascii="宋体" w:hAnsi="宋体" w:cs="宋体"/>
          <w:szCs w:val="21"/>
          <w:highlight w:val="none"/>
        </w:rPr>
        <w:t>第</w:t>
      </w:r>
      <w:r>
        <w:rPr>
          <w:rFonts w:hint="eastAsia" w:ascii="宋体" w:hAnsi="宋体" w:cs="宋体"/>
          <w:szCs w:val="21"/>
          <w:highlight w:val="none"/>
          <w:lang w:val="en-US" w:eastAsia="zh-CN"/>
        </w:rPr>
        <w:t>二</w:t>
      </w:r>
      <w:r>
        <w:rPr>
          <w:rFonts w:hint="eastAsia" w:ascii="宋体" w:hAnsi="宋体" w:cs="宋体"/>
          <w:szCs w:val="21"/>
          <w:highlight w:val="none"/>
        </w:rPr>
        <w:t>名负责深圳市公安局龙华分局龙城派出所、龙华派出所2个食堂（第</w:t>
      </w:r>
      <w:r>
        <w:rPr>
          <w:rFonts w:hint="eastAsia" w:ascii="宋体" w:hAnsi="宋体" w:cs="宋体"/>
          <w:szCs w:val="21"/>
          <w:highlight w:val="none"/>
          <w:lang w:val="en-US" w:eastAsia="zh-CN"/>
        </w:rPr>
        <w:t>二</w:t>
      </w:r>
      <w:r>
        <w:rPr>
          <w:rFonts w:hint="eastAsia" w:ascii="宋体" w:hAnsi="宋体" w:cs="宋体"/>
          <w:szCs w:val="21"/>
          <w:highlight w:val="none"/>
        </w:rPr>
        <w:t>标段），年度支付上限</w:t>
      </w:r>
      <w:r>
        <w:rPr>
          <w:rFonts w:hint="eastAsia" w:ascii="宋体" w:hAnsi="宋体" w:cs="宋体"/>
          <w:szCs w:val="21"/>
          <w:highlight w:val="none"/>
          <w:lang w:val="en-US" w:eastAsia="zh-CN"/>
        </w:rPr>
        <w:t>649.74</w:t>
      </w:r>
      <w:r>
        <w:rPr>
          <w:rFonts w:hint="eastAsia" w:ascii="宋体" w:hAnsi="宋体" w:cs="宋体"/>
          <w:szCs w:val="21"/>
          <w:highlight w:val="none"/>
        </w:rPr>
        <w:t>万元；</w:t>
      </w:r>
    </w:p>
    <w:p w14:paraId="0A5F9B8F">
      <w:pPr>
        <w:keepNext w:val="0"/>
        <w:keepLines w:val="0"/>
        <w:pageBreakBefore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cs="宋体"/>
          <w:szCs w:val="21"/>
        </w:rPr>
      </w:pPr>
      <w:r>
        <w:rPr>
          <w:rFonts w:hint="eastAsia" w:ascii="宋体" w:hAnsi="宋体" w:cs="宋体"/>
          <w:szCs w:val="21"/>
        </w:rPr>
        <w:t>如因工作需要，采购</w:t>
      </w:r>
      <w:r>
        <w:rPr>
          <w:rFonts w:hint="eastAsia" w:ascii="宋体" w:hAnsi="宋体" w:cs="宋体"/>
          <w:szCs w:val="21"/>
          <w:lang w:val="en-US" w:eastAsia="zh-CN"/>
        </w:rPr>
        <w:t>人</w:t>
      </w:r>
      <w:r>
        <w:rPr>
          <w:rFonts w:hint="eastAsia" w:ascii="宋体" w:hAnsi="宋体" w:cs="宋体"/>
          <w:szCs w:val="21"/>
        </w:rPr>
        <w:t>有权根据实际需求对食堂实际就餐人员进行配置调整。</w:t>
      </w:r>
    </w:p>
    <w:p w14:paraId="4DF9D168">
      <w:pPr>
        <w:keepNext w:val="0"/>
        <w:keepLines w:val="0"/>
        <w:pageBreakBefore w:val="0"/>
        <w:numPr>
          <w:ilvl w:val="0"/>
          <w:numId w:val="9"/>
        </w:numPr>
        <w:kinsoku/>
        <w:wordWrap/>
        <w:overflowPunct/>
        <w:topLinePunct w:val="0"/>
        <w:autoSpaceDE w:val="0"/>
        <w:autoSpaceDN/>
        <w:bidi w:val="0"/>
        <w:adjustRightInd/>
        <w:snapToGrid/>
        <w:spacing w:line="360" w:lineRule="auto"/>
        <w:ind w:left="0" w:leftChars="0" w:firstLine="0" w:firstLineChars="0"/>
        <w:textAlignment w:val="auto"/>
        <w:rPr>
          <w:rFonts w:hint="eastAsia" w:ascii="宋体" w:hAnsi="宋体" w:cs="宋体"/>
          <w:b/>
          <w:szCs w:val="21"/>
        </w:rPr>
      </w:pPr>
      <w:r>
        <w:rPr>
          <w:rFonts w:hint="eastAsia" w:ascii="宋体" w:hAnsi="宋体" w:cs="宋体"/>
          <w:b/>
          <w:szCs w:val="21"/>
        </w:rPr>
        <w:t>服务内容</w:t>
      </w:r>
    </w:p>
    <w:p w14:paraId="5E867AD8">
      <w:pPr>
        <w:keepNext w:val="0"/>
        <w:keepLines w:val="0"/>
        <w:pageBreakBefore w:val="0"/>
        <w:numPr>
          <w:ilvl w:val="0"/>
          <w:numId w:val="0"/>
        </w:numPr>
        <w:kinsoku/>
        <w:wordWrap/>
        <w:overflowPunct/>
        <w:topLinePunct w:val="0"/>
        <w:autoSpaceDE w:val="0"/>
        <w:autoSpaceDN/>
        <w:bidi w:val="0"/>
        <w:adjustRightInd/>
        <w:snapToGrid/>
        <w:spacing w:line="360" w:lineRule="auto"/>
        <w:ind w:leftChars="0" w:firstLine="420" w:firstLineChars="200"/>
        <w:textAlignment w:val="auto"/>
        <w:rPr>
          <w:rFonts w:hint="eastAsia" w:ascii="宋体" w:hAnsi="宋体" w:cs="宋体"/>
          <w:szCs w:val="21"/>
        </w:rPr>
      </w:pPr>
      <w:r>
        <w:rPr>
          <w:rFonts w:hint="eastAsia" w:ascii="宋体" w:hAnsi="宋体" w:cs="宋体"/>
          <w:szCs w:val="21"/>
        </w:rPr>
        <w:t>食堂每日供餐所需的蔬菜类、粮油类、冻品类、饮料类、水产类、鲜肉类、禽类、腌制品类、调味品类、蛋品类、水果类、干货类、豆制品类、乳制品类、辅料、佐料、副食等食堂食材配送服务。</w:t>
      </w:r>
    </w:p>
    <w:p w14:paraId="4632E35B">
      <w:pPr>
        <w:keepNext w:val="0"/>
        <w:keepLines w:val="0"/>
        <w:pageBreakBefore w:val="0"/>
        <w:numPr>
          <w:ilvl w:val="0"/>
          <w:numId w:val="0"/>
        </w:numPr>
        <w:kinsoku/>
        <w:wordWrap/>
        <w:overflowPunct/>
        <w:topLinePunct w:val="0"/>
        <w:autoSpaceDE w:val="0"/>
        <w:autoSpaceDN/>
        <w:bidi w:val="0"/>
        <w:adjustRightInd/>
        <w:snapToGrid/>
        <w:spacing w:line="360" w:lineRule="auto"/>
        <w:ind w:left="0" w:leftChars="0" w:firstLine="0" w:firstLineChars="0"/>
        <w:textAlignment w:val="auto"/>
        <w:rPr>
          <w:rFonts w:hint="eastAsia" w:ascii="宋体" w:hAnsi="宋体" w:cs="宋体"/>
          <w:b/>
          <w:szCs w:val="21"/>
        </w:rPr>
      </w:pPr>
      <w:r>
        <w:rPr>
          <w:rFonts w:hint="eastAsia" w:ascii="宋体" w:hAnsi="宋体" w:cs="宋体"/>
          <w:b/>
          <w:szCs w:val="21"/>
        </w:rPr>
        <w:t>4.其他要求</w:t>
      </w:r>
    </w:p>
    <w:p w14:paraId="1CBE88FC">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cs="宋体"/>
          <w:szCs w:val="21"/>
        </w:rPr>
      </w:pPr>
      <w:r>
        <w:rPr>
          <w:rFonts w:hint="eastAsia" w:ascii="宋体" w:hAnsi="宋体" w:cs="宋体"/>
          <w:szCs w:val="21"/>
        </w:rPr>
        <w:t>4.1本项目采取公开招标方式确定中标人，按照年度支付上限提供配送服务。</w:t>
      </w:r>
    </w:p>
    <w:p w14:paraId="6C852A1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cs="宋体"/>
          <w:szCs w:val="21"/>
        </w:rPr>
      </w:pPr>
      <w:r>
        <w:rPr>
          <w:rFonts w:hint="eastAsia" w:ascii="宋体" w:hAnsi="宋体" w:cs="宋体"/>
          <w:szCs w:val="21"/>
        </w:rPr>
        <w:t>4.2具体详细的考核制度和方式等按服务合同约定执行。</w:t>
      </w:r>
    </w:p>
    <w:p w14:paraId="2FC1DA41">
      <w:pPr>
        <w:keepNext w:val="0"/>
        <w:keepLines w:val="0"/>
        <w:pageBreakBefore w:val="0"/>
        <w:widowControl w:val="0"/>
        <w:kinsoku/>
        <w:wordWrap/>
        <w:overflowPunct/>
        <w:topLinePunct w:val="0"/>
        <w:autoSpaceDN/>
        <w:bidi w:val="0"/>
        <w:adjustRightInd/>
        <w:snapToGrid/>
        <w:spacing w:beforeAutospacing="0" w:afterAutospacing="0" w:line="360" w:lineRule="auto"/>
        <w:ind w:left="0" w:leftChars="0" w:right="0" w:firstLine="420" w:firstLineChars="200"/>
        <w:textAlignment w:val="auto"/>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4.3</w:t>
      </w:r>
      <w:r>
        <w:rPr>
          <w:rFonts w:hint="eastAsia" w:ascii="宋体" w:hAnsi="宋体" w:eastAsia="宋体" w:cs="宋体"/>
          <w:bCs/>
          <w:color w:val="auto"/>
          <w:sz w:val="21"/>
          <w:szCs w:val="21"/>
        </w:rPr>
        <w:t>应急条款：</w:t>
      </w:r>
    </w:p>
    <w:p w14:paraId="0DEB4D4D">
      <w:pPr>
        <w:keepNext w:val="0"/>
        <w:keepLines w:val="0"/>
        <w:pageBreakBefore w:val="0"/>
        <w:widowControl w:val="0"/>
        <w:kinsoku/>
        <w:wordWrap/>
        <w:overflowPunct/>
        <w:topLinePunct w:val="0"/>
        <w:autoSpaceDN/>
        <w:bidi w:val="0"/>
        <w:adjustRightInd/>
        <w:snapToGrid/>
        <w:spacing w:beforeAutospacing="0" w:afterAutospacing="0" w:line="360" w:lineRule="auto"/>
        <w:ind w:left="0" w:leftChars="0" w:right="0" w:firstLine="420" w:firstLineChars="200"/>
        <w:textAlignment w:val="auto"/>
        <w:rPr>
          <w:rFonts w:hint="eastAsia" w:ascii="宋体" w:hAnsi="宋体" w:cs="宋体"/>
          <w:bCs/>
          <w:color w:val="auto"/>
          <w:sz w:val="21"/>
          <w:szCs w:val="21"/>
          <w:lang w:eastAsia="zh-CN"/>
        </w:rPr>
      </w:pPr>
      <w:r>
        <w:rPr>
          <w:rFonts w:hint="eastAsia" w:ascii="宋体" w:hAnsi="宋体" w:cs="宋体"/>
          <w:bCs/>
          <w:color w:val="auto"/>
          <w:sz w:val="21"/>
          <w:szCs w:val="21"/>
          <w:lang w:eastAsia="zh-CN"/>
        </w:rPr>
        <w:t>①中标结果公告之后，中标单位因受其他供应商质疑投诉其在投标过程存在虚假响应或违法违纪问题，并经财政主管单位核实被依法取消中标资格解除合同的；</w:t>
      </w:r>
    </w:p>
    <w:p w14:paraId="3FC07BCF">
      <w:pPr>
        <w:keepNext w:val="0"/>
        <w:keepLines w:val="0"/>
        <w:pageBreakBefore w:val="0"/>
        <w:widowControl w:val="0"/>
        <w:kinsoku/>
        <w:wordWrap/>
        <w:overflowPunct/>
        <w:topLinePunct w:val="0"/>
        <w:autoSpaceDN/>
        <w:bidi w:val="0"/>
        <w:adjustRightInd/>
        <w:snapToGrid/>
        <w:spacing w:beforeAutospacing="0" w:afterAutospacing="0" w:line="360" w:lineRule="auto"/>
        <w:ind w:left="0" w:leftChars="0" w:right="0" w:firstLine="420" w:firstLineChars="200"/>
        <w:textAlignment w:val="auto"/>
        <w:rPr>
          <w:rFonts w:hint="eastAsia" w:ascii="宋体" w:hAnsi="宋体" w:cs="宋体"/>
          <w:bCs/>
          <w:color w:val="auto"/>
          <w:sz w:val="21"/>
          <w:szCs w:val="21"/>
          <w:lang w:eastAsia="zh-CN"/>
        </w:rPr>
      </w:pPr>
      <w:r>
        <w:rPr>
          <w:rFonts w:hint="eastAsia" w:ascii="宋体" w:hAnsi="宋体" w:cs="宋体"/>
          <w:bCs/>
          <w:color w:val="auto"/>
          <w:sz w:val="21"/>
          <w:szCs w:val="21"/>
          <w:lang w:eastAsia="zh-CN"/>
        </w:rPr>
        <w:t>②履约</w:t>
      </w:r>
      <w:r>
        <w:rPr>
          <w:rFonts w:hint="eastAsia" w:ascii="宋体" w:hAnsi="宋体" w:eastAsia="宋体" w:cs="宋体"/>
          <w:bCs/>
          <w:color w:val="auto"/>
          <w:sz w:val="21"/>
          <w:szCs w:val="21"/>
        </w:rPr>
        <w:t>服务过程中出现某一</w:t>
      </w:r>
      <w:r>
        <w:rPr>
          <w:rFonts w:hint="eastAsia" w:ascii="宋体" w:hAnsi="宋体" w:eastAsia="宋体" w:cs="宋体"/>
          <w:bCs/>
          <w:color w:val="auto"/>
          <w:sz w:val="21"/>
          <w:szCs w:val="21"/>
          <w:lang w:eastAsia="zh-CN"/>
        </w:rPr>
        <w:t>标段范围内</w:t>
      </w:r>
      <w:r>
        <w:rPr>
          <w:rFonts w:hint="eastAsia" w:ascii="宋体" w:hAnsi="宋体" w:eastAsia="宋体" w:cs="宋体"/>
          <w:bCs/>
          <w:color w:val="auto"/>
          <w:sz w:val="21"/>
          <w:szCs w:val="21"/>
        </w:rPr>
        <w:t>配送供应商出现严重违反采购要求</w:t>
      </w:r>
      <w:r>
        <w:rPr>
          <w:rFonts w:hint="eastAsia" w:ascii="宋体" w:hAnsi="宋体" w:eastAsia="宋体" w:cs="宋体"/>
          <w:bCs/>
          <w:color w:val="auto"/>
          <w:sz w:val="21"/>
          <w:szCs w:val="21"/>
          <w:lang w:eastAsia="zh-CN"/>
        </w:rPr>
        <w:t>或不符合考核要求</w:t>
      </w:r>
      <w:r>
        <w:rPr>
          <w:rFonts w:hint="eastAsia" w:ascii="宋体" w:hAnsi="宋体" w:eastAsia="宋体" w:cs="宋体"/>
          <w:bCs/>
          <w:color w:val="auto"/>
          <w:sz w:val="21"/>
          <w:szCs w:val="21"/>
        </w:rPr>
        <w:t>，需解除合同的</w:t>
      </w:r>
      <w:r>
        <w:rPr>
          <w:rFonts w:hint="eastAsia" w:ascii="宋体" w:hAnsi="宋体" w:cs="宋体"/>
          <w:bCs/>
          <w:color w:val="auto"/>
          <w:sz w:val="21"/>
          <w:szCs w:val="21"/>
          <w:lang w:eastAsia="zh-CN"/>
        </w:rPr>
        <w:t>。</w:t>
      </w:r>
    </w:p>
    <w:p w14:paraId="47CEA827">
      <w:pPr>
        <w:keepNext w:val="0"/>
        <w:keepLines w:val="0"/>
        <w:pageBreakBefore w:val="0"/>
        <w:widowControl w:val="0"/>
        <w:kinsoku/>
        <w:wordWrap/>
        <w:overflowPunct/>
        <w:topLinePunct w:val="0"/>
        <w:autoSpaceDE w:val="0"/>
        <w:autoSpaceDN/>
        <w:bidi w:val="0"/>
        <w:adjustRightInd/>
        <w:snapToGrid/>
        <w:spacing w:before="0" w:after="0" w:line="360" w:lineRule="auto"/>
        <w:ind w:left="0" w:firstLine="420" w:firstLineChars="200"/>
        <w:textAlignment w:val="auto"/>
        <w:rPr>
          <w:rFonts w:hint="eastAsia" w:ascii="宋体" w:hAnsi="宋体" w:eastAsia="宋体" w:cs="宋体"/>
          <w:bCs/>
          <w:color w:val="auto"/>
          <w:sz w:val="21"/>
          <w:szCs w:val="21"/>
          <w:lang w:eastAsia="zh-CN"/>
        </w:rPr>
      </w:pPr>
      <w:r>
        <w:rPr>
          <w:rFonts w:hint="eastAsia" w:ascii="宋体" w:hAnsi="宋体" w:cs="宋体"/>
          <w:bCs/>
          <w:color w:val="auto"/>
          <w:sz w:val="21"/>
          <w:szCs w:val="21"/>
          <w:lang w:eastAsia="zh-CN"/>
        </w:rPr>
        <w:t>出现以上任意一种情形的，</w:t>
      </w:r>
      <w:r>
        <w:rPr>
          <w:rFonts w:hint="eastAsia" w:ascii="宋体" w:hAnsi="宋体" w:eastAsia="宋体" w:cs="宋体"/>
          <w:bCs/>
          <w:color w:val="auto"/>
          <w:sz w:val="21"/>
          <w:szCs w:val="21"/>
        </w:rPr>
        <w:t>经</w:t>
      </w:r>
      <w:r>
        <w:rPr>
          <w:rFonts w:hint="eastAsia" w:ascii="宋体" w:hAnsi="宋体" w:cs="宋体"/>
          <w:bCs/>
          <w:color w:val="auto"/>
          <w:sz w:val="21"/>
          <w:szCs w:val="21"/>
          <w:lang w:eastAsia="zh-CN"/>
        </w:rPr>
        <w:t>相关</w:t>
      </w:r>
      <w:r>
        <w:rPr>
          <w:rFonts w:hint="eastAsia" w:ascii="宋体" w:hAnsi="宋体" w:eastAsia="宋体" w:cs="宋体"/>
          <w:bCs/>
          <w:color w:val="auto"/>
          <w:sz w:val="21"/>
          <w:szCs w:val="21"/>
          <w:lang w:eastAsia="zh-CN"/>
        </w:rPr>
        <w:t>部门</w:t>
      </w:r>
      <w:r>
        <w:rPr>
          <w:rFonts w:hint="eastAsia" w:ascii="宋体" w:hAnsi="宋体" w:eastAsia="宋体" w:cs="宋体"/>
          <w:bCs/>
          <w:color w:val="auto"/>
          <w:sz w:val="21"/>
          <w:szCs w:val="21"/>
        </w:rPr>
        <w:t>同意后，在重新招标完成以前，该</w:t>
      </w:r>
      <w:r>
        <w:rPr>
          <w:rFonts w:hint="eastAsia" w:ascii="宋体" w:hAnsi="宋体" w:eastAsia="宋体" w:cs="宋体"/>
          <w:bCs/>
          <w:color w:val="auto"/>
          <w:sz w:val="21"/>
          <w:szCs w:val="21"/>
          <w:lang w:eastAsia="zh-CN"/>
        </w:rPr>
        <w:t>标段范围内</w:t>
      </w:r>
      <w:r>
        <w:rPr>
          <w:rFonts w:hint="eastAsia" w:ascii="宋体" w:hAnsi="宋体" w:eastAsia="宋体" w:cs="宋体"/>
          <w:bCs/>
          <w:color w:val="auto"/>
          <w:sz w:val="21"/>
          <w:szCs w:val="21"/>
        </w:rPr>
        <w:t>的配送服务将由另外</w:t>
      </w:r>
      <w:r>
        <w:rPr>
          <w:rFonts w:hint="eastAsia" w:ascii="宋体" w:hAnsi="宋体" w:eastAsia="宋体" w:cs="宋体"/>
          <w:bCs/>
          <w:color w:val="auto"/>
          <w:sz w:val="21"/>
          <w:szCs w:val="21"/>
          <w:lang w:eastAsia="zh-CN"/>
        </w:rPr>
        <w:t>标段中</w:t>
      </w:r>
      <w:r>
        <w:rPr>
          <w:rFonts w:hint="eastAsia" w:ascii="宋体" w:hAnsi="宋体" w:eastAsia="宋体" w:cs="宋体"/>
          <w:bCs/>
          <w:color w:val="auto"/>
          <w:sz w:val="21"/>
          <w:szCs w:val="21"/>
        </w:rPr>
        <w:t>的一名中标人作为应急替补供应商</w:t>
      </w:r>
      <w:r>
        <w:rPr>
          <w:rFonts w:hint="eastAsia" w:ascii="宋体" w:hAnsi="宋体" w:cs="宋体"/>
          <w:bCs/>
          <w:color w:val="auto"/>
          <w:sz w:val="21"/>
          <w:szCs w:val="21"/>
          <w:lang w:eastAsia="zh-CN"/>
        </w:rPr>
        <w:t>临时</w:t>
      </w:r>
      <w:r>
        <w:rPr>
          <w:rFonts w:hint="eastAsia" w:ascii="宋体" w:hAnsi="宋体" w:eastAsia="宋体" w:cs="宋体"/>
          <w:bCs/>
          <w:color w:val="auto"/>
          <w:sz w:val="21"/>
          <w:szCs w:val="21"/>
        </w:rPr>
        <w:t>提供，</w:t>
      </w:r>
      <w:r>
        <w:rPr>
          <w:rFonts w:hint="eastAsia" w:ascii="宋体" w:hAnsi="宋体" w:eastAsia="宋体" w:cs="宋体"/>
          <w:bCs/>
          <w:color w:val="auto"/>
          <w:sz w:val="21"/>
          <w:szCs w:val="21"/>
          <w:lang w:eastAsia="zh-CN"/>
        </w:rPr>
        <w:t>替补方式为按照其他标段中标人综合得分高低依次替补（同等分值抽签确定替补名单），</w:t>
      </w:r>
      <w:r>
        <w:rPr>
          <w:rFonts w:hint="eastAsia" w:ascii="宋体" w:hAnsi="宋体" w:eastAsia="宋体" w:cs="宋体"/>
          <w:bCs/>
          <w:color w:val="auto"/>
          <w:sz w:val="21"/>
          <w:szCs w:val="21"/>
        </w:rPr>
        <w:t>临时配送期限至重新招标确定的供应商履约</w:t>
      </w:r>
      <w:r>
        <w:rPr>
          <w:rFonts w:hint="eastAsia" w:ascii="宋体" w:hAnsi="宋体" w:eastAsia="宋体" w:cs="宋体"/>
          <w:bCs/>
          <w:color w:val="auto"/>
          <w:sz w:val="21"/>
          <w:szCs w:val="21"/>
          <w:lang w:eastAsia="zh-CN"/>
        </w:rPr>
        <w:t>。</w:t>
      </w:r>
    </w:p>
    <w:p w14:paraId="7BE3B135">
      <w:pPr>
        <w:keepNext w:val="0"/>
        <w:keepLines w:val="0"/>
        <w:pageBreakBefore w:val="0"/>
        <w:kinsoku/>
        <w:wordWrap/>
        <w:overflowPunct/>
        <w:topLinePunct w:val="0"/>
        <w:autoSpaceDE w:val="0"/>
        <w:autoSpaceDN/>
        <w:bidi w:val="0"/>
        <w:adjustRightInd/>
        <w:snapToGrid/>
        <w:spacing w:before="0" w:after="0" w:line="360" w:lineRule="auto"/>
        <w:ind w:left="0" w:firstLine="0" w:firstLineChars="0"/>
        <w:textAlignment w:val="auto"/>
        <w:rPr>
          <w:rFonts w:hint="eastAsia" w:ascii="宋体" w:hAnsi="宋体" w:cs="宋体"/>
          <w:b/>
          <w:bCs/>
          <w:sz w:val="21"/>
          <w:szCs w:val="21"/>
        </w:rPr>
      </w:pPr>
      <w:r>
        <w:rPr>
          <w:rFonts w:hint="eastAsia" w:ascii="宋体" w:hAnsi="宋体" w:cs="宋体"/>
          <w:b/>
          <w:bCs/>
          <w:sz w:val="21"/>
          <w:szCs w:val="21"/>
          <w:lang w:val="en-US" w:eastAsia="zh-CN"/>
        </w:rPr>
        <w:t>5.依据及标准</w:t>
      </w:r>
    </w:p>
    <w:p w14:paraId="2E2A4CDD">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依据《中华人民共和国食品安全法》、《中华人民共和国农产品质量安全法》及其国家标准，参考《餐饮业和集体用餐配送单位卫生规范》等行业规范执行。</w:t>
      </w:r>
    </w:p>
    <w:p w14:paraId="0DA90B60">
      <w:pPr>
        <w:keepNext w:val="0"/>
        <w:keepLines w:val="0"/>
        <w:pageBreakBefore w:val="0"/>
        <w:widowControl w:val="0"/>
        <w:kinsoku/>
        <w:wordWrap/>
        <w:overflowPunct/>
        <w:topLinePunct w:val="0"/>
        <w:autoSpaceDE w:val="0"/>
        <w:autoSpaceDN/>
        <w:bidi w:val="0"/>
        <w:adjustRightInd/>
        <w:snapToGrid/>
        <w:spacing w:line="360" w:lineRule="auto"/>
        <w:textAlignment w:val="auto"/>
        <w:rPr>
          <w:rFonts w:hint="eastAsia" w:ascii="宋体" w:hAnsi="宋体" w:eastAsia="宋体" w:cs="宋体"/>
          <w:b/>
          <w:sz w:val="21"/>
          <w:szCs w:val="21"/>
        </w:rPr>
      </w:pPr>
      <w:r>
        <w:rPr>
          <w:rFonts w:hint="eastAsia" w:ascii="宋体" w:hAnsi="宋体" w:eastAsia="宋体" w:cs="宋体"/>
          <w:b/>
          <w:sz w:val="21"/>
          <w:szCs w:val="21"/>
          <w:lang w:val="en-US" w:eastAsia="zh-CN"/>
        </w:rPr>
        <w:t>6.</w:t>
      </w:r>
      <w:r>
        <w:rPr>
          <w:rFonts w:hint="eastAsia" w:ascii="宋体" w:hAnsi="宋体" w:eastAsia="宋体" w:cs="宋体"/>
          <w:b/>
          <w:sz w:val="21"/>
          <w:szCs w:val="21"/>
        </w:rPr>
        <w:t>质量管理要求</w:t>
      </w:r>
    </w:p>
    <w:p w14:paraId="370E3312">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lang w:eastAsia="zh-CN"/>
        </w:rPr>
        <w:t>（</w:t>
      </w:r>
      <w:r>
        <w:rPr>
          <w:rFonts w:hint="eastAsia" w:ascii="宋体" w:hAnsi="宋体" w:eastAsia="宋体" w:cs="宋体"/>
          <w:b/>
          <w:sz w:val="21"/>
          <w:szCs w:val="21"/>
          <w:lang w:val="en-US" w:eastAsia="zh-CN"/>
        </w:rPr>
        <w:t>一</w:t>
      </w:r>
      <w:r>
        <w:rPr>
          <w:rFonts w:hint="eastAsia" w:ascii="宋体" w:hAnsi="宋体" w:eastAsia="宋体" w:cs="宋体"/>
          <w:b/>
          <w:sz w:val="21"/>
          <w:szCs w:val="21"/>
          <w:lang w:eastAsia="zh-CN"/>
        </w:rPr>
        <w:t>）</w:t>
      </w:r>
      <w:r>
        <w:rPr>
          <w:rFonts w:hint="eastAsia" w:ascii="宋体" w:hAnsi="宋体" w:eastAsia="宋体" w:cs="宋体"/>
          <w:b/>
          <w:sz w:val="21"/>
          <w:szCs w:val="21"/>
        </w:rPr>
        <w:t>肉类要求（含生鲜、冻品、鱼类、熟食等）</w:t>
      </w:r>
    </w:p>
    <w:p w14:paraId="054DDC63">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rPr>
        <w:t>1.1供应产品质量要求:</w:t>
      </w:r>
    </w:p>
    <w:p w14:paraId="3CFA95E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所供货物应保持较好的外观和质量等级，符合国家食品部门的有关标准，保证无异味、无霉烂变质，肉类保证来源于深圳市正规肉屠宰场，供货时须提交屠宰场的验收单及当批次有效的动物检疫合格证复印件（原件备查），新鲜肉确保每日新鲜，为当天深圳市正规屠宰场宰杀的新鲜肉；冷冻肉要求肉体冻实而坚硬，无化冻现象，肉质紧密而有弹性，色泽均匀，不粘手，交货时干净、新鲜、无异味；冷冻鱼类要求鱼眼睛清亮，角膜透明，鳞片上覆有冻结的透明黏液层，皮肤天然色泽明显。</w:t>
      </w:r>
    </w:p>
    <w:p w14:paraId="6B95CBB7">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（2）所有货物规格符合采购人提交的日采购计划中明确的具体需求。</w:t>
      </w:r>
    </w:p>
    <w:p w14:paraId="3F8BBFBF">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（3）冷冻禽类食品解冻后净重量不少于 90％，冷冻肉类食品解冻后净重量不少于92%，冷冻水产类食品解冻后净重量不少于 82%，解冻时间为 4 小时以内（室温20℃）。所有冷冻食品要求清晰列出产品品牌、规格、类型、包装方式、包装净重、含冰量等相关参数。</w:t>
      </w:r>
    </w:p>
    <w:p w14:paraId="6DB1097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（4）熟食包括烧鸡、烧鸭、烧鹅等。熟食（特别是鲜制熟食）保质期较短，保鲜要求高，供应的熟食需保证产品的品质。</w:t>
      </w:r>
    </w:p>
    <w:p w14:paraId="290D7BE3">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（5）如中标人不能按时、保质、保量供货，由采购人自行采购，并承担采购人由此造成的经济损失和接受违约处罚。</w:t>
      </w:r>
    </w:p>
    <w:p w14:paraId="3DECCE6F">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（6）各中标人提供猪、牛、羊等肉类、家禽类及肉制品应有《卫生检疫报告》、《产品合格证》资质证明。</w:t>
      </w:r>
    </w:p>
    <w:p w14:paraId="6643C70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（7）产品配送要求：</w:t>
      </w:r>
    </w:p>
    <w:p w14:paraId="4C8D5DA5">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食品运输必须采用符合卫生要求的外包装和运载工具，并且要保持清洁和定期消毒。运输车厢的内仓，包括地面、墙面和顶，应为抗腐蚀、防潮，防虫、防鼠的设计，车厢内无不良气味、异味。</w:t>
      </w:r>
    </w:p>
    <w:p w14:paraId="3E11BD7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冷藏、冷冻食品必须用专用冷藏、冷冻载具运输，应当有必要的保温设备并在整个运输过程中保持安全的冷藏、冷冻温度。特别是对于长途运输的食品，保证食品在运输全过程处于合适的温度范围。</w:t>
      </w:r>
    </w:p>
    <w:p w14:paraId="1C779EAE">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整个运输过程应科学合理，运输车辆应定期清洁，保持性能稳定，符合规定的温度要求，使运输食品处于恒定的环境中。</w:t>
      </w:r>
    </w:p>
    <w:p w14:paraId="72D893C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送货车辆实行1小时配送圈运作，在1小时内的用保温车配送，1小时以外的用制冷车配送，保证肉类中心温度控制在-2-7℃的范围之内，保证运输过程冷链不中断。商品到达目的地时外包装箱干爽,无软化现象。</w:t>
      </w:r>
    </w:p>
    <w:p w14:paraId="484BAC17">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（8）卸货要求：</w:t>
      </w:r>
    </w:p>
    <w:p w14:paraId="23A6B0ED">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送货车辆应保持清洁；食品堆放科学合理，避免造成食品的交叉污染；如对温度有要求的食品应确定食品的温度，记录送货车辆温度，并记录存档。</w:t>
      </w:r>
    </w:p>
    <w:p w14:paraId="5B194C0D">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在本环节中应保证冷藏食品脱离冷链时间不得超过20分钟，冷冻食品脱离冷链时间不得超过30分钟。</w:t>
      </w:r>
    </w:p>
    <w:p w14:paraId="6E134D2B">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（9）冻肉质量的基本检查：</w:t>
      </w:r>
    </w:p>
    <w:p w14:paraId="7933A97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（10）对冻肉类检查如下：</w:t>
      </w:r>
    </w:p>
    <w:p w14:paraId="10491E3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10.1采购的冻肉必须符合食品卫生要求及国家有关标准和行业规范。采购生产、经营证明文件齐备，明确来源，并具有检验合格证明。严禁含有毒有害物质、虫及混有异物，严禁有腐烂变质、酸败、霉变情况，禁止采购超过保质期限的冻肉类食品。</w:t>
      </w:r>
    </w:p>
    <w:p w14:paraId="73A8E66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10.2冻肉类食品包装必须符合国家规范，采购的食品不得存放在有毒、有害的容器和承载物内。食品包装上必须使用原产地标识，应注明：制造商名称和厂址、食品名称和重（容）量、生产日期和保质期限以及规格和QS认证等。</w:t>
      </w:r>
    </w:p>
    <w:p w14:paraId="42A1B66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10.3对不符合采购要求的冻肉类食品由验收人员提出清退，如双方对质量争议的退货前应实行留板备案，可送深圳市或用户所在地地级市以上质监部门检测，对缺斤短两（或含冰量超标）的应按实际重量扣减。</w:t>
      </w:r>
    </w:p>
    <w:p w14:paraId="42031D6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（11）冻肉类食品验收发现问题时的处理办法：</w:t>
      </w:r>
    </w:p>
    <w:p w14:paraId="5E5BBE4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11.1按产品质量描述对货物质量进行抽查。</w:t>
      </w:r>
    </w:p>
    <w:p w14:paraId="30230385">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11.2抽查发现食品安全质量问题的处理：</w:t>
      </w:r>
    </w:p>
    <w:p w14:paraId="1A33411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对危及人身安全的食品质量问题采取零容忍措施，一经发现，当日所送同批次产品全部退货，同时有权依法解除合同。如水产品中发现河豚鱼，发现腐败变质肉类等。</w:t>
      </w:r>
    </w:p>
    <w:p w14:paraId="4D9D875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若抽查未发现问题，而在加工食用前发现部分产品质量问题，应立即通知物资验收小组及中标人，将问题产品退货处理。</w:t>
      </w:r>
    </w:p>
    <w:p w14:paraId="6951FB3C">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11.3抽查发现资质证照不全问题的处理：</w:t>
      </w:r>
    </w:p>
    <w:p w14:paraId="6853ECA6">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11.3.1整批产品无政府部门出具的动植物检疫合格证明的全部退货；</w:t>
      </w:r>
    </w:p>
    <w:p w14:paraId="0292D87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11.3.2抽查发现部分产品无政府部门出具的动植物检疫合格证明，加抽15%，两次抽查数50%以上没有动植物检疫合格证明的，全部退货；50%以下没有动植物检疫合格证明的，将无动植物检疫合格证明的货物退货；</w:t>
      </w:r>
    </w:p>
    <w:p w14:paraId="5309F53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11.3.3整批产品有省地市出具的动植物检疫合格证明，随箱产品合格证不齐全的，加抽15%，两次抽查数50%以上没有产品合格证的，全部退货；50%以下没有产品合格证明的，将无产品合格证明的货物退货；</w:t>
      </w:r>
    </w:p>
    <w:p w14:paraId="7046AD6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11.3.4肉制品无疾病控制或质量技术监督部门出具的同类产品半年内有效检验报告，作退货处理；随箱产品合格证不齐全的，加抽15%，两次抽查数50%以上没有产品合格证的，全部退货；50%以下没有产品合格证明的，将无产品合格证明的货物退货。</w:t>
      </w:r>
    </w:p>
    <w:p w14:paraId="7AB32CB6">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（12）货物重量验收：</w:t>
      </w:r>
    </w:p>
    <w:p w14:paraId="5A72BB46">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12.1冻肉类：双方各随机抽取每品种货物一箱，去包装，在流动的10-25℃清水中浸泡解冻至表面冰层融化，个体能够分离为止，充分摊开货物沥水三分钟后称重，取双方抽取样本均值为该产品本批次种货物的验收重量。</w:t>
      </w:r>
    </w:p>
    <w:p w14:paraId="4FC9B60D">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12.2水产类：双方各随机抽取每品种货物两箱，去包装，在流动的10-25℃清水中浸泡解冻至表面冰层融化，个体能够分离为止，充分摊开货物沥水三分钟后称重，取双方抽取样本均值为该产品本批次种货物的验收重量。</w:t>
      </w:r>
    </w:p>
    <w:p w14:paraId="0A521D1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12.3 新鲜肉类、丸类、火腿、腊肠类等不含冰货物直接称重验收。</w:t>
      </w:r>
    </w:p>
    <w:p w14:paraId="71F943F0">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lang w:eastAsia="zh-CN"/>
        </w:rPr>
        <w:t>（</w:t>
      </w:r>
      <w:r>
        <w:rPr>
          <w:rFonts w:hint="eastAsia" w:ascii="宋体" w:hAnsi="宋体" w:eastAsia="宋体" w:cs="宋体"/>
          <w:b/>
          <w:sz w:val="21"/>
          <w:szCs w:val="21"/>
          <w:lang w:val="en-US" w:eastAsia="zh-CN"/>
        </w:rPr>
        <w:t>二</w:t>
      </w:r>
      <w:r>
        <w:rPr>
          <w:rFonts w:hint="eastAsia" w:ascii="宋体" w:hAnsi="宋体" w:eastAsia="宋体" w:cs="宋体"/>
          <w:b/>
          <w:sz w:val="21"/>
          <w:szCs w:val="21"/>
          <w:lang w:eastAsia="zh-CN"/>
        </w:rPr>
        <w:t>）</w:t>
      </w:r>
      <w:r>
        <w:rPr>
          <w:rFonts w:hint="eastAsia" w:ascii="宋体" w:hAnsi="宋体" w:eastAsia="宋体" w:cs="宋体"/>
          <w:b/>
          <w:sz w:val="21"/>
          <w:szCs w:val="21"/>
        </w:rPr>
        <w:t>蔬菜类要求：</w:t>
      </w:r>
    </w:p>
    <w:p w14:paraId="4133AD7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中标人每天的供应按采购人提出的品种要求和计划数量进行供应。</w:t>
      </w:r>
    </w:p>
    <w:p w14:paraId="5C0A440A">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属季节问题，若出现品种不能满足采购人需求的情况，可与采购人协商调换相应类别的品种（按叶菜、瓜菜等进行分类）。</w:t>
      </w:r>
    </w:p>
    <w:p w14:paraId="61C402C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（1）货物质量要求：</w:t>
      </w:r>
    </w:p>
    <w:p w14:paraId="63E9584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从蔬菜色泽看，各种蔬菜都应具有本品种固有的颜色，大多数有发亮的光泽，以此显示蔬菜的成熟度及鲜嫩程度；</w:t>
      </w:r>
    </w:p>
    <w:p w14:paraId="1376A2FB">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从蔬菜气味看，多数蔬菜具有清馨、甘辛香、甜酸香等气味，可凭嗅觉识别不同品种的质量，不允许有腐烂变质的亚硝酸盐味和其他异常气味；</w:t>
      </w:r>
    </w:p>
    <w:p w14:paraId="00239BFF">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从蔬菜滋味看，因品种不同而各异，多数蔬菜滋味甘淡、甜酸、清爽鲜美，少数具有辛酸、苦涩等特殊风味以刺激食欲，如失去本品种原有的滋即为异常；</w:t>
      </w:r>
    </w:p>
    <w:p w14:paraId="17BD77E6">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从蔬菜形态看，应尽量避免由于客观因素而造成的各种非正常、不新鲜的蔬菜，例如萎蔫、枯塌、损伤、病变、虫害侵蚀等引起的形态异常等。</w:t>
      </w:r>
    </w:p>
    <w:p w14:paraId="434D40C3">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（2）供应和管理要求</w:t>
      </w:r>
    </w:p>
    <w:p w14:paraId="6185BA4D">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2.1蔬菜供应的品种安排（分主菜和配菜）。</w:t>
      </w:r>
    </w:p>
    <w:p w14:paraId="7916C385">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2.1.1 配菜品种按采购人计划和要求的品种供应；</w:t>
      </w:r>
    </w:p>
    <w:p w14:paraId="7CDDE8BD">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2.1.2主菜品种由供求双方根据季节安排，但要确保每周有5个品种以上，每个品种不少于2次，6-9月叶菜类不少于30％，其余时间叶菜类不少于50％。</w:t>
      </w:r>
    </w:p>
    <w:p w14:paraId="74F7364B">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蔬菜包装与标志要求：包装。容器(框、箱、袋)要求清洁、干燥、牢固、透气，无污染、无异味、无霉变现象。标志。每件包装必须按《农产品包装和标识管理办法》贴标签，并标明产地、品种、净含量、生产单位及地址和采收日期。</w:t>
      </w:r>
    </w:p>
    <w:p w14:paraId="26AE7C12">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2.3食品供应链要求：所有食品的来源必须清晰。蔬菜来源须为深圳市范围内的自有基地、商品菜基地或蔬菜专业流通市场，严禁收购散户农民的蔬菜供应。</w:t>
      </w:r>
    </w:p>
    <w:p w14:paraId="3E196E9E">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2.4运输要求：运输工具应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应小心轻卸，严防机械损伤。食品堆放科学合理，避免造成食品的交叉污染；如对温度有要求的食品应确定食品的温度，记录送货车辆温度，并记录存档。</w:t>
      </w:r>
    </w:p>
    <w:p w14:paraId="4600E4A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2.5管理要求：菜地设有固定的农资存放场所，配有专用的农药喷洒用具及其他农用器具，施用农药有详尽记录，规定施药间隔期后采收；蔬菜采收后需用清洁、无污染的运输工具运抵加工地点。</w:t>
      </w:r>
    </w:p>
    <w:p w14:paraId="40472B7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2.6环境要求：菜地周围需设有隔离网、隔离带或其他有效的隔离措施，确保不受临近农田施肥和用药污染；菜地周围无养殖场、化工厂、垃圾处理场、医院以及污水排放管道等污染源。</w:t>
      </w:r>
    </w:p>
    <w:p w14:paraId="2EAE0AB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2.7水源要求：菜地应有清洁无污染的灌溉水源；灌溉水井设有防护设施。灌溉水源需经检测验证符合规定要求，并一年内在蔬菜种植过程对水源进行2次监测。</w:t>
      </w:r>
    </w:p>
    <w:p w14:paraId="1784F30B">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2.8农药要求：种植使用的农药必须符合食品安全管理部门的规定，严禁使用违禁药物；农药的采购、保管、发放、使用必须建立记录；蔬菜生产使用农药的间隔期必须符合行业规定，并且采收前中标人应从种植地取样检测农残项目，合格后方可供应。</w:t>
      </w:r>
    </w:p>
    <w:p w14:paraId="0C724757">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（3）蔬菜验收时发现问题的处理方法：</w:t>
      </w:r>
    </w:p>
    <w:p w14:paraId="4862E08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3.1按后附产品质量描述对货物质量进行抽查。</w:t>
      </w:r>
    </w:p>
    <w:p w14:paraId="77B79F7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3.2抽查发现食品安全质量问题的处理：</w:t>
      </w:r>
    </w:p>
    <w:p w14:paraId="66B4FAEF">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对危及人身安全的食品质量问题采取零容忍措施，一经发现，当日所送同批次产品全部退货，同时有权依法解除合同。如水产品中发现农药残留超标，发现腐败变质蔬菜等。</w:t>
      </w:r>
    </w:p>
    <w:p w14:paraId="39D43E3F">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若抽查未发现问题，而在加工食用前发现部分产品质量问题，应立即通知物资验收小组及中标人，将问题产品退货处理。</w:t>
      </w:r>
    </w:p>
    <w:p w14:paraId="21633846">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sz w:val="21"/>
          <w:szCs w:val="21"/>
        </w:rPr>
      </w:pPr>
      <w:r>
        <w:rPr>
          <w:rFonts w:hint="eastAsia" w:ascii="宋体" w:hAnsi="宋体" w:eastAsia="宋体" w:cs="宋体"/>
          <w:b/>
          <w:sz w:val="21"/>
          <w:szCs w:val="21"/>
          <w:lang w:eastAsia="zh-CN"/>
        </w:rPr>
        <w:t>（</w:t>
      </w:r>
      <w:r>
        <w:rPr>
          <w:rFonts w:hint="eastAsia" w:ascii="宋体" w:hAnsi="宋体" w:eastAsia="宋体" w:cs="宋体"/>
          <w:b/>
          <w:sz w:val="21"/>
          <w:szCs w:val="21"/>
          <w:lang w:val="en-US" w:eastAsia="zh-CN"/>
        </w:rPr>
        <w:t>三</w:t>
      </w:r>
      <w:r>
        <w:rPr>
          <w:rFonts w:hint="eastAsia" w:ascii="宋体" w:hAnsi="宋体" w:eastAsia="宋体" w:cs="宋体"/>
          <w:b/>
          <w:sz w:val="21"/>
          <w:szCs w:val="21"/>
          <w:lang w:eastAsia="zh-CN"/>
        </w:rPr>
        <w:t>）</w:t>
      </w:r>
      <w:r>
        <w:rPr>
          <w:rFonts w:hint="eastAsia" w:ascii="宋体" w:hAnsi="宋体" w:eastAsia="宋体" w:cs="宋体"/>
          <w:b/>
          <w:sz w:val="21"/>
          <w:szCs w:val="21"/>
        </w:rPr>
        <w:t>干货类要求</w:t>
      </w:r>
    </w:p>
    <w:p w14:paraId="69F5257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（1）供应产品质量要求：</w:t>
      </w:r>
    </w:p>
    <w:p w14:paraId="23A6DE1A">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1.1中标人所提供产品质量必须要符合行业标准要求，不得有掺假、变质、变味、过期等现象出现，严禁伪劣、假冒、无证不合格物品进入仓库。</w:t>
      </w:r>
    </w:p>
    <w:p w14:paraId="354B47F6">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1.2中标人所提供产品必须价格合理，不得虚高报价，否则采购人有权不用。</w:t>
      </w:r>
    </w:p>
    <w:p w14:paraId="7F15A77B">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中标人在供应过程中，如果发生出现质量问题或造成食物中毒,如变质等情况，经查实后确属供货方责任，中标人应承担全部责任，主要包括食物中毒人员医疗费、误工费、事故处理费等，直至追究刑事责任。同时依法解除合同。</w:t>
      </w:r>
    </w:p>
    <w:p w14:paraId="630F974E">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（2）干货类质量要求：</w:t>
      </w:r>
    </w:p>
    <w:p w14:paraId="08A7166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干货制品的质量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w:t>
      </w:r>
      <w:r>
        <w:rPr>
          <w:rFonts w:hint="eastAsia" w:ascii="宋体" w:hAnsi="宋体" w:eastAsia="宋体" w:cs="宋体"/>
          <w:sz w:val="21"/>
          <w:szCs w:val="21"/>
          <w:lang w:eastAsia="zh-CN"/>
        </w:rPr>
        <w:t>采购</w:t>
      </w:r>
      <w:r>
        <w:rPr>
          <w:rFonts w:hint="eastAsia" w:ascii="宋体" w:hAnsi="宋体" w:eastAsia="宋体" w:cs="宋体"/>
          <w:sz w:val="21"/>
          <w:szCs w:val="21"/>
        </w:rPr>
        <w:t>人可根据实际情况对需要的干货制品进行品质抽检，对质量未达到国家标准的干货制品</w:t>
      </w:r>
      <w:r>
        <w:rPr>
          <w:rFonts w:hint="eastAsia" w:ascii="宋体" w:hAnsi="宋体" w:eastAsia="宋体" w:cs="宋体"/>
          <w:sz w:val="21"/>
          <w:szCs w:val="21"/>
          <w:lang w:eastAsia="zh-CN"/>
        </w:rPr>
        <w:t>采购</w:t>
      </w:r>
      <w:r>
        <w:rPr>
          <w:rFonts w:hint="eastAsia" w:ascii="宋体" w:hAnsi="宋体" w:eastAsia="宋体" w:cs="宋体"/>
          <w:sz w:val="21"/>
          <w:szCs w:val="21"/>
        </w:rPr>
        <w:t>人有权拒绝接受。</w:t>
      </w:r>
    </w:p>
    <w:p w14:paraId="4A4EEC24">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2.2几种主要干货制品的质量标准：</w:t>
      </w:r>
    </w:p>
    <w:p w14:paraId="1CC1DA97">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肉皮：作为干肉皮，无论什么部位，体表洁净无毛，白亮无残余肥膘，无虫蛀，干爽，敲击时响声清脆，质量均匀为好，反之则为次之，如已发霉，并有哈喇味，即已变质。</w:t>
      </w:r>
    </w:p>
    <w:p w14:paraId="25FD0D0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玉兰片：玉兰片以色泽黄白、洁净、肉厚、纤维少、节较密、体长不超过 10~17cm 的为最好，肉薄节疏、纤维多而粗老的质量较差。</w:t>
      </w:r>
    </w:p>
    <w:p w14:paraId="61E5BE4E">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黄花菜：又名金针菜，干燥、有清香味，菜色黄亮、身条长而粗壮、条杆粗细均匀者为佳。</w:t>
      </w:r>
    </w:p>
    <w:p w14:paraId="76CBFC5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黑木耳：黑木耳的质量一般以条形大而完整，耳瓣舒展少卷曲，内厚黑，富于光泽，体干不霉，无杂质和碎者为优，反之则差。</w:t>
      </w:r>
    </w:p>
    <w:p w14:paraId="7ABEB85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银耳：银耳又称白木耳，以朵大、色洁白、有光泽、无杂质，根小、干度足，完整者为佳品， 朵小、色黄、根大、无光泽，散碎者次之；黄黑色者质量最次，依上述标准可将银耳分为上中下三等。质量好的银耳，根部易稣烂，食之柔软，质量次则根部大而发硬。</w:t>
      </w:r>
    </w:p>
    <w:p w14:paraId="5FE20DF6">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香菇：根据采收季节和形状不同，香菇又分为花菇、厚菇、薄菇和菇丁四类，其中以花菇质量 最好，厚菇次之，薄菇更差，菇丁质量最差。</w:t>
      </w:r>
    </w:p>
    <w:p w14:paraId="05C8036C">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A、花菇：朵小柄短，呈半球状，菇伞顶面有似菊花似的白色裂纹，肉厚、菌盖色泽淡黑，菇底 褶，通过加工呈淡黄色，身干、质嫩、有芳香气味者为质好好香菇。 </w:t>
      </w:r>
    </w:p>
    <w:p w14:paraId="2DD06F0B">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B、厚菇：形状如伞，顶面无花纹，呈黑色并略有光泽，质嫩、肉厚、朵稍大，质量稍次。 </w:t>
      </w:r>
    </w:p>
    <w:p w14:paraId="505C424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C、薄菇：形状扁平、开伞、朵大、肉薄、菌盖表面浅褐色，菌褐白色，菌柄稍高，浅咖啡色， 基部稍带红色或红褐色，质量比花菇厚，菇差，味淡。 </w:t>
      </w:r>
    </w:p>
    <w:p w14:paraId="394E325A">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D、菇丁：是指未充分发育的香菇，个小，直径在2cm以下，味淡质差。</w:t>
      </w:r>
    </w:p>
    <w:p w14:paraId="6333C474">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腐竹：腐竹又名豆腐皮和油皮，有一、二、三级品之分。一级品：色泽黄亮、干燥筋韧、耐贮、无碎块。二级品：颜色较一极品灰黄、干燥无碎块。三级品：颜色更灰黄、无光泽、易碎、筋韧性差。</w:t>
      </w:r>
    </w:p>
    <w:p w14:paraId="61C0FF64">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粉丝：质量好的粉丝，粉条细长、白净、晶莹透明、丝条均匀、整齐、干燥，不易折断，无斑点、黑迹，无霉变，有粉丝特有的光泽。</w:t>
      </w:r>
    </w:p>
    <w:p w14:paraId="4C7EA3F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蹄筋：猪蹄筋的质量首先从蹄筋抽取的部位区别，后蹄筋体长而圆、粗状、光滑的品质好。前蹄筋体短而扁细、品质较差、保管完好的蹄筋应呈白色、无杂质，干、硬度高。</w:t>
      </w:r>
    </w:p>
    <w:p w14:paraId="3EAA42AB">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干贝：上等干贝粒大完整、黄亮干燥、肉质饱满，肉丝清晰、粗且有特殊香气。粒小、碎破、色淡无光泽者较次。破碎、发黑发霉的为变质品。</w:t>
      </w:r>
    </w:p>
    <w:p w14:paraId="7959CCD7">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鱿鱼：市场上常见的鱿鱼有椭圆形和长方形，选购时应注意：体干、体形完整、光亮洁净、淡粉红色、片大头小、肉厚者为优。体形部分卷曲，尾部和背部红中透暗，两侧有微红点、体小而宽、肉薄者为次品。</w:t>
      </w:r>
    </w:p>
    <w:p w14:paraId="2A87CF55">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海蛰：海蛰是由水母加工制成，选购时应注意色泽，以乳白色或淡黄色、气味清新、质厚均匀、个体完整、块大、无血黑（体肉红皮）有光泽的为上品，带有膜状血衣的为次品。</w:t>
      </w:r>
    </w:p>
    <w:p w14:paraId="1C3CFADE">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紫菜：属海产红藻类植物，因鲜紫菜叶较宽大，经干制成长方块形，散片状卷筒，其中以卷筒形柔嫩微脆、叶薄、色紫清香鲜美的为品质优。</w:t>
      </w:r>
    </w:p>
    <w:p w14:paraId="4870E0FF">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发菜：发菜是陆生褐色藻类，以藻体细长、绿黑色、柔软爽滑、干燥、无杂质的质量为优，反之则劣。</w:t>
      </w:r>
    </w:p>
    <w:p w14:paraId="5D817AA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鱼肚：其标准一般为体大整齐、肚厚、身干、光洁明亮、无虫蛀腐者好；灰暗、肉薄、体小则次之，有虫蛀、颜色发黑、变霉则为变质品。</w:t>
      </w:r>
    </w:p>
    <w:p w14:paraId="5449EB11">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四</w:t>
      </w:r>
      <w:r>
        <w:rPr>
          <w:rFonts w:hint="eastAsia" w:ascii="宋体" w:hAnsi="宋体" w:eastAsia="宋体" w:cs="宋体"/>
          <w:b/>
          <w:bCs/>
          <w:sz w:val="21"/>
          <w:szCs w:val="21"/>
          <w:lang w:eastAsia="zh-CN"/>
        </w:rPr>
        <w:t>）</w:t>
      </w:r>
      <w:r>
        <w:rPr>
          <w:rFonts w:hint="eastAsia" w:ascii="宋体" w:hAnsi="宋体" w:eastAsia="宋体" w:cs="宋体"/>
          <w:b/>
          <w:bCs/>
          <w:sz w:val="21"/>
          <w:szCs w:val="21"/>
        </w:rPr>
        <w:t>牛奶要求</w:t>
      </w:r>
    </w:p>
    <w:p w14:paraId="359B6EE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提供最近日期生产出品的鲜奶和酸奶；外包装完整无损，有详细的生产日期、保质期、生产厂家等信息。</w:t>
      </w:r>
    </w:p>
    <w:p w14:paraId="7918115C">
      <w:pPr>
        <w:keepNext w:val="0"/>
        <w:keepLines w:val="0"/>
        <w:pageBreakBefore w:val="0"/>
        <w:widowControl w:val="0"/>
        <w:numPr>
          <w:ilvl w:val="0"/>
          <w:numId w:val="0"/>
        </w:numPr>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鲜奶要求</w:t>
      </w:r>
    </w:p>
    <w:p w14:paraId="4307EF1E">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1.1颜色：色泽为乳白色或稍带微黄色。</w:t>
      </w:r>
    </w:p>
    <w:p w14:paraId="79118C0B">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1.2组织状态：呈均匀的流体，无沉淀、凝块和机械杂质，无粘稠和浓厚现象。</w:t>
      </w:r>
    </w:p>
    <w:p w14:paraId="6A83C86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1.3气味: 具有乳特有的乳香味，无其他任何异味。不能发出显著的酸味、苦味、臭味、霉味、涩味、腥味等异常气味。</w:t>
      </w:r>
    </w:p>
    <w:p w14:paraId="69660B0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1.4味道：具有鲜乳独具的纯香味，滋味可口而稍甜，无其他任何异常滋味。不能有有酸味、咸味、苦味等。</w:t>
      </w:r>
    </w:p>
    <w:p w14:paraId="2F94AB74">
      <w:pPr>
        <w:keepNext w:val="0"/>
        <w:keepLines w:val="0"/>
        <w:pageBreakBefore w:val="0"/>
        <w:widowControl w:val="0"/>
        <w:numPr>
          <w:ilvl w:val="0"/>
          <w:numId w:val="0"/>
        </w:numPr>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酸奶要求</w:t>
      </w:r>
    </w:p>
    <w:p w14:paraId="4E905D9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2.1颜色：色泽均匀一致，呈乳白色或稍带微黄色。不得出现色泽不匀、灰暗或出现其他异常颜色。</w:t>
      </w:r>
    </w:p>
    <w:p w14:paraId="00747913">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2.2组织状态：凝乳均匀细腻，无气泡，允许有少量黄色脂膜和少量乳清。不能出现气泡、霉斑或乳清析出严重、乳清分离等异常状态。</w:t>
      </w:r>
    </w:p>
    <w:p w14:paraId="7260207F">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2.3气味：有清香、纯正的酸奶味。不能有腐败味，霉变味、酒精发酵及其他不良气味。</w:t>
      </w:r>
    </w:p>
    <w:p w14:paraId="5323056D">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2.4味道：有纯正的酸牛奶味，酸甜适口。不能酸味过度、有苦味、涩味或其他不良滋味。</w:t>
      </w:r>
    </w:p>
    <w:p w14:paraId="2C82CA20">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五</w:t>
      </w:r>
      <w:r>
        <w:rPr>
          <w:rFonts w:hint="eastAsia" w:ascii="宋体" w:hAnsi="宋体" w:eastAsia="宋体" w:cs="宋体"/>
          <w:b/>
          <w:bCs/>
          <w:sz w:val="21"/>
          <w:szCs w:val="21"/>
          <w:lang w:eastAsia="zh-CN"/>
        </w:rPr>
        <w:t>）</w:t>
      </w:r>
      <w:r>
        <w:rPr>
          <w:rFonts w:hint="eastAsia" w:ascii="宋体" w:hAnsi="宋体" w:eastAsia="宋体" w:cs="宋体"/>
          <w:b/>
          <w:bCs/>
          <w:sz w:val="21"/>
          <w:szCs w:val="21"/>
        </w:rPr>
        <w:t>水果要求</w:t>
      </w:r>
    </w:p>
    <w:p w14:paraId="71572405">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（1）总体要求</w:t>
      </w:r>
    </w:p>
    <w:p w14:paraId="10903CB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1.1色泽：具有该品种成熟果品应有的色泽及形态特征；颜色鲜艳、外型端正、细腻光滑、富有光泽的水果质量一般较好；</w:t>
      </w:r>
    </w:p>
    <w:p w14:paraId="5BAB598B">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1.2外形：果型端正，个头大小基本一致；果品表面清洁新鲜，无腐烂变质、病虫害和机械损伤等。</w:t>
      </w:r>
    </w:p>
    <w:p w14:paraId="4C70BC8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1.3气味：多数成熟的果品有较浓郁的芳香；</w:t>
      </w:r>
    </w:p>
    <w:p w14:paraId="2558AA1D">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1.4口感：具有较好的甜度和口感。</w:t>
      </w:r>
    </w:p>
    <w:p w14:paraId="38E8ECDC">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（2）几种常见水果的质量标准</w:t>
      </w:r>
    </w:p>
    <w:p w14:paraId="7E39D18F">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苹果：色泽均匀而鲜艳，表面洁净光亮，红者艳如珊瑚、玛瑙，青者黄里透出微红；气味清香；肉质香甜鲜脆，美味可口。</w:t>
      </w:r>
    </w:p>
    <w:p w14:paraId="6E4EACF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梨：果实新鲜饱满，果形端正，因各品种不同而呈青、黄、月白等颜色，成熟适度，肉质细，质地脆而鲜嫩，石细胞少，汁多，味甜或酸甜，无霉烂、冻伤、病灾害和机械伤。</w:t>
      </w:r>
    </w:p>
    <w:p w14:paraId="647B4AC1">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柑橘类：果形中等，呈圆形或呈长圆形，皮稍厚而光滑润泽，果心无实，核与种均呈白色，果肉汁多，瓤瓣界限不分明，味酸甜适口。</w:t>
      </w:r>
    </w:p>
    <w:p w14:paraId="726189B4">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香蕉：体形大而均匀；色泽新鲜、光亮。果皮呈鲜黄或青黄色；果面光滑，无病斑，无虫疤，无霉菌，无创伤；果皮易剥离，果肉稍硬而不摊浆；果肉柔软糯滑，香甜适口，不涩口，无怪味，不软烂。</w:t>
      </w:r>
    </w:p>
    <w:p w14:paraId="20910344">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西瓜：基本端正，具有本品种的基本形状和特征；表面光亮清晰，条纹清晰。无机械伤，无病虫害和干疤；果肉结构松紧适度，呈均匀一致的鲜红色；有清香爽的滋味，无异味。</w:t>
      </w:r>
    </w:p>
    <w:p w14:paraId="1553287C">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葡萄：新鲜并且成熟适度的葡萄，果粒饱满，大小均匀，果粒牢固，落子较少，果浆多而浓，味甜。</w:t>
      </w:r>
    </w:p>
    <w:p w14:paraId="421175E4">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六</w:t>
      </w:r>
      <w:r>
        <w:rPr>
          <w:rFonts w:hint="eastAsia" w:ascii="宋体" w:hAnsi="宋体" w:eastAsia="宋体" w:cs="宋体"/>
          <w:b/>
          <w:bCs/>
          <w:sz w:val="21"/>
          <w:szCs w:val="21"/>
          <w:lang w:eastAsia="zh-CN"/>
        </w:rPr>
        <w:t>）</w:t>
      </w:r>
      <w:r>
        <w:rPr>
          <w:rFonts w:hint="eastAsia" w:ascii="宋体" w:hAnsi="宋体" w:eastAsia="宋体" w:cs="宋体"/>
          <w:b/>
          <w:bCs/>
          <w:sz w:val="21"/>
          <w:szCs w:val="21"/>
        </w:rPr>
        <w:t>调味品要求</w:t>
      </w:r>
    </w:p>
    <w:p w14:paraId="5ADFB6B5">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（1）总体要求</w:t>
      </w:r>
    </w:p>
    <w:p w14:paraId="0B6AEBF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产品外包装上明确标准产品名称、规格、生产日期、保质期、生产厂家、生产地点等。拥有“QS”食品质量安全认证，符合《食品安全法》的基本要求。</w:t>
      </w:r>
    </w:p>
    <w:p w14:paraId="0159D280">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（2）几种主要调味品的质量标准：</w:t>
      </w:r>
    </w:p>
    <w:p w14:paraId="1B63EF2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酱油：氨基酸态氮含量要求每百毫升≥0.55；澄清，浓厚，稀稠适度，挂壁，无沉淀。</w:t>
      </w:r>
    </w:p>
    <w:p w14:paraId="570CB5AA">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醋： 颜色黑紫、过夏不霉、过冬不冻，气味甘甜异酸；食醋的总酸含量要≥3.5g/100ml；具有琥珀色或红棕色，有光泽者为佳品。体态澄清、浓度适当，无悬浮物、沉淀。</w:t>
      </w:r>
    </w:p>
    <w:p w14:paraId="52374E23">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味精：味精颗粒形状一致，色洁白有光泽，颗粒间呈散粒状态；味精溶液透明无色，无泡沫，无杂质。</w:t>
      </w:r>
    </w:p>
    <w:p w14:paraId="48B9EA0E">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鸡精：谷氨酸钠，g/100g≥35.0 氯化物g/100g≤40.0，呈味核苷酸二钠g/100g≥1.10，干燥失重g/100g≤3.0，总氮g/100g≥3.00，其他氮g/100g≥0.20。</w:t>
      </w:r>
    </w:p>
    <w:p w14:paraId="16694E1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豆瓣酱：色泽：红褐色、油润光亮；香气：无不良气味；滋味：鲜美、咸淡可口；体态：松散、质地柔软。</w:t>
      </w:r>
    </w:p>
    <w:p w14:paraId="60C9B2F9">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白砂糖：结晶体、质地均匀、甜味纯正；干燥松散、洁白、有光泽、无明显黑点。</w:t>
      </w:r>
    </w:p>
    <w:p w14:paraId="0CC863F5">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料酒：酒精含量在15 度以下；由小米或糯米酿造而成。</w:t>
      </w:r>
    </w:p>
    <w:p w14:paraId="3049AE2F">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sz w:val="21"/>
          <w:szCs w:val="21"/>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七</w:t>
      </w:r>
      <w:r>
        <w:rPr>
          <w:rFonts w:hint="eastAsia" w:ascii="宋体" w:hAnsi="宋体" w:eastAsia="宋体" w:cs="宋体"/>
          <w:b/>
          <w:bCs/>
          <w:sz w:val="21"/>
          <w:szCs w:val="21"/>
          <w:lang w:eastAsia="zh-CN"/>
        </w:rPr>
        <w:t>）</w:t>
      </w:r>
      <w:r>
        <w:rPr>
          <w:rFonts w:hint="eastAsia" w:ascii="宋体" w:hAnsi="宋体" w:eastAsia="宋体" w:cs="宋体"/>
          <w:b/>
          <w:bCs/>
          <w:sz w:val="21"/>
          <w:szCs w:val="21"/>
        </w:rPr>
        <w:t>食用油要求</w:t>
      </w:r>
    </w:p>
    <w:p w14:paraId="1860ABC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（1）须为一年内新油；</w:t>
      </w:r>
    </w:p>
    <w:p w14:paraId="47894DD3">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大豆油符合GB/T1535—2017《大豆油》一级标准；符合食品安全国家标准：GB 2761-2017、GB 2762-2017、GB 2760-2014、GB 5009.271-2016；包装应符合GB/T 17374-2008 食用植物油销售包装、Q/7645776C-0.1-2017 食品包装瓶；</w:t>
      </w:r>
    </w:p>
    <w:p w14:paraId="25CB2DC7">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（2）菜籽油符合GB/T 1536—2004《菜籽油》一级标准；符合食品安全国家标准：GB 2761-2017、GB 2762-2017、GB 2760-2014、GB 5009.271-2016；包装应符合GB/T 17374-2008 食用植物油销售包装、Q/7645776C-0.1-2017 食品包装瓶。</w:t>
      </w:r>
    </w:p>
    <w:p w14:paraId="1D370556">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八</w:t>
      </w:r>
      <w:r>
        <w:rPr>
          <w:rFonts w:hint="eastAsia" w:ascii="宋体" w:hAnsi="宋体" w:eastAsia="宋体" w:cs="宋体"/>
          <w:b/>
          <w:bCs/>
          <w:sz w:val="21"/>
          <w:szCs w:val="21"/>
          <w:lang w:eastAsia="zh-CN"/>
        </w:rPr>
        <w:t>）</w:t>
      </w:r>
      <w:r>
        <w:rPr>
          <w:rFonts w:hint="eastAsia" w:ascii="宋体" w:hAnsi="宋体" w:eastAsia="宋体" w:cs="宋体"/>
          <w:b/>
          <w:bCs/>
          <w:sz w:val="21"/>
          <w:szCs w:val="21"/>
        </w:rPr>
        <w:t>大米要求</w:t>
      </w:r>
    </w:p>
    <w:p w14:paraId="4646B967">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（1）须为一年内新米；</w:t>
      </w:r>
    </w:p>
    <w:p w14:paraId="7F8C31DA">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（2）须达到国家质量标准；GB1354-2009 三级以上（含三级）籼米，其中铬、镉、无机砷、黄曲霉毒素B1 等项目应符合相应的食品安全国家标准要求；</w:t>
      </w:r>
    </w:p>
    <w:p w14:paraId="68E32F9E">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（3）包装要求：用纤维袋或塑料袋定量包装。包装上有生产许可证的编号，包装标识清楚，如印有重量、生产日期、保质期、生产厂家、电话等；</w:t>
      </w:r>
    </w:p>
    <w:p w14:paraId="7DEAA978">
      <w:pPr>
        <w:keepNext w:val="0"/>
        <w:keepLines w:val="0"/>
        <w:pageBreakBefore w:val="0"/>
        <w:widowControl w:val="0"/>
        <w:kinsoku/>
        <w:wordWrap/>
        <w:overflowPunct/>
        <w:topLinePunct w:val="0"/>
        <w:autoSpaceDE w:val="0"/>
        <w:autoSpaceDN/>
        <w:bidi w:val="0"/>
        <w:adjustRightInd/>
        <w:snapToGrid/>
        <w:spacing w:line="360" w:lineRule="auto"/>
        <w:ind w:left="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（4）大米色泽呈透明玉色状，“米眼睛”（胚芽部）的颜色呈乳白色，有自然清香味，脂肪酸值[（mg/100g)≤30]符合GB/T20569-2006《稻谷储存品质判定规则》；</w:t>
      </w:r>
    </w:p>
    <w:p w14:paraId="15F38425">
      <w:pPr>
        <w:pStyle w:val="5"/>
        <w:pageBreakBefore w:val="0"/>
        <w:widowControl w:val="0"/>
        <w:kinsoku/>
        <w:wordWrap/>
        <w:overflowPunct/>
        <w:topLinePunct w:val="0"/>
        <w:autoSpaceDN/>
        <w:bidi w:val="0"/>
        <w:adjustRightInd/>
        <w:snapToGrid/>
        <w:spacing w:before="0" w:after="0" w:line="360" w:lineRule="auto"/>
        <w:ind w:firstLine="422" w:firstLineChars="200"/>
        <w:textAlignment w:val="auto"/>
        <w:rPr>
          <w:rFonts w:hint="eastAsia" w:ascii="宋体" w:hAnsi="宋体" w:eastAsia="宋体" w:cs="宋体"/>
          <w:b/>
          <w:bCs/>
          <w:sz w:val="21"/>
          <w:szCs w:val="21"/>
        </w:rPr>
      </w:pPr>
      <w:r>
        <w:rPr>
          <w:rFonts w:hint="eastAsia" w:ascii="宋体" w:hAnsi="宋体" w:eastAsia="宋体" w:cs="宋体"/>
          <w:b/>
          <w:bCs/>
          <w:sz w:val="21"/>
          <w:szCs w:val="21"/>
        </w:rPr>
        <w:t>（5）需提供生产加工方国家认可的质量检测部门出具的检测报告（GB 1354-2009），每季度提供生产加工方所在地质量检测部门的检测报告。</w:t>
      </w:r>
    </w:p>
    <w:p w14:paraId="639BB02D">
      <w:pPr>
        <w:keepNext w:val="0"/>
        <w:keepLines w:val="0"/>
        <w:pageBreakBefore w:val="0"/>
        <w:kinsoku/>
        <w:wordWrap/>
        <w:overflowPunct/>
        <w:topLinePunct w:val="0"/>
        <w:autoSpaceDE w:val="0"/>
        <w:autoSpaceDN/>
        <w:bidi w:val="0"/>
        <w:adjustRightInd/>
        <w:snapToGrid/>
        <w:spacing w:before="0" w:after="0" w:line="360" w:lineRule="auto"/>
        <w:ind w:left="0" w:firstLine="0" w:firstLineChars="0"/>
        <w:textAlignment w:val="auto"/>
        <w:rPr>
          <w:rFonts w:hint="eastAsia" w:ascii="宋体" w:hAnsi="宋体" w:eastAsia="宋体" w:cs="宋体"/>
          <w:b/>
          <w:bCs/>
          <w:color w:val="FF0000"/>
          <w:sz w:val="21"/>
          <w:szCs w:val="21"/>
          <w:lang w:val="en-US" w:eastAsia="zh-CN"/>
        </w:rPr>
      </w:pPr>
      <w:r>
        <w:rPr>
          <w:rFonts w:hint="eastAsia" w:ascii="宋体" w:hAnsi="宋体" w:cs="宋体"/>
          <w:b w:val="0"/>
          <w:bCs/>
          <w:color w:val="FF0000"/>
          <w:szCs w:val="21"/>
        </w:rPr>
        <w:t>★</w:t>
      </w:r>
      <w:r>
        <w:rPr>
          <w:rFonts w:hint="eastAsia" w:ascii="宋体" w:hAnsi="宋体" w:eastAsia="宋体" w:cs="宋体"/>
          <w:b/>
          <w:bCs/>
          <w:color w:val="FF0000"/>
          <w:sz w:val="21"/>
          <w:szCs w:val="21"/>
          <w:lang w:val="en-US" w:eastAsia="zh-CN"/>
        </w:rPr>
        <w:t>7.服务要求</w:t>
      </w:r>
    </w:p>
    <w:p w14:paraId="760F0E80">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7.1</w:t>
      </w:r>
      <w:r>
        <w:rPr>
          <w:rFonts w:hint="eastAsia" w:ascii="宋体" w:hAnsi="宋体" w:eastAsia="宋体" w:cs="宋体"/>
          <w:b/>
          <w:bCs/>
          <w:color w:val="FF0000"/>
          <w:sz w:val="21"/>
          <w:szCs w:val="21"/>
        </w:rPr>
        <w:t>配送食品全部经过国家规定的职能部门检验并有检测报告，确保安全可靠。中标人在全国范围内从未出现或舆论关注的配送食品安全事故，一经查实或合同签订期间出现上述情况，采购人将立即解除合同，中标人应赔偿相关损失。（中标人</w:t>
      </w:r>
      <w:r>
        <w:rPr>
          <w:rFonts w:hint="eastAsia" w:ascii="宋体" w:hAnsi="宋体" w:eastAsia="宋体" w:cs="宋体"/>
          <w:b/>
          <w:bCs/>
          <w:color w:val="FF0000"/>
          <w:sz w:val="21"/>
          <w:szCs w:val="21"/>
          <w:lang w:eastAsia="zh-CN"/>
        </w:rPr>
        <w:t>中标后</w:t>
      </w:r>
      <w:r>
        <w:rPr>
          <w:rFonts w:hint="eastAsia" w:ascii="宋体" w:hAnsi="宋体" w:eastAsia="宋体" w:cs="宋体"/>
          <w:b/>
          <w:bCs/>
          <w:color w:val="FF0000"/>
          <w:sz w:val="21"/>
          <w:szCs w:val="21"/>
        </w:rPr>
        <w:t>须出具相关承诺书）。</w:t>
      </w:r>
    </w:p>
    <w:p w14:paraId="64D81A05">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7.2</w:t>
      </w:r>
      <w:r>
        <w:rPr>
          <w:rFonts w:hint="eastAsia" w:ascii="宋体" w:hAnsi="宋体" w:eastAsia="宋体" w:cs="宋体"/>
          <w:b/>
          <w:bCs/>
          <w:color w:val="FF0000"/>
          <w:sz w:val="21"/>
          <w:szCs w:val="21"/>
        </w:rPr>
        <w:t>数量及验收要求：中标人应保证所供货物品种和数量、重量的准确性，采购</w:t>
      </w:r>
      <w:r>
        <w:rPr>
          <w:rFonts w:hint="eastAsia" w:ascii="宋体" w:hAnsi="宋体" w:eastAsia="宋体" w:cs="宋体"/>
          <w:b/>
          <w:bCs/>
          <w:color w:val="FF0000"/>
          <w:sz w:val="21"/>
          <w:szCs w:val="21"/>
          <w:lang w:eastAsia="zh-CN"/>
        </w:rPr>
        <w:t>人</w:t>
      </w:r>
      <w:r>
        <w:rPr>
          <w:rFonts w:hint="eastAsia" w:ascii="宋体" w:hAnsi="宋体" w:eastAsia="宋体" w:cs="宋体"/>
          <w:b/>
          <w:bCs/>
          <w:color w:val="FF0000"/>
          <w:sz w:val="21"/>
          <w:szCs w:val="21"/>
        </w:rPr>
        <w:t>和中标人应分别建立采购和供应台账，确定专人（不少于两人）负责验收和送货，以采购</w:t>
      </w:r>
      <w:r>
        <w:rPr>
          <w:rFonts w:hint="eastAsia" w:ascii="宋体" w:hAnsi="宋体" w:eastAsia="宋体" w:cs="宋体"/>
          <w:b/>
          <w:bCs/>
          <w:color w:val="FF0000"/>
          <w:sz w:val="21"/>
          <w:szCs w:val="21"/>
          <w:lang w:eastAsia="zh-CN"/>
        </w:rPr>
        <w:t>人</w:t>
      </w:r>
      <w:r>
        <w:rPr>
          <w:rFonts w:hint="eastAsia" w:ascii="宋体" w:hAnsi="宋体" w:eastAsia="宋体" w:cs="宋体"/>
          <w:b/>
          <w:bCs/>
          <w:color w:val="FF0000"/>
          <w:sz w:val="21"/>
          <w:szCs w:val="21"/>
        </w:rPr>
        <w:t>的验货数量为准，中标人每次随货送上一式两份的送货清单，供采购</w:t>
      </w:r>
      <w:r>
        <w:rPr>
          <w:rFonts w:hint="eastAsia" w:ascii="宋体" w:hAnsi="宋体" w:eastAsia="宋体" w:cs="宋体"/>
          <w:b/>
          <w:bCs/>
          <w:color w:val="FF0000"/>
          <w:sz w:val="21"/>
          <w:szCs w:val="21"/>
          <w:lang w:eastAsia="zh-CN"/>
        </w:rPr>
        <w:t>人</w:t>
      </w:r>
      <w:r>
        <w:rPr>
          <w:rFonts w:hint="eastAsia" w:ascii="宋体" w:hAnsi="宋体" w:eastAsia="宋体" w:cs="宋体"/>
          <w:b/>
          <w:bCs/>
          <w:color w:val="FF0000"/>
          <w:sz w:val="21"/>
          <w:szCs w:val="21"/>
        </w:rPr>
        <w:t>验货后签字确认，双方各持一份，作为送、收货的凭证。对于出现质量、数量不符合要求等现象，采购</w:t>
      </w:r>
      <w:r>
        <w:rPr>
          <w:rFonts w:hint="eastAsia" w:ascii="宋体" w:hAnsi="宋体" w:eastAsia="宋体" w:cs="宋体"/>
          <w:b/>
          <w:bCs/>
          <w:color w:val="FF0000"/>
          <w:sz w:val="21"/>
          <w:szCs w:val="21"/>
          <w:lang w:eastAsia="zh-CN"/>
        </w:rPr>
        <w:t>人</w:t>
      </w:r>
      <w:r>
        <w:rPr>
          <w:rFonts w:hint="eastAsia" w:ascii="宋体" w:hAnsi="宋体" w:eastAsia="宋体" w:cs="宋体"/>
          <w:b/>
          <w:bCs/>
          <w:color w:val="FF0000"/>
          <w:sz w:val="21"/>
          <w:szCs w:val="21"/>
        </w:rPr>
        <w:t>有权要求中标人及时退换，中标人必须无条件退换，并保证员工正常就餐。</w:t>
      </w:r>
    </w:p>
    <w:p w14:paraId="5736DD0B">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7.3</w:t>
      </w:r>
      <w:r>
        <w:rPr>
          <w:rFonts w:hint="eastAsia" w:ascii="宋体" w:hAnsi="宋体" w:eastAsia="宋体" w:cs="宋体"/>
          <w:b/>
          <w:bCs/>
          <w:color w:val="FF0000"/>
          <w:sz w:val="21"/>
          <w:szCs w:val="21"/>
        </w:rPr>
        <w:t>送货时间要求：中标人必须保证全年365天均能送货，</w:t>
      </w:r>
      <w:r>
        <w:rPr>
          <w:rFonts w:hint="eastAsia" w:ascii="宋体" w:hAnsi="宋体" w:eastAsia="宋体" w:cs="宋体"/>
          <w:b/>
          <w:bCs/>
          <w:color w:val="FF0000"/>
          <w:sz w:val="21"/>
          <w:szCs w:val="21"/>
          <w:highlight w:val="none"/>
        </w:rPr>
        <w:t>根据采购人实际需要协商确定具体的送货时间，以合同签订为准。</w:t>
      </w:r>
      <w:r>
        <w:rPr>
          <w:rFonts w:hint="eastAsia" w:ascii="宋体" w:hAnsi="宋体" w:eastAsia="宋体" w:cs="宋体"/>
          <w:b/>
          <w:bCs/>
          <w:color w:val="FF0000"/>
          <w:sz w:val="21"/>
          <w:szCs w:val="21"/>
        </w:rPr>
        <w:t>采购</w:t>
      </w:r>
      <w:r>
        <w:rPr>
          <w:rFonts w:hint="eastAsia" w:ascii="宋体" w:hAnsi="宋体" w:eastAsia="宋体" w:cs="宋体"/>
          <w:b/>
          <w:bCs/>
          <w:color w:val="FF0000"/>
          <w:sz w:val="21"/>
          <w:szCs w:val="21"/>
          <w:lang w:eastAsia="zh-CN"/>
        </w:rPr>
        <w:t>人</w:t>
      </w:r>
      <w:r>
        <w:rPr>
          <w:rFonts w:hint="eastAsia" w:ascii="宋体" w:hAnsi="宋体" w:eastAsia="宋体" w:cs="宋体"/>
          <w:b/>
          <w:bCs/>
          <w:color w:val="FF0000"/>
          <w:sz w:val="21"/>
          <w:szCs w:val="21"/>
        </w:rPr>
        <w:t>应提前（在具体合同中约定）向中标人以传真或电子文件等方式提交购货计划，并说明购货品种、数量及其他需要说明的事项。中标人在接到购货订单通知后，应按采购</w:t>
      </w:r>
      <w:r>
        <w:rPr>
          <w:rFonts w:hint="eastAsia" w:ascii="宋体" w:hAnsi="宋体" w:eastAsia="宋体" w:cs="宋体"/>
          <w:b/>
          <w:bCs/>
          <w:color w:val="FF0000"/>
          <w:sz w:val="21"/>
          <w:szCs w:val="21"/>
          <w:lang w:eastAsia="zh-CN"/>
        </w:rPr>
        <w:t>人</w:t>
      </w:r>
      <w:r>
        <w:rPr>
          <w:rFonts w:hint="eastAsia" w:ascii="宋体" w:hAnsi="宋体" w:eastAsia="宋体" w:cs="宋体"/>
          <w:b/>
          <w:bCs/>
          <w:color w:val="FF0000"/>
          <w:sz w:val="21"/>
          <w:szCs w:val="21"/>
        </w:rPr>
        <w:t>订购单的要求送货。极个别产品因质量太差或没有货源时应及时反馈到采购</w:t>
      </w:r>
      <w:r>
        <w:rPr>
          <w:rFonts w:hint="eastAsia" w:ascii="宋体" w:hAnsi="宋体" w:eastAsia="宋体" w:cs="宋体"/>
          <w:b/>
          <w:bCs/>
          <w:color w:val="FF0000"/>
          <w:sz w:val="21"/>
          <w:szCs w:val="21"/>
          <w:lang w:eastAsia="zh-CN"/>
        </w:rPr>
        <w:t>人</w:t>
      </w:r>
      <w:r>
        <w:rPr>
          <w:rFonts w:hint="eastAsia" w:ascii="宋体" w:hAnsi="宋体" w:eastAsia="宋体" w:cs="宋体"/>
          <w:b/>
          <w:bCs/>
          <w:color w:val="FF0000"/>
          <w:sz w:val="21"/>
          <w:szCs w:val="21"/>
        </w:rPr>
        <w:t>并协商调整，保证所需货物准时到达。如若迟到，须承担相关违约责任。</w:t>
      </w:r>
    </w:p>
    <w:p w14:paraId="2D58C1BB">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7.4</w:t>
      </w:r>
      <w:r>
        <w:rPr>
          <w:rFonts w:hint="eastAsia" w:ascii="宋体" w:hAnsi="宋体" w:eastAsia="宋体" w:cs="宋体"/>
          <w:b/>
          <w:bCs/>
          <w:color w:val="FF0000"/>
          <w:sz w:val="21"/>
          <w:szCs w:val="21"/>
        </w:rPr>
        <w:t>采购人有权对中标人配送的各类物品自行或者委托第三方检测机构进行检测，若检测不合格，或配送的货物达不到承诺书要求，中标人</w:t>
      </w:r>
      <w:r>
        <w:rPr>
          <w:rFonts w:hint="eastAsia" w:ascii="宋体" w:hAnsi="宋体" w:eastAsia="宋体" w:cs="宋体"/>
          <w:b/>
          <w:bCs/>
          <w:color w:val="FF0000"/>
          <w:sz w:val="21"/>
          <w:szCs w:val="21"/>
          <w:lang w:val="en-US" w:eastAsia="zh-CN"/>
        </w:rPr>
        <w:t>应</w:t>
      </w:r>
      <w:r>
        <w:rPr>
          <w:rFonts w:hint="eastAsia" w:ascii="宋体" w:hAnsi="宋体" w:eastAsia="宋体" w:cs="宋体"/>
          <w:b/>
          <w:bCs/>
          <w:color w:val="FF0000"/>
          <w:sz w:val="21"/>
          <w:szCs w:val="21"/>
        </w:rPr>
        <w:t>做出书面保证承诺并于2小时内补充配送符合要求的货物。</w:t>
      </w:r>
    </w:p>
    <w:p w14:paraId="7EA9455D">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w:t>
      </w:r>
      <w:r>
        <w:rPr>
          <w:rFonts w:hint="eastAsia" w:ascii="宋体" w:hAnsi="宋体" w:eastAsia="宋体" w:cs="宋体"/>
          <w:b/>
          <w:bCs/>
          <w:color w:val="FF0000"/>
          <w:sz w:val="21"/>
          <w:szCs w:val="21"/>
        </w:rPr>
        <w:t>5临时加货处理：对于采购人临时有客餐任务或临时增加员工用餐时，中标人需在接到采购人口头或书面通知2小时内将货物送到采购人的指定地点，派专人负责跟踪服务，保证用餐正常。</w:t>
      </w:r>
    </w:p>
    <w:p w14:paraId="29937732">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w:t>
      </w:r>
      <w:r>
        <w:rPr>
          <w:rFonts w:hint="eastAsia" w:ascii="宋体" w:hAnsi="宋体" w:eastAsia="宋体" w:cs="宋体"/>
          <w:b/>
          <w:bCs/>
          <w:color w:val="FF0000"/>
          <w:sz w:val="21"/>
          <w:szCs w:val="21"/>
        </w:rPr>
        <w:t>6在供货过程中，采购人对所供货物有任何意见，可随时向中标人反映，中标人应及时改进，否则采购人有权依法解除合同。</w:t>
      </w:r>
    </w:p>
    <w:p w14:paraId="42A6F7E8">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w:t>
      </w:r>
      <w:r>
        <w:rPr>
          <w:rFonts w:hint="eastAsia" w:ascii="宋体" w:hAnsi="宋体" w:eastAsia="宋体" w:cs="宋体"/>
          <w:b/>
          <w:bCs/>
          <w:color w:val="FF0000"/>
          <w:sz w:val="21"/>
          <w:szCs w:val="21"/>
        </w:rPr>
        <w:t>7配送车辆要求：中标人需保证提供足够数量的冷藏特种车辆，满足采购人订货和补货的配送要求。</w:t>
      </w:r>
    </w:p>
    <w:p w14:paraId="274AD6AF">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w:t>
      </w:r>
      <w:r>
        <w:rPr>
          <w:rFonts w:hint="eastAsia" w:ascii="宋体" w:hAnsi="宋体" w:eastAsia="宋体" w:cs="宋体"/>
          <w:b/>
          <w:bCs/>
          <w:color w:val="FF0000"/>
          <w:sz w:val="21"/>
          <w:szCs w:val="21"/>
        </w:rPr>
        <w:t>8因配送运输中出现人身安全事故，中标人独立承担一切刑事、民事责任，与采购人无关。</w:t>
      </w:r>
    </w:p>
    <w:p w14:paraId="4D311711">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w:t>
      </w:r>
      <w:r>
        <w:rPr>
          <w:rFonts w:hint="eastAsia" w:ascii="宋体" w:hAnsi="宋体" w:eastAsia="宋体" w:cs="宋体"/>
          <w:b/>
          <w:bCs/>
          <w:color w:val="FF0000"/>
          <w:sz w:val="21"/>
          <w:szCs w:val="21"/>
        </w:rPr>
        <w:t>9中标人应至少每月向采购人提供一次各类货物清晰准确的原产地以及检测报告，包括但不局限于肉类检验检疫、三鸟检验检疫、水产品、粮油类、蔬菜农残检验等检测报告；采购人如发现中标人配送的货物可能存在食品安全问题的，有权追求其法律责任。</w:t>
      </w:r>
    </w:p>
    <w:p w14:paraId="57916406">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w:t>
      </w:r>
      <w:r>
        <w:rPr>
          <w:rFonts w:hint="eastAsia" w:ascii="宋体" w:hAnsi="宋体" w:eastAsia="宋体" w:cs="宋体"/>
          <w:b/>
          <w:bCs/>
          <w:color w:val="FF0000"/>
          <w:sz w:val="21"/>
          <w:szCs w:val="21"/>
        </w:rPr>
        <w:t>10中标人应该按照采购人的要求，需建立专门台账，按深圳市食品进货索证和台账登记要求，按格式如实记录配送给采购人的各类物品，留存相关检验合格证明、资质证明、营业执照等有效资料，并可追踪溯源，采购人有权定期检查。</w:t>
      </w:r>
    </w:p>
    <w:p w14:paraId="7CD3EF01">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w:t>
      </w:r>
      <w:r>
        <w:rPr>
          <w:rFonts w:hint="eastAsia" w:ascii="宋体" w:hAnsi="宋体" w:eastAsia="宋体" w:cs="宋体"/>
          <w:b/>
          <w:bCs/>
          <w:color w:val="FF0000"/>
          <w:sz w:val="21"/>
          <w:szCs w:val="21"/>
        </w:rPr>
        <w:t>11合同服务期限内，中标人应安排指定数量的专职配送员驻点采购</w:t>
      </w:r>
      <w:r>
        <w:rPr>
          <w:rFonts w:hint="eastAsia" w:ascii="宋体" w:hAnsi="宋体" w:eastAsia="宋体" w:cs="宋体"/>
          <w:b/>
          <w:bCs/>
          <w:color w:val="FF0000"/>
          <w:sz w:val="21"/>
          <w:szCs w:val="21"/>
          <w:lang w:eastAsia="zh-CN"/>
        </w:rPr>
        <w:t>人</w:t>
      </w:r>
      <w:r>
        <w:rPr>
          <w:rFonts w:hint="eastAsia" w:ascii="宋体" w:hAnsi="宋体" w:eastAsia="宋体" w:cs="宋体"/>
          <w:b/>
          <w:bCs/>
          <w:color w:val="FF0000"/>
          <w:sz w:val="21"/>
          <w:szCs w:val="21"/>
        </w:rPr>
        <w:t>食堂，按采购额度每超过15万元/月，中标人每日应派出至少1人协助采购人进行物资粗加工和整理货品；如：采购额度超过15万元/月，中标人每日应派出不少于1人协助采购人进行物资粗加工和整理货品，采购额度超过30万元/月，中标人应派出至少2人协助采购人进行物资粗加工和整理货品，以此类推。专职配送员应于每日食材送达后，完成当日配送食材的清洗、加工、切配等工作（或由中标人另行安排人员，确保完成每日配送食材的清洗、加工、切配等工作），完成当日工作任务后方可离岗。</w:t>
      </w:r>
    </w:p>
    <w:p w14:paraId="04FA444B">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w:t>
      </w:r>
      <w:r>
        <w:rPr>
          <w:rFonts w:hint="eastAsia" w:ascii="宋体" w:hAnsi="宋体" w:eastAsia="宋体" w:cs="宋体"/>
          <w:b/>
          <w:bCs/>
          <w:color w:val="FF0000"/>
          <w:sz w:val="21"/>
          <w:szCs w:val="21"/>
        </w:rPr>
        <w:t>12配送员应为中标人的正式在职员工，持有健康证，服从采购人的食堂管理和工作调配。如食堂用餐人数和每日订菜数量发生变化，采购人有权对配送员人数提出增减需求，中标人应对专职配送员安排人数进行增减调配，确保完成每日食材洗切配工作。采购人可提供初加工操作场地，但中标人应服从采购人的管理，严格遵守国家的有关法律法规。</w:t>
      </w:r>
    </w:p>
    <w:p w14:paraId="5F7EE8B1">
      <w:pPr>
        <w:keepNext w:val="0"/>
        <w:keepLines w:val="0"/>
        <w:pageBreakBefore w:val="0"/>
        <w:widowControl w:val="0"/>
        <w:kinsoku/>
        <w:wordWrap/>
        <w:overflowPunct/>
        <w:topLinePunct w:val="0"/>
        <w:autoSpaceDE w:val="0"/>
        <w:autoSpaceDN/>
        <w:bidi w:val="0"/>
        <w:adjustRightInd/>
        <w:snapToGrid/>
        <w:spacing w:line="360" w:lineRule="auto"/>
        <w:ind w:left="0" w:firstLine="422" w:firstLineChars="200"/>
        <w:textAlignment w:val="auto"/>
        <w:rPr>
          <w:rFonts w:hint="eastAsia" w:ascii="宋体" w:hAnsi="宋体" w:eastAsia="宋体" w:cs="宋体"/>
          <w:b/>
          <w:bCs/>
          <w:color w:val="FF0000"/>
          <w:sz w:val="21"/>
          <w:szCs w:val="21"/>
        </w:rPr>
      </w:pPr>
      <w:r>
        <w:rPr>
          <w:rFonts w:hint="eastAsia" w:ascii="宋体" w:hAnsi="宋体" w:eastAsia="宋体" w:cs="宋体"/>
          <w:b/>
          <w:bCs/>
          <w:color w:val="FF0000"/>
          <w:sz w:val="21"/>
          <w:szCs w:val="21"/>
          <w:lang w:val="en-US" w:eastAsia="zh-CN"/>
        </w:rPr>
        <w:t>7.</w:t>
      </w:r>
      <w:r>
        <w:rPr>
          <w:rFonts w:hint="eastAsia" w:ascii="宋体" w:hAnsi="宋体" w:eastAsia="宋体" w:cs="宋体"/>
          <w:b/>
          <w:bCs/>
          <w:color w:val="FF0000"/>
          <w:sz w:val="21"/>
          <w:szCs w:val="21"/>
        </w:rPr>
        <w:t>13中标人所有员工凭健康证上岗，同时应成立食堂配送项目专项服务小组，负责相关工作及提供各种服务。</w:t>
      </w:r>
    </w:p>
    <w:p w14:paraId="4A8FF39D">
      <w:pPr>
        <w:autoSpaceDE w:val="0"/>
        <w:spacing w:line="360" w:lineRule="auto"/>
        <w:ind w:firstLine="0" w:firstLineChars="0"/>
        <w:rPr>
          <w:rFonts w:hint="eastAsia" w:ascii="宋体" w:hAnsi="宋体" w:eastAsia="宋体" w:cs="宋体"/>
          <w:b/>
          <w:bCs/>
          <w:color w:val="FF0000"/>
          <w:kern w:val="2"/>
          <w:sz w:val="21"/>
          <w:szCs w:val="21"/>
          <w:lang w:val="en-US" w:eastAsia="zh-CN" w:bidi="ar-SA"/>
        </w:rPr>
      </w:pPr>
      <w:r>
        <w:rPr>
          <w:rFonts w:hint="eastAsia" w:ascii="宋体" w:hAnsi="宋体" w:eastAsia="宋体" w:cs="宋体"/>
          <w:b/>
          <w:bCs/>
          <w:color w:val="FF0000"/>
          <w:sz w:val="21"/>
          <w:szCs w:val="21"/>
        </w:rPr>
        <w:t>附件1：食堂物资配送</w:t>
      </w:r>
      <w:r>
        <w:rPr>
          <w:rFonts w:hint="eastAsia" w:ascii="宋体" w:hAnsi="宋体" w:eastAsia="宋体" w:cs="宋体"/>
          <w:b/>
          <w:bCs/>
          <w:color w:val="FF0000"/>
          <w:kern w:val="2"/>
          <w:sz w:val="21"/>
          <w:szCs w:val="21"/>
          <w:lang w:val="en-US" w:eastAsia="zh-CN" w:bidi="ar-SA"/>
        </w:rPr>
        <w:t>投标承诺函</w:t>
      </w:r>
    </w:p>
    <w:p w14:paraId="24F36705">
      <w:pPr>
        <w:autoSpaceDE w:val="0"/>
        <w:spacing w:line="360" w:lineRule="auto"/>
        <w:ind w:firstLine="422" w:firstLineChars="200"/>
        <w:jc w:val="left"/>
        <w:rPr>
          <w:rFonts w:hint="eastAsia" w:ascii="宋体" w:hAnsi="宋体" w:eastAsia="宋体" w:cs="宋体"/>
          <w:b/>
          <w:bCs/>
          <w:color w:val="FF0000"/>
          <w:sz w:val="21"/>
          <w:szCs w:val="21"/>
        </w:rPr>
      </w:pPr>
      <w:r>
        <w:rPr>
          <w:rFonts w:hint="eastAsia" w:ascii="宋体" w:hAnsi="宋体" w:eastAsia="宋体" w:cs="宋体"/>
          <w:b/>
          <w:bCs/>
          <w:color w:val="FF0000"/>
          <w:sz w:val="21"/>
          <w:szCs w:val="21"/>
        </w:rPr>
        <w:t>致</w:t>
      </w:r>
      <w:r>
        <w:rPr>
          <w:rFonts w:hint="eastAsia" w:ascii="宋体" w:hAnsi="宋体" w:eastAsia="宋体" w:cs="宋体"/>
          <w:b/>
          <w:bCs/>
          <w:color w:val="FF0000"/>
          <w:sz w:val="21"/>
          <w:szCs w:val="21"/>
          <w:lang w:val="en-US" w:eastAsia="zh-CN"/>
        </w:rPr>
        <w:t>招标代理机构名称/采购人名称</w:t>
      </w:r>
      <w:r>
        <w:rPr>
          <w:rFonts w:hint="eastAsia" w:ascii="宋体" w:hAnsi="宋体" w:eastAsia="宋体" w:cs="宋体"/>
          <w:b/>
          <w:bCs/>
          <w:color w:val="FF0000"/>
          <w:sz w:val="21"/>
          <w:szCs w:val="21"/>
        </w:rPr>
        <w:t>：我公司</w:t>
      </w:r>
      <w:r>
        <w:rPr>
          <w:rFonts w:hint="eastAsia" w:ascii="宋体" w:hAnsi="宋体" w:eastAsia="宋体" w:cs="宋体"/>
          <w:b/>
          <w:bCs/>
          <w:color w:val="FF0000"/>
          <w:sz w:val="21"/>
          <w:szCs w:val="21"/>
          <w:u w:val="none"/>
          <w:lang w:val="en-US" w:eastAsia="zh-CN"/>
        </w:rPr>
        <w:t xml:space="preserve">   （投标单位）     </w:t>
      </w:r>
      <w:r>
        <w:rPr>
          <w:rFonts w:hint="eastAsia" w:ascii="宋体" w:hAnsi="宋体" w:eastAsia="宋体" w:cs="宋体"/>
          <w:b/>
          <w:bCs/>
          <w:color w:val="FF0000"/>
          <w:sz w:val="21"/>
          <w:szCs w:val="21"/>
        </w:rPr>
        <w:t>参与</w:t>
      </w:r>
      <w:r>
        <w:rPr>
          <w:rFonts w:hint="eastAsia" w:ascii="宋体" w:hAnsi="宋体" w:eastAsia="宋体" w:cs="宋体"/>
          <w:b/>
          <w:bCs/>
          <w:color w:val="FF0000"/>
          <w:sz w:val="21"/>
          <w:szCs w:val="21"/>
          <w:u w:val="none"/>
        </w:rPr>
        <w:t xml:space="preserve">         （项目名称）（项目编号）</w:t>
      </w:r>
      <w:r>
        <w:rPr>
          <w:rFonts w:hint="eastAsia" w:ascii="宋体" w:hAnsi="宋体" w:eastAsia="宋体" w:cs="宋体"/>
          <w:b/>
          <w:bCs/>
          <w:color w:val="FF0000"/>
          <w:sz w:val="21"/>
          <w:szCs w:val="21"/>
        </w:rPr>
        <w:t>项目，作出以下承诺：1.如我公司中标本</w:t>
      </w:r>
      <w:r>
        <w:rPr>
          <w:rFonts w:hint="eastAsia" w:ascii="宋体" w:hAnsi="宋体" w:eastAsia="宋体" w:cs="宋体"/>
          <w:b/>
          <w:bCs/>
          <w:color w:val="FF0000"/>
          <w:sz w:val="21"/>
          <w:szCs w:val="21"/>
          <w:u w:val="none"/>
          <w:lang w:val="en-US" w:eastAsia="zh-CN"/>
        </w:rPr>
        <w:t>包组</w:t>
      </w:r>
      <w:r>
        <w:rPr>
          <w:rFonts w:hint="eastAsia" w:ascii="宋体" w:hAnsi="宋体" w:eastAsia="宋体" w:cs="宋体"/>
          <w:b/>
          <w:bCs/>
          <w:color w:val="FF0000"/>
          <w:sz w:val="21"/>
          <w:szCs w:val="21"/>
        </w:rPr>
        <w:t>，在项目履约服务期内，若我公司出现资质条件变更、经营范围变更等不能承担履行预选项目的能力的情况，我公司有义务及时书面告知采购人，主动申请放弃或者由采购人取消企业</w:t>
      </w:r>
      <w:r>
        <w:rPr>
          <w:rFonts w:hint="eastAsia" w:ascii="宋体" w:hAnsi="宋体" w:cs="宋体"/>
          <w:b/>
          <w:bCs/>
          <w:color w:val="FF0000"/>
          <w:sz w:val="21"/>
          <w:szCs w:val="21"/>
          <w:lang w:val="en-US" w:eastAsia="zh-CN"/>
        </w:rPr>
        <w:t>服务</w:t>
      </w:r>
      <w:r>
        <w:rPr>
          <w:rFonts w:hint="eastAsia" w:ascii="宋体" w:hAnsi="宋体" w:eastAsia="宋体" w:cs="宋体"/>
          <w:b/>
          <w:bCs/>
          <w:color w:val="FF0000"/>
          <w:sz w:val="21"/>
          <w:szCs w:val="21"/>
        </w:rPr>
        <w:t>资格。2.我公司接受采购人以及相关监督部门的监管，积极配合上述部门的工作检查，提供相应资料。3.我公司理解并遵照执行采购人的相关管理制度规定，并接受违反制度的相应处理。当相关管理要求发生变更时，若认同变更后的内容，则遵照有关要求执行并接受相应违反管理要求的处罚；若不认同变更后的内容，可书面申请退出本</w:t>
      </w:r>
      <w:r>
        <w:rPr>
          <w:rFonts w:hint="eastAsia" w:ascii="宋体" w:hAnsi="宋体" w:eastAsia="宋体" w:cs="宋体"/>
          <w:b/>
          <w:bCs/>
          <w:color w:val="FF0000"/>
          <w:sz w:val="21"/>
          <w:szCs w:val="21"/>
          <w:u w:val="none"/>
          <w:lang w:val="en-US" w:eastAsia="zh-CN"/>
        </w:rPr>
        <w:t>包组</w:t>
      </w:r>
      <w:r>
        <w:rPr>
          <w:rFonts w:hint="eastAsia" w:ascii="宋体" w:hAnsi="宋体" w:eastAsia="宋体" w:cs="宋体"/>
          <w:b/>
          <w:bCs/>
          <w:color w:val="FF0000"/>
          <w:sz w:val="21"/>
          <w:szCs w:val="21"/>
        </w:rPr>
        <w:t>。5.我公司承诺，承担的项目保证符合国家的质量、服务、安全等相关标准。</w:t>
      </w:r>
      <w:r>
        <w:rPr>
          <w:rFonts w:hint="eastAsia" w:ascii="宋体" w:hAnsi="宋体" w:eastAsia="宋体" w:cs="宋体"/>
          <w:b/>
          <w:bCs/>
          <w:color w:val="FF0000"/>
          <w:sz w:val="21"/>
          <w:szCs w:val="21"/>
          <w:lang w:val="en-US" w:eastAsia="zh-CN"/>
        </w:rPr>
        <w:t>6</w:t>
      </w:r>
      <w:r>
        <w:rPr>
          <w:rFonts w:hint="eastAsia" w:ascii="宋体" w:hAnsi="宋体" w:eastAsia="宋体" w:cs="宋体"/>
          <w:b/>
          <w:bCs/>
          <w:color w:val="FF0000"/>
          <w:sz w:val="21"/>
          <w:szCs w:val="21"/>
        </w:rPr>
        <w:t>.我公司承诺，制定严格的内部管理制度，安排专人负责</w:t>
      </w:r>
      <w:r>
        <w:rPr>
          <w:rFonts w:hint="eastAsia" w:ascii="宋体" w:hAnsi="宋体" w:eastAsia="宋体" w:cs="宋体"/>
          <w:b/>
          <w:bCs/>
          <w:color w:val="FF0000"/>
          <w:sz w:val="21"/>
          <w:szCs w:val="21"/>
          <w:lang w:val="en-US" w:eastAsia="zh-CN"/>
        </w:rPr>
        <w:t>原</w:t>
      </w:r>
      <w:r>
        <w:rPr>
          <w:rFonts w:hint="eastAsia" w:ascii="宋体" w:hAnsi="宋体" w:eastAsia="宋体" w:cs="宋体"/>
          <w:b/>
          <w:bCs/>
          <w:color w:val="FF0000"/>
          <w:sz w:val="21"/>
          <w:szCs w:val="21"/>
        </w:rPr>
        <w:t>材料监控，建立详细的</w:t>
      </w:r>
      <w:r>
        <w:rPr>
          <w:rFonts w:hint="eastAsia" w:ascii="宋体" w:hAnsi="宋体" w:eastAsia="宋体" w:cs="宋体"/>
          <w:b/>
          <w:bCs/>
          <w:color w:val="FF0000"/>
          <w:sz w:val="21"/>
          <w:szCs w:val="21"/>
          <w:lang w:val="en-US" w:eastAsia="zh-CN"/>
        </w:rPr>
        <w:t>原</w:t>
      </w:r>
      <w:r>
        <w:rPr>
          <w:rFonts w:hint="eastAsia" w:ascii="宋体" w:hAnsi="宋体" w:eastAsia="宋体" w:cs="宋体"/>
          <w:b/>
          <w:bCs/>
          <w:color w:val="FF0000"/>
          <w:sz w:val="21"/>
          <w:szCs w:val="21"/>
        </w:rPr>
        <w:t>材料账目、</w:t>
      </w:r>
      <w:r>
        <w:rPr>
          <w:rFonts w:hint="eastAsia" w:ascii="宋体" w:hAnsi="宋体" w:eastAsia="宋体" w:cs="宋体"/>
          <w:b/>
          <w:bCs/>
          <w:color w:val="FF0000"/>
          <w:sz w:val="21"/>
          <w:szCs w:val="21"/>
          <w:lang w:val="en-US" w:eastAsia="zh-CN"/>
        </w:rPr>
        <w:t>原</w:t>
      </w:r>
      <w:r>
        <w:rPr>
          <w:rFonts w:hint="eastAsia" w:ascii="宋体" w:hAnsi="宋体" w:eastAsia="宋体" w:cs="宋体"/>
          <w:b/>
          <w:bCs/>
          <w:color w:val="FF0000"/>
          <w:sz w:val="21"/>
          <w:szCs w:val="21"/>
        </w:rPr>
        <w:t>材料进货有效价格凭证、出入库记录、</w:t>
      </w:r>
      <w:r>
        <w:rPr>
          <w:rFonts w:hint="eastAsia" w:ascii="宋体" w:hAnsi="宋体" w:eastAsia="宋体" w:cs="宋体"/>
          <w:b/>
          <w:bCs/>
          <w:color w:val="FF0000"/>
          <w:sz w:val="21"/>
          <w:szCs w:val="21"/>
          <w:lang w:val="en-US" w:eastAsia="zh-CN"/>
        </w:rPr>
        <w:t>服务商</w:t>
      </w:r>
      <w:r>
        <w:rPr>
          <w:rFonts w:hint="eastAsia" w:ascii="宋体" w:hAnsi="宋体" w:eastAsia="宋体" w:cs="宋体"/>
          <w:b/>
          <w:bCs/>
          <w:color w:val="FF0000"/>
          <w:sz w:val="21"/>
          <w:szCs w:val="21"/>
        </w:rPr>
        <w:t>联系资料及有效发票等必须妥善保管，随时接受有关部门的检查，确保账目与实物相符。</w:t>
      </w:r>
      <w:bookmarkStart w:id="94" w:name="_GoBack"/>
      <w:bookmarkEnd w:id="94"/>
    </w:p>
    <w:p w14:paraId="4C7697A8">
      <w:pPr>
        <w:autoSpaceDE w:val="0"/>
        <w:spacing w:line="360" w:lineRule="auto"/>
        <w:ind w:firstLine="422" w:firstLineChars="200"/>
        <w:jc w:val="right"/>
        <w:rPr>
          <w:rFonts w:hint="eastAsia" w:ascii="宋体" w:hAnsi="宋体" w:cs="宋体"/>
          <w:b/>
          <w:bCs/>
          <w:color w:val="FF0000"/>
          <w:sz w:val="21"/>
          <w:szCs w:val="21"/>
        </w:rPr>
      </w:pPr>
      <w:r>
        <w:rPr>
          <w:rFonts w:hint="eastAsia" w:ascii="宋体" w:hAnsi="宋体" w:cs="宋体"/>
          <w:b/>
          <w:bCs/>
          <w:color w:val="FF0000"/>
          <w:sz w:val="21"/>
          <w:szCs w:val="21"/>
        </w:rPr>
        <w:t>企业名称</w:t>
      </w:r>
      <w:r>
        <w:rPr>
          <w:rFonts w:hint="eastAsia" w:ascii="宋体" w:hAnsi="宋体" w:cs="宋体"/>
          <w:b/>
          <w:bCs/>
          <w:color w:val="FF0000"/>
          <w:sz w:val="21"/>
          <w:szCs w:val="21"/>
          <w:lang w:val="en-US" w:eastAsia="zh-CN"/>
        </w:rPr>
        <w:t>(盖章）</w:t>
      </w:r>
      <w:r>
        <w:rPr>
          <w:rFonts w:hint="eastAsia" w:ascii="宋体" w:hAnsi="宋体" w:cs="宋体"/>
          <w:b/>
          <w:bCs/>
          <w:color w:val="FF0000"/>
          <w:sz w:val="21"/>
          <w:szCs w:val="21"/>
        </w:rPr>
        <w:t>：</w:t>
      </w:r>
    </w:p>
    <w:p w14:paraId="2A9BD3CA">
      <w:pPr>
        <w:autoSpaceDE w:val="0"/>
        <w:spacing w:line="360" w:lineRule="auto"/>
        <w:ind w:firstLine="422" w:firstLineChars="200"/>
        <w:jc w:val="right"/>
        <w:rPr>
          <w:rFonts w:hint="eastAsia" w:ascii="宋体" w:hAnsi="宋体" w:cs="宋体"/>
          <w:b/>
          <w:bCs/>
          <w:color w:val="FF0000"/>
          <w:szCs w:val="21"/>
        </w:rPr>
      </w:pPr>
      <w:r>
        <w:rPr>
          <w:rFonts w:hint="eastAsia" w:ascii="宋体" w:hAnsi="宋体" w:cs="宋体"/>
          <w:b/>
          <w:bCs/>
          <w:color w:val="FF0000"/>
          <w:szCs w:val="21"/>
        </w:rPr>
        <w:t>日期：</w:t>
      </w:r>
    </w:p>
    <w:p w14:paraId="3CCE5C56">
      <w:pPr>
        <w:widowControl w:val="0"/>
        <w:kinsoku/>
        <w:wordWrap/>
        <w:overflowPunct/>
        <w:topLinePunct w:val="0"/>
        <w:autoSpaceDE/>
        <w:autoSpaceDN/>
        <w:bidi w:val="0"/>
        <w:adjustRightInd/>
        <w:spacing w:line="240" w:lineRule="auto"/>
        <w:jc w:val="righ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u w:val="single"/>
        </w:rPr>
        <w:t xml:space="preserve">   </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u w:val="single"/>
        </w:rPr>
        <w:t xml:space="preserve">        </w:t>
      </w:r>
    </w:p>
    <w:p w14:paraId="42EE7C26">
      <w:pPr>
        <w:pStyle w:val="18"/>
        <w:rPr>
          <w:rFonts w:hint="eastAsia"/>
        </w:rPr>
      </w:pPr>
    </w:p>
    <w:p w14:paraId="714BFB2F"/>
    <w:p w14:paraId="7CDE5F32">
      <w:pPr>
        <w:pStyle w:val="3"/>
        <w:keepNext w:val="0"/>
        <w:keepLines w:val="0"/>
        <w:pageBreakBefore w:val="0"/>
        <w:widowControl w:val="0"/>
        <w:numPr>
          <w:ilvl w:val="0"/>
          <w:numId w:val="8"/>
        </w:numPr>
        <w:kinsoku/>
        <w:wordWrap/>
        <w:overflowPunct/>
        <w:topLinePunct w:val="0"/>
        <w:autoSpaceDE/>
        <w:autoSpaceDN/>
        <w:bidi w:val="0"/>
        <w:adjustRightInd w:val="0"/>
        <w:snapToGrid/>
        <w:spacing w:before="0" w:after="0"/>
        <w:ind w:left="0" w:leftChars="0" w:firstLine="0" w:firstLineChars="0"/>
        <w:textAlignment w:val="baseline"/>
        <w:rPr>
          <w:rFonts w:hint="eastAsia" w:ascii="宋体" w:hAnsi="宋体" w:eastAsia="宋体" w:cs="宋体"/>
          <w:b/>
          <w:bCs/>
          <w:sz w:val="32"/>
          <w:szCs w:val="32"/>
        </w:rPr>
      </w:pPr>
      <w:r>
        <w:rPr>
          <w:rFonts w:hint="eastAsia" w:ascii="宋体" w:hAnsi="宋体" w:eastAsia="宋体" w:cs="宋体"/>
          <w:b/>
          <w:bCs/>
          <w:sz w:val="32"/>
          <w:szCs w:val="32"/>
        </w:rPr>
        <w:t>项目商务要求</w:t>
      </w:r>
    </w:p>
    <w:p w14:paraId="1F38334E">
      <w:pPr>
        <w:pStyle w:val="38"/>
        <w:keepNext w:val="0"/>
        <w:keepLines w:val="0"/>
        <w:pageBreakBefore w:val="0"/>
        <w:numPr>
          <w:ilvl w:val="0"/>
          <w:numId w:val="0"/>
        </w:numPr>
        <w:kinsoku/>
        <w:wordWrap/>
        <w:overflowPunct/>
        <w:topLinePunct w:val="0"/>
        <w:autoSpaceDE w:val="0"/>
        <w:autoSpaceDN/>
        <w:bidi w:val="0"/>
        <w:spacing w:beforeAutospacing="0" w:afterAutospacing="0" w:line="360" w:lineRule="auto"/>
        <w:ind w:leftChars="0" w:firstLine="0" w:firstLineChars="0"/>
        <w:jc w:val="both"/>
        <w:textAlignment w:val="auto"/>
        <w:rPr>
          <w:rFonts w:hint="eastAsia" w:ascii="宋体" w:hAnsi="宋体" w:eastAsia="宋体" w:cs="宋体"/>
          <w:b/>
          <w:color w:val="FF0000"/>
          <w:kern w:val="2"/>
          <w:sz w:val="21"/>
          <w:szCs w:val="21"/>
        </w:rPr>
      </w:pPr>
      <w:r>
        <w:rPr>
          <w:rFonts w:hint="eastAsia" w:ascii="宋体" w:hAnsi="宋体" w:cs="宋体"/>
          <w:b w:val="0"/>
          <w:bCs/>
          <w:color w:val="FF0000"/>
          <w:szCs w:val="21"/>
        </w:rPr>
        <w:t>★</w:t>
      </w:r>
      <w:r>
        <w:rPr>
          <w:rFonts w:hint="eastAsia" w:ascii="宋体" w:hAnsi="宋体" w:eastAsia="宋体" w:cs="宋体"/>
          <w:b/>
          <w:color w:val="FF0000"/>
          <w:kern w:val="2"/>
          <w:sz w:val="21"/>
          <w:szCs w:val="21"/>
          <w:lang w:val="en-US" w:eastAsia="zh-CN"/>
        </w:rPr>
        <w:t>1、</w:t>
      </w:r>
      <w:r>
        <w:rPr>
          <w:rFonts w:hint="eastAsia" w:ascii="宋体" w:hAnsi="宋体" w:eastAsia="宋体" w:cs="宋体"/>
          <w:b/>
          <w:color w:val="FF0000"/>
          <w:kern w:val="2"/>
          <w:sz w:val="21"/>
          <w:szCs w:val="21"/>
        </w:rPr>
        <w:t>报价及结算方式：</w:t>
      </w:r>
    </w:p>
    <w:p w14:paraId="5F7DEC99">
      <w:pPr>
        <w:pStyle w:val="38"/>
        <w:keepNext w:val="0"/>
        <w:keepLines w:val="0"/>
        <w:pageBreakBefore w:val="0"/>
        <w:kinsoku/>
        <w:wordWrap/>
        <w:overflowPunct/>
        <w:topLinePunct w:val="0"/>
        <w:autoSpaceDE w:val="0"/>
        <w:autoSpaceDN/>
        <w:bidi w:val="0"/>
        <w:spacing w:beforeAutospacing="0" w:afterAutospacing="0" w:line="360" w:lineRule="auto"/>
        <w:ind w:firstLine="422" w:firstLineChars="200"/>
        <w:jc w:val="both"/>
        <w:textAlignment w:val="auto"/>
        <w:rPr>
          <w:rFonts w:hint="eastAsia" w:ascii="宋体" w:hAnsi="宋体" w:eastAsia="宋体" w:cs="宋体"/>
          <w:b/>
          <w:bCs w:val="0"/>
          <w:color w:val="FF0000"/>
          <w:kern w:val="2"/>
          <w:sz w:val="21"/>
          <w:szCs w:val="21"/>
        </w:rPr>
      </w:pPr>
      <w:r>
        <w:rPr>
          <w:rFonts w:hint="eastAsia" w:ascii="宋体" w:hAnsi="宋体" w:eastAsia="宋体" w:cs="宋体"/>
          <w:b/>
          <w:bCs w:val="0"/>
          <w:color w:val="FF0000"/>
          <w:kern w:val="2"/>
          <w:sz w:val="21"/>
          <w:szCs w:val="21"/>
        </w:rPr>
        <w:t>1.1深圳市中农数据有限公司（天天采配服务平台）中有价格的产品，以深圳市中农数据有限公司（天天采配服务平台）（网址：www.chinaap.com）</w:t>
      </w:r>
      <w:r>
        <w:rPr>
          <w:rFonts w:hint="eastAsia" w:ascii="宋体" w:hAnsi="宋体" w:cs="宋体"/>
          <w:b/>
          <w:bCs w:val="0"/>
          <w:color w:val="FF0000"/>
          <w:kern w:val="2"/>
          <w:sz w:val="21"/>
          <w:szCs w:val="21"/>
          <w:lang w:val="en-US" w:eastAsia="zh-CN"/>
        </w:rPr>
        <w:t>下单日前三天</w:t>
      </w:r>
      <w:r>
        <w:rPr>
          <w:rFonts w:hint="eastAsia" w:ascii="宋体" w:hAnsi="宋体" w:eastAsia="宋体" w:cs="宋体"/>
          <w:b/>
          <w:bCs w:val="0"/>
          <w:color w:val="FF0000"/>
          <w:kern w:val="2"/>
          <w:sz w:val="21"/>
          <w:szCs w:val="21"/>
        </w:rPr>
        <w:t>（遇法定节假日顺延）公布的价格</w:t>
      </w:r>
      <w:r>
        <w:rPr>
          <w:rFonts w:hint="eastAsia" w:ascii="宋体" w:hAnsi="宋体" w:eastAsia="宋体" w:cs="宋体"/>
          <w:b/>
          <w:bCs w:val="0"/>
          <w:color w:val="FF0000"/>
          <w:kern w:val="2"/>
          <w:sz w:val="21"/>
          <w:szCs w:val="21"/>
          <w:highlight w:val="none"/>
        </w:rPr>
        <w:t>（非含费价）</w:t>
      </w:r>
      <w:r>
        <w:rPr>
          <w:rFonts w:hint="eastAsia" w:ascii="宋体" w:hAnsi="宋体" w:eastAsia="宋体" w:cs="宋体"/>
          <w:b/>
          <w:bCs w:val="0"/>
          <w:color w:val="FF0000"/>
          <w:kern w:val="2"/>
          <w:sz w:val="21"/>
          <w:szCs w:val="21"/>
        </w:rPr>
        <w:t>取平均值为该项物资的基准价，投标人结合企业自己的实力报出折扣率。</w:t>
      </w:r>
    </w:p>
    <w:p w14:paraId="21B73483">
      <w:pPr>
        <w:pStyle w:val="38"/>
        <w:keepNext w:val="0"/>
        <w:keepLines w:val="0"/>
        <w:pageBreakBefore w:val="0"/>
        <w:kinsoku/>
        <w:wordWrap/>
        <w:overflowPunct/>
        <w:topLinePunct w:val="0"/>
        <w:autoSpaceDE w:val="0"/>
        <w:autoSpaceDN/>
        <w:bidi w:val="0"/>
        <w:spacing w:beforeAutospacing="0" w:afterAutospacing="0" w:line="360" w:lineRule="auto"/>
        <w:ind w:firstLine="422" w:firstLineChars="200"/>
        <w:jc w:val="both"/>
        <w:textAlignment w:val="auto"/>
        <w:rPr>
          <w:rFonts w:hint="eastAsia" w:ascii="宋体" w:hAnsi="宋体" w:eastAsia="宋体" w:cs="宋体"/>
          <w:b/>
          <w:bCs w:val="0"/>
          <w:color w:val="FF0000"/>
          <w:kern w:val="2"/>
          <w:sz w:val="21"/>
          <w:szCs w:val="21"/>
        </w:rPr>
      </w:pPr>
      <w:r>
        <w:rPr>
          <w:rFonts w:hint="eastAsia" w:ascii="宋体" w:hAnsi="宋体" w:eastAsia="宋体" w:cs="宋体"/>
          <w:b/>
          <w:bCs w:val="0"/>
          <w:color w:val="FF0000"/>
          <w:kern w:val="2"/>
          <w:sz w:val="21"/>
          <w:szCs w:val="21"/>
        </w:rPr>
        <w:t>1.2深圳市中农数据有限公司（天天采配服务平台）中</w:t>
      </w:r>
      <w:r>
        <w:rPr>
          <w:rFonts w:hint="eastAsia" w:ascii="宋体" w:hAnsi="宋体" w:cs="宋体"/>
          <w:b/>
          <w:bCs w:val="0"/>
          <w:color w:val="FF0000"/>
          <w:kern w:val="2"/>
          <w:sz w:val="21"/>
          <w:szCs w:val="21"/>
          <w:lang w:val="en-US" w:eastAsia="zh-CN"/>
        </w:rPr>
        <w:t>鲜肉类、一级蔬菜</w:t>
      </w:r>
      <w:r>
        <w:rPr>
          <w:rFonts w:hint="eastAsia" w:ascii="宋体" w:hAnsi="宋体" w:eastAsia="宋体" w:cs="宋体"/>
          <w:b/>
          <w:bCs w:val="0"/>
          <w:color w:val="FF0000"/>
          <w:kern w:val="2"/>
          <w:sz w:val="21"/>
          <w:szCs w:val="21"/>
        </w:rPr>
        <w:t>按深圳市中农数据有限公司（天天采配服务平台）</w:t>
      </w:r>
      <w:r>
        <w:rPr>
          <w:rFonts w:hint="eastAsia" w:ascii="宋体" w:hAnsi="宋体" w:cs="宋体"/>
          <w:b/>
          <w:bCs w:val="0"/>
          <w:color w:val="FF0000"/>
          <w:kern w:val="2"/>
          <w:sz w:val="21"/>
          <w:szCs w:val="21"/>
          <w:lang w:val="en-US" w:eastAsia="zh-CN"/>
        </w:rPr>
        <w:t>下单日前三天</w:t>
      </w:r>
      <w:r>
        <w:rPr>
          <w:rFonts w:hint="eastAsia" w:ascii="宋体" w:hAnsi="宋体" w:eastAsia="宋体" w:cs="宋体"/>
          <w:b/>
          <w:bCs w:val="0"/>
          <w:color w:val="FF0000"/>
          <w:kern w:val="2"/>
          <w:sz w:val="21"/>
          <w:szCs w:val="21"/>
        </w:rPr>
        <w:t>公布的价格[以采购人下单产品“品名”（别名）的价格（</w:t>
      </w:r>
      <w:r>
        <w:rPr>
          <w:rFonts w:hint="eastAsia" w:ascii="宋体" w:hAnsi="宋体" w:eastAsia="宋体" w:cs="宋体"/>
          <w:b/>
          <w:bCs w:val="0"/>
          <w:color w:val="FF0000"/>
          <w:kern w:val="2"/>
          <w:sz w:val="21"/>
          <w:szCs w:val="21"/>
          <w:lang w:val="en-US" w:eastAsia="zh-CN"/>
        </w:rPr>
        <w:t>非</w:t>
      </w:r>
      <w:r>
        <w:rPr>
          <w:rFonts w:hint="eastAsia" w:ascii="宋体" w:hAnsi="宋体" w:eastAsia="宋体" w:cs="宋体"/>
          <w:b/>
          <w:bCs w:val="0"/>
          <w:color w:val="FF0000"/>
          <w:kern w:val="2"/>
          <w:sz w:val="21"/>
          <w:szCs w:val="21"/>
        </w:rPr>
        <w:t>含费价）]取平均值（平均值精确到分，即小数点后两位）确定该品类的基准价，投标人结合企业自己的实力报出折扣率，结算时价格=基准价*折扣率。</w:t>
      </w:r>
    </w:p>
    <w:p w14:paraId="0D4C0177">
      <w:pPr>
        <w:pStyle w:val="38"/>
        <w:keepNext w:val="0"/>
        <w:keepLines w:val="0"/>
        <w:pageBreakBefore w:val="0"/>
        <w:kinsoku/>
        <w:wordWrap/>
        <w:overflowPunct/>
        <w:topLinePunct w:val="0"/>
        <w:autoSpaceDE w:val="0"/>
        <w:autoSpaceDN/>
        <w:bidi w:val="0"/>
        <w:spacing w:beforeAutospacing="0" w:afterAutospacing="0" w:line="360" w:lineRule="auto"/>
        <w:ind w:firstLine="422" w:firstLineChars="200"/>
        <w:jc w:val="both"/>
        <w:textAlignment w:val="auto"/>
        <w:rPr>
          <w:rFonts w:hint="eastAsia" w:ascii="宋体" w:hAnsi="宋体" w:eastAsia="宋体" w:cs="宋体"/>
          <w:b/>
          <w:bCs w:val="0"/>
          <w:color w:val="FF0000"/>
          <w:kern w:val="2"/>
          <w:sz w:val="21"/>
          <w:szCs w:val="21"/>
        </w:rPr>
      </w:pPr>
      <w:r>
        <w:rPr>
          <w:rFonts w:hint="eastAsia" w:ascii="宋体" w:hAnsi="宋体" w:eastAsia="宋体" w:cs="宋体"/>
          <w:b/>
          <w:bCs w:val="0"/>
          <w:color w:val="FF0000"/>
          <w:kern w:val="2"/>
          <w:sz w:val="21"/>
          <w:szCs w:val="21"/>
        </w:rPr>
        <w:t>1.3深圳市中农数据有限公司（天天采配服务平台）中除</w:t>
      </w:r>
      <w:r>
        <w:rPr>
          <w:rFonts w:hint="eastAsia" w:ascii="宋体" w:hAnsi="宋体" w:cs="宋体"/>
          <w:b/>
          <w:bCs w:val="0"/>
          <w:color w:val="FF0000"/>
          <w:kern w:val="2"/>
          <w:sz w:val="21"/>
          <w:szCs w:val="21"/>
          <w:lang w:val="en-US" w:eastAsia="zh-CN"/>
        </w:rPr>
        <w:t>鲜肉类、一级蔬菜</w:t>
      </w:r>
      <w:r>
        <w:rPr>
          <w:rFonts w:hint="eastAsia" w:ascii="宋体" w:hAnsi="宋体" w:eastAsia="宋体" w:cs="宋体"/>
          <w:b/>
          <w:bCs w:val="0"/>
          <w:color w:val="FF0000"/>
          <w:kern w:val="2"/>
          <w:sz w:val="21"/>
          <w:szCs w:val="21"/>
        </w:rPr>
        <w:t>以外的所有品类按深圳市中农数据有限公司（天天采配服务平台）</w:t>
      </w:r>
      <w:r>
        <w:rPr>
          <w:rFonts w:hint="eastAsia" w:ascii="宋体" w:hAnsi="宋体" w:cs="宋体"/>
          <w:b/>
          <w:bCs w:val="0"/>
          <w:color w:val="FF0000"/>
          <w:kern w:val="2"/>
          <w:sz w:val="21"/>
          <w:szCs w:val="21"/>
          <w:lang w:val="en-US" w:eastAsia="zh-CN"/>
        </w:rPr>
        <w:t>下单日前三天</w:t>
      </w:r>
      <w:r>
        <w:rPr>
          <w:rFonts w:hint="eastAsia" w:ascii="宋体" w:hAnsi="宋体" w:eastAsia="宋体" w:cs="宋体"/>
          <w:b/>
          <w:bCs w:val="0"/>
          <w:color w:val="FF0000"/>
          <w:kern w:val="2"/>
          <w:sz w:val="21"/>
          <w:szCs w:val="21"/>
        </w:rPr>
        <w:t>公布的价格[以采购人下单产品“品名”（别名）的价格（</w:t>
      </w:r>
      <w:r>
        <w:rPr>
          <w:rFonts w:hint="eastAsia" w:ascii="宋体" w:hAnsi="宋体" w:eastAsia="宋体" w:cs="宋体"/>
          <w:b/>
          <w:bCs w:val="0"/>
          <w:color w:val="FF0000"/>
          <w:kern w:val="2"/>
          <w:sz w:val="21"/>
          <w:szCs w:val="21"/>
          <w:lang w:val="en-US" w:eastAsia="zh-CN"/>
        </w:rPr>
        <w:t>非</w:t>
      </w:r>
      <w:r>
        <w:rPr>
          <w:rFonts w:hint="eastAsia" w:ascii="宋体" w:hAnsi="宋体" w:eastAsia="宋体" w:cs="宋体"/>
          <w:b/>
          <w:bCs w:val="0"/>
          <w:color w:val="FF0000"/>
          <w:kern w:val="2"/>
          <w:sz w:val="21"/>
          <w:szCs w:val="21"/>
        </w:rPr>
        <w:t>含费价）]取平均值（平均值精确到分，即小数点后两位）确定该品类价格为结算价。</w:t>
      </w:r>
    </w:p>
    <w:p w14:paraId="2F4A9647">
      <w:pPr>
        <w:pStyle w:val="38"/>
        <w:keepNext w:val="0"/>
        <w:keepLines w:val="0"/>
        <w:pageBreakBefore w:val="0"/>
        <w:kinsoku/>
        <w:wordWrap/>
        <w:overflowPunct/>
        <w:topLinePunct w:val="0"/>
        <w:autoSpaceDE w:val="0"/>
        <w:autoSpaceDN/>
        <w:bidi w:val="0"/>
        <w:spacing w:beforeAutospacing="0" w:afterAutospacing="0" w:line="360" w:lineRule="auto"/>
        <w:ind w:firstLine="422" w:firstLineChars="200"/>
        <w:jc w:val="both"/>
        <w:textAlignment w:val="auto"/>
        <w:rPr>
          <w:rFonts w:hint="eastAsia" w:ascii="宋体" w:hAnsi="宋体" w:eastAsia="宋体" w:cs="宋体"/>
          <w:b/>
          <w:bCs w:val="0"/>
          <w:color w:val="FF0000"/>
          <w:kern w:val="2"/>
          <w:sz w:val="21"/>
          <w:szCs w:val="21"/>
        </w:rPr>
      </w:pPr>
      <w:r>
        <w:rPr>
          <w:rFonts w:hint="eastAsia" w:ascii="宋体" w:hAnsi="宋体" w:cs="宋体"/>
          <w:b/>
          <w:bCs w:val="0"/>
          <w:color w:val="FF0000"/>
          <w:kern w:val="2"/>
          <w:sz w:val="21"/>
          <w:szCs w:val="21"/>
          <w:lang w:val="en-US" w:eastAsia="zh-CN"/>
        </w:rPr>
        <w:t>1.4</w:t>
      </w:r>
      <w:r>
        <w:rPr>
          <w:rFonts w:hint="eastAsia" w:ascii="宋体" w:hAnsi="宋体" w:eastAsia="宋体" w:cs="宋体"/>
          <w:b/>
          <w:bCs w:val="0"/>
          <w:color w:val="FF0000"/>
          <w:kern w:val="2"/>
          <w:sz w:val="21"/>
          <w:szCs w:val="21"/>
        </w:rPr>
        <w:t>深圳市中农数据有限公司（天天采购平台）中无价格的产品，则结算时价格=折扣率*市场价（</w:t>
      </w:r>
      <w:r>
        <w:rPr>
          <w:rFonts w:hint="eastAsia" w:ascii="宋体" w:hAnsi="宋体" w:cs="宋体"/>
          <w:b/>
          <w:bCs w:val="0"/>
          <w:color w:val="FF0000"/>
          <w:kern w:val="2"/>
          <w:sz w:val="21"/>
          <w:szCs w:val="21"/>
          <w:lang w:val="en-US" w:eastAsia="zh-CN"/>
        </w:rPr>
        <w:t>市场价</w:t>
      </w:r>
      <w:r>
        <w:rPr>
          <w:rFonts w:hint="eastAsia" w:ascii="宋体" w:hAnsi="宋体" w:eastAsia="宋体" w:cs="宋体"/>
          <w:b/>
          <w:bCs w:val="0"/>
          <w:color w:val="FF0000"/>
          <w:kern w:val="2"/>
          <w:sz w:val="21"/>
          <w:szCs w:val="21"/>
        </w:rPr>
        <w:t>由采购人</w:t>
      </w:r>
      <w:r>
        <w:rPr>
          <w:rFonts w:hint="eastAsia" w:ascii="宋体" w:hAnsi="宋体" w:cs="宋体"/>
          <w:b/>
          <w:bCs w:val="0"/>
          <w:color w:val="FF0000"/>
          <w:kern w:val="2"/>
          <w:sz w:val="21"/>
          <w:szCs w:val="21"/>
          <w:lang w:val="en-US" w:eastAsia="zh-CN"/>
        </w:rPr>
        <w:t>考察</w:t>
      </w:r>
      <w:r>
        <w:rPr>
          <w:rFonts w:hint="eastAsia" w:ascii="宋体" w:hAnsi="宋体" w:eastAsia="宋体" w:cs="宋体"/>
          <w:b/>
          <w:bCs w:val="0"/>
          <w:color w:val="FF0000"/>
          <w:kern w:val="2"/>
          <w:sz w:val="21"/>
          <w:szCs w:val="21"/>
        </w:rPr>
        <w:t>调研决定）。</w:t>
      </w:r>
    </w:p>
    <w:p w14:paraId="432FEBB9">
      <w:pPr>
        <w:pStyle w:val="38"/>
        <w:keepNext w:val="0"/>
        <w:keepLines w:val="0"/>
        <w:pageBreakBefore w:val="0"/>
        <w:kinsoku/>
        <w:wordWrap/>
        <w:overflowPunct/>
        <w:topLinePunct w:val="0"/>
        <w:autoSpaceDE w:val="0"/>
        <w:autoSpaceDN/>
        <w:bidi w:val="0"/>
        <w:spacing w:beforeAutospacing="0" w:afterAutospacing="0" w:line="360" w:lineRule="auto"/>
        <w:ind w:firstLine="422" w:firstLineChars="200"/>
        <w:jc w:val="both"/>
        <w:textAlignment w:val="auto"/>
        <w:rPr>
          <w:rFonts w:hint="eastAsia" w:ascii="宋体" w:hAnsi="宋体" w:eastAsia="宋体" w:cs="宋体"/>
          <w:b/>
          <w:bCs w:val="0"/>
          <w:color w:val="FF0000"/>
          <w:kern w:val="2"/>
          <w:sz w:val="21"/>
          <w:szCs w:val="21"/>
        </w:rPr>
      </w:pPr>
      <w:r>
        <w:rPr>
          <w:rFonts w:hint="eastAsia" w:ascii="宋体" w:hAnsi="宋体" w:eastAsia="宋体" w:cs="宋体"/>
          <w:b/>
          <w:bCs w:val="0"/>
          <w:color w:val="FF0000"/>
          <w:kern w:val="2"/>
          <w:sz w:val="21"/>
          <w:szCs w:val="21"/>
        </w:rPr>
        <w:t>1.5报价包括供应货物和货物运输到采购单位的服务费、运费、装卸费、检测费、人工费、管理费、保险、税金等一切将可能发生的费用。以人民币为报价和结算单位，并开具国家正规发票。</w:t>
      </w:r>
    </w:p>
    <w:p w14:paraId="30E5B7BE">
      <w:pPr>
        <w:pStyle w:val="38"/>
        <w:keepNext w:val="0"/>
        <w:keepLines w:val="0"/>
        <w:pageBreakBefore w:val="0"/>
        <w:numPr>
          <w:ilvl w:val="0"/>
          <w:numId w:val="0"/>
        </w:numPr>
        <w:kinsoku/>
        <w:wordWrap/>
        <w:overflowPunct/>
        <w:topLinePunct w:val="0"/>
        <w:autoSpaceDE w:val="0"/>
        <w:autoSpaceDN/>
        <w:bidi w:val="0"/>
        <w:spacing w:beforeAutospacing="0" w:afterAutospacing="0" w:line="360" w:lineRule="auto"/>
        <w:ind w:leftChars="0"/>
        <w:jc w:val="both"/>
        <w:textAlignment w:val="auto"/>
        <w:rPr>
          <w:rFonts w:hint="eastAsia" w:ascii="宋体" w:hAnsi="宋体" w:eastAsia="宋体" w:cs="宋体"/>
          <w:b/>
          <w:kern w:val="2"/>
          <w:sz w:val="21"/>
          <w:szCs w:val="21"/>
        </w:rPr>
      </w:pPr>
      <w:r>
        <w:rPr>
          <w:rFonts w:hint="eastAsia" w:ascii="宋体" w:hAnsi="宋体" w:cs="宋体"/>
          <w:b/>
          <w:kern w:val="2"/>
          <w:sz w:val="21"/>
          <w:szCs w:val="21"/>
          <w:lang w:val="en-US" w:eastAsia="zh-CN"/>
        </w:rPr>
        <w:t>2、</w:t>
      </w:r>
      <w:r>
        <w:rPr>
          <w:rFonts w:hint="eastAsia" w:ascii="宋体" w:hAnsi="宋体" w:eastAsia="宋体" w:cs="宋体"/>
          <w:b/>
          <w:kern w:val="2"/>
          <w:sz w:val="21"/>
          <w:szCs w:val="21"/>
        </w:rPr>
        <w:t>付款方式：</w:t>
      </w:r>
    </w:p>
    <w:p w14:paraId="05732929">
      <w:pPr>
        <w:pStyle w:val="38"/>
        <w:keepNext w:val="0"/>
        <w:keepLines w:val="0"/>
        <w:pageBreakBefore w:val="0"/>
        <w:kinsoku/>
        <w:wordWrap/>
        <w:overflowPunct/>
        <w:topLinePunct w:val="0"/>
        <w:autoSpaceDE w:val="0"/>
        <w:autoSpaceDN/>
        <w:bidi w:val="0"/>
        <w:spacing w:beforeAutospacing="0" w:afterAutospacing="0" w:line="360" w:lineRule="auto"/>
        <w:ind w:firstLine="420" w:firstLineChars="200"/>
        <w:jc w:val="both"/>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2.1结算货款时，应由采购人财务人员严格审核送货清单，按双方事先确定的结算折扣率予以结算。采购人凭采购合同、发票按需结算款项。</w:t>
      </w:r>
    </w:p>
    <w:p w14:paraId="7B3CEBC8">
      <w:pPr>
        <w:pStyle w:val="38"/>
        <w:keepNext w:val="0"/>
        <w:keepLines w:val="0"/>
        <w:pageBreakBefore w:val="0"/>
        <w:kinsoku/>
        <w:wordWrap/>
        <w:overflowPunct/>
        <w:topLinePunct w:val="0"/>
        <w:autoSpaceDE w:val="0"/>
        <w:autoSpaceDN/>
        <w:bidi w:val="0"/>
        <w:spacing w:beforeAutospacing="0" w:afterAutospacing="0" w:line="360" w:lineRule="auto"/>
        <w:ind w:firstLine="420" w:firstLineChars="200"/>
        <w:jc w:val="both"/>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2.2中标人若配送本项目服务内容规定范围之外的产品或服务（与食材配送无关的产品或服务）的，采购人将不予支付相关货款。</w:t>
      </w:r>
    </w:p>
    <w:p w14:paraId="2AFCC14C">
      <w:pPr>
        <w:pStyle w:val="38"/>
        <w:keepNext w:val="0"/>
        <w:keepLines w:val="0"/>
        <w:pageBreakBefore w:val="0"/>
        <w:numPr>
          <w:ilvl w:val="0"/>
          <w:numId w:val="0"/>
        </w:numPr>
        <w:kinsoku/>
        <w:wordWrap/>
        <w:overflowPunct/>
        <w:topLinePunct w:val="0"/>
        <w:autoSpaceDE w:val="0"/>
        <w:autoSpaceDN/>
        <w:bidi w:val="0"/>
        <w:spacing w:beforeAutospacing="0" w:afterAutospacing="0" w:line="360" w:lineRule="auto"/>
        <w:ind w:leftChars="0"/>
        <w:jc w:val="both"/>
        <w:textAlignment w:val="auto"/>
        <w:rPr>
          <w:rFonts w:hint="eastAsia" w:ascii="宋体" w:hAnsi="宋体" w:eastAsia="宋体" w:cs="宋体"/>
          <w:b/>
          <w:kern w:val="2"/>
          <w:sz w:val="21"/>
          <w:szCs w:val="21"/>
          <w:lang w:eastAsia="zh-CN"/>
        </w:rPr>
      </w:pPr>
      <w:r>
        <w:rPr>
          <w:rFonts w:hint="eastAsia" w:ascii="宋体" w:hAnsi="宋体" w:cs="宋体"/>
          <w:b/>
          <w:kern w:val="2"/>
          <w:sz w:val="21"/>
          <w:szCs w:val="21"/>
          <w:lang w:val="en-US" w:eastAsia="zh-CN"/>
        </w:rPr>
        <w:t>3、</w:t>
      </w:r>
      <w:r>
        <w:rPr>
          <w:rFonts w:hint="eastAsia" w:ascii="宋体" w:hAnsi="宋体" w:eastAsia="宋体" w:cs="宋体"/>
          <w:b/>
          <w:kern w:val="2"/>
          <w:sz w:val="21"/>
          <w:szCs w:val="21"/>
        </w:rPr>
        <w:t>注意事项</w:t>
      </w:r>
      <w:r>
        <w:rPr>
          <w:rFonts w:hint="eastAsia" w:ascii="宋体" w:hAnsi="宋体" w:cs="宋体"/>
          <w:b/>
          <w:kern w:val="2"/>
          <w:sz w:val="21"/>
          <w:szCs w:val="21"/>
          <w:lang w:eastAsia="zh-CN"/>
        </w:rPr>
        <w:t>：</w:t>
      </w:r>
    </w:p>
    <w:p w14:paraId="5A3C7590">
      <w:pPr>
        <w:pStyle w:val="38"/>
        <w:keepNext w:val="0"/>
        <w:keepLines w:val="0"/>
        <w:pageBreakBefore w:val="0"/>
        <w:kinsoku/>
        <w:wordWrap/>
        <w:overflowPunct/>
        <w:topLinePunct w:val="0"/>
        <w:autoSpaceDE w:val="0"/>
        <w:autoSpaceDN/>
        <w:bidi w:val="0"/>
        <w:spacing w:beforeAutospacing="0" w:afterAutospacing="0" w:line="360" w:lineRule="auto"/>
        <w:ind w:firstLine="420" w:firstLineChars="200"/>
        <w:jc w:val="both"/>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3.1投标人若认为招标文件的技术要求或其他要求有倾向性或不公正性，可在招标答疑阶段提出，以维护招标行为的公平、公正。</w:t>
      </w:r>
    </w:p>
    <w:p w14:paraId="3287ECB8">
      <w:pPr>
        <w:pStyle w:val="38"/>
        <w:keepNext w:val="0"/>
        <w:keepLines w:val="0"/>
        <w:pageBreakBefore w:val="0"/>
        <w:kinsoku/>
        <w:wordWrap/>
        <w:overflowPunct/>
        <w:topLinePunct w:val="0"/>
        <w:autoSpaceDE w:val="0"/>
        <w:autoSpaceDN/>
        <w:bidi w:val="0"/>
        <w:spacing w:beforeAutospacing="0" w:afterAutospacing="0" w:line="360" w:lineRule="auto"/>
        <w:ind w:firstLine="420" w:firstLineChars="200"/>
        <w:jc w:val="both"/>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3.2投标人使用的标准必须是国际公认或国家、或地方政府颁布的同等或更高的标准，如投标人使用的标准低于上述标准,评标委员会将有权不予接受，投标人必须列表将明显的差异详细说明。</w:t>
      </w:r>
    </w:p>
    <w:p w14:paraId="2F4A8C27">
      <w:pPr>
        <w:pStyle w:val="38"/>
        <w:keepNext w:val="0"/>
        <w:keepLines w:val="0"/>
        <w:pageBreakBefore w:val="0"/>
        <w:kinsoku/>
        <w:wordWrap/>
        <w:overflowPunct/>
        <w:topLinePunct w:val="0"/>
        <w:autoSpaceDE w:val="0"/>
        <w:autoSpaceDN/>
        <w:bidi w:val="0"/>
        <w:spacing w:beforeAutospacing="0" w:afterAutospacing="0" w:line="360" w:lineRule="auto"/>
        <w:ind w:firstLine="420" w:firstLineChars="200"/>
        <w:jc w:val="both"/>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3.3综合实力部分评分中出现无证明资料或专家无法凭所提供资料判断是否得分的情况，一律作不得分处理。</w:t>
      </w:r>
    </w:p>
    <w:p w14:paraId="225C4C2F">
      <w:pPr>
        <w:pStyle w:val="38"/>
        <w:keepNext w:val="0"/>
        <w:keepLines w:val="0"/>
        <w:pageBreakBefore w:val="0"/>
        <w:kinsoku/>
        <w:wordWrap/>
        <w:overflowPunct/>
        <w:topLinePunct w:val="0"/>
        <w:autoSpaceDE w:val="0"/>
        <w:autoSpaceDN/>
        <w:bidi w:val="0"/>
        <w:spacing w:beforeAutospacing="0" w:afterAutospacing="0" w:line="360" w:lineRule="auto"/>
        <w:ind w:firstLine="420" w:firstLineChars="200"/>
        <w:jc w:val="both"/>
        <w:textAlignment w:val="auto"/>
        <w:rPr>
          <w:rFonts w:hint="eastAsia" w:ascii="宋体" w:hAnsi="宋体" w:eastAsia="宋体" w:cs="宋体"/>
          <w:bCs/>
          <w:kern w:val="2"/>
          <w:sz w:val="21"/>
          <w:szCs w:val="21"/>
        </w:rPr>
      </w:pPr>
      <w:r>
        <w:rPr>
          <w:rFonts w:hint="eastAsia" w:ascii="宋体" w:hAnsi="宋体" w:eastAsia="宋体" w:cs="宋体"/>
          <w:bCs/>
          <w:kern w:val="2"/>
          <w:sz w:val="21"/>
          <w:szCs w:val="21"/>
        </w:rPr>
        <w:t>3.4由深圳市公安局龙华分局和中标</w:t>
      </w:r>
      <w:r>
        <w:rPr>
          <w:rFonts w:hint="eastAsia" w:ascii="宋体" w:hAnsi="宋体" w:eastAsia="宋体" w:cs="宋体"/>
          <w:bCs/>
          <w:kern w:val="2"/>
          <w:sz w:val="21"/>
          <w:szCs w:val="21"/>
          <w:lang w:eastAsia="zh-CN"/>
        </w:rPr>
        <w:t>人</w:t>
      </w:r>
      <w:r>
        <w:rPr>
          <w:rFonts w:hint="eastAsia" w:ascii="宋体" w:hAnsi="宋体" w:eastAsia="宋体" w:cs="宋体"/>
          <w:bCs/>
          <w:kern w:val="2"/>
          <w:sz w:val="21"/>
          <w:szCs w:val="21"/>
        </w:rPr>
        <w:t>签订服务合同。</w:t>
      </w:r>
    </w:p>
    <w:p w14:paraId="3A7C9C0C">
      <w:pPr>
        <w:pStyle w:val="38"/>
        <w:keepNext w:val="0"/>
        <w:keepLines w:val="0"/>
        <w:pageBreakBefore w:val="0"/>
        <w:numPr>
          <w:ilvl w:val="0"/>
          <w:numId w:val="0"/>
        </w:numPr>
        <w:kinsoku/>
        <w:wordWrap/>
        <w:overflowPunct/>
        <w:topLinePunct w:val="0"/>
        <w:autoSpaceDN/>
        <w:bidi w:val="0"/>
        <w:spacing w:beforeAutospacing="0" w:afterAutospacing="0" w:line="360" w:lineRule="auto"/>
        <w:ind w:leftChars="0"/>
        <w:jc w:val="both"/>
        <w:textAlignment w:val="auto"/>
        <w:rPr>
          <w:rFonts w:hint="eastAsia" w:ascii="宋体" w:hAnsi="宋体" w:eastAsia="宋体" w:cs="宋体"/>
          <w:b/>
          <w:bCs w:val="0"/>
          <w:color w:val="FF0000"/>
          <w:kern w:val="2"/>
          <w:sz w:val="21"/>
          <w:szCs w:val="21"/>
        </w:rPr>
      </w:pPr>
      <w:r>
        <w:rPr>
          <w:rFonts w:hint="eastAsia" w:ascii="宋体" w:hAnsi="宋体" w:cs="宋体"/>
          <w:b/>
          <w:bCs w:val="0"/>
          <w:color w:val="FF0000"/>
          <w:szCs w:val="21"/>
        </w:rPr>
        <w:t>★</w:t>
      </w:r>
      <w:r>
        <w:rPr>
          <w:rFonts w:hint="eastAsia" w:ascii="宋体" w:hAnsi="宋体" w:cs="宋体"/>
          <w:b/>
          <w:bCs w:val="0"/>
          <w:color w:val="FF0000"/>
          <w:kern w:val="2"/>
          <w:sz w:val="21"/>
          <w:szCs w:val="21"/>
          <w:lang w:val="en-US" w:eastAsia="zh-CN"/>
        </w:rPr>
        <w:t>4、</w:t>
      </w:r>
      <w:r>
        <w:rPr>
          <w:rFonts w:hint="eastAsia" w:ascii="宋体" w:hAnsi="宋体" w:eastAsia="宋体" w:cs="宋体"/>
          <w:b/>
          <w:bCs w:val="0"/>
          <w:color w:val="FF0000"/>
          <w:kern w:val="2"/>
          <w:sz w:val="21"/>
          <w:szCs w:val="21"/>
        </w:rPr>
        <w:t>服务期限：</w:t>
      </w:r>
    </w:p>
    <w:p w14:paraId="09DDBD3A">
      <w:pPr>
        <w:pStyle w:val="38"/>
        <w:keepNext w:val="0"/>
        <w:keepLines w:val="0"/>
        <w:pageBreakBefore w:val="0"/>
        <w:numPr>
          <w:ilvl w:val="0"/>
          <w:numId w:val="0"/>
        </w:numPr>
        <w:kinsoku/>
        <w:wordWrap/>
        <w:overflowPunct/>
        <w:topLinePunct w:val="0"/>
        <w:autoSpaceDN/>
        <w:bidi w:val="0"/>
        <w:spacing w:beforeAutospacing="0" w:afterAutospacing="0" w:line="360" w:lineRule="auto"/>
        <w:ind w:leftChars="0" w:firstLine="422" w:firstLineChars="200"/>
        <w:jc w:val="both"/>
        <w:textAlignment w:val="auto"/>
        <w:rPr>
          <w:rFonts w:hint="eastAsia" w:ascii="宋体" w:hAnsi="宋体" w:eastAsia="宋体" w:cs="宋体"/>
          <w:b/>
          <w:bCs w:val="0"/>
          <w:color w:val="FF0000"/>
          <w:kern w:val="2"/>
          <w:sz w:val="21"/>
          <w:szCs w:val="21"/>
        </w:rPr>
      </w:pPr>
      <w:r>
        <w:rPr>
          <w:rFonts w:hint="eastAsia" w:ascii="宋体" w:hAnsi="宋体" w:eastAsia="宋体" w:cs="宋体"/>
          <w:b/>
          <w:bCs w:val="0"/>
          <w:color w:val="FF0000"/>
          <w:kern w:val="2"/>
          <w:sz w:val="21"/>
          <w:szCs w:val="21"/>
        </w:rPr>
        <w:t>本项目服务期限为自合同签订之日起一年。本项目为长期服务类项目，第一年为本次招标的中标服务期限，采购单位可根据项目需要和中标人的履约情况确定合同期限是否延长，但最长不超过三年。若政府采购主管部门发现项目有异常情况，以主管部门意见为准。</w:t>
      </w:r>
    </w:p>
    <w:p w14:paraId="2C267F99">
      <w:pPr>
        <w:pStyle w:val="4"/>
        <w:keepNext w:val="0"/>
        <w:keepLines w:val="0"/>
        <w:pageBreakBefore w:val="0"/>
        <w:widowControl/>
        <w:numPr>
          <w:ilvl w:val="0"/>
          <w:numId w:val="0"/>
        </w:numPr>
        <w:kinsoku/>
        <w:wordWrap/>
        <w:overflowPunct/>
        <w:topLinePunct w:val="0"/>
        <w:autoSpaceDN/>
        <w:bidi w:val="0"/>
        <w:spacing w:before="0" w:beforeAutospacing="0" w:after="0" w:afterAutospacing="0" w:line="360" w:lineRule="auto"/>
        <w:ind w:leftChars="0"/>
        <w:textAlignment w:val="auto"/>
        <w:outlineLvl w:val="2"/>
        <w:rPr>
          <w:rFonts w:hint="eastAsia" w:ascii="宋体" w:hAnsi="宋体" w:eastAsia="宋体" w:cs="宋体"/>
          <w:b/>
          <w:bCs/>
          <w:sz w:val="21"/>
          <w:szCs w:val="21"/>
          <w:lang w:eastAsia="zh-CN"/>
        </w:rPr>
      </w:pPr>
      <w:r>
        <w:rPr>
          <w:rFonts w:hint="eastAsia" w:cs="宋体"/>
          <w:b/>
          <w:bCs/>
          <w:sz w:val="21"/>
          <w:szCs w:val="21"/>
          <w:lang w:val="en-US" w:eastAsia="zh-CN"/>
        </w:rPr>
        <w:t>5、</w:t>
      </w:r>
      <w:r>
        <w:rPr>
          <w:rFonts w:hint="eastAsia" w:ascii="宋体" w:hAnsi="宋体" w:eastAsia="宋体" w:cs="宋体"/>
          <w:b/>
          <w:bCs/>
          <w:sz w:val="21"/>
          <w:szCs w:val="21"/>
        </w:rPr>
        <w:t>项目监督管理办法</w:t>
      </w:r>
      <w:r>
        <w:rPr>
          <w:rFonts w:hint="eastAsia" w:cs="宋体"/>
          <w:b/>
          <w:bCs/>
          <w:sz w:val="21"/>
          <w:szCs w:val="21"/>
          <w:lang w:eastAsia="zh-CN"/>
        </w:rPr>
        <w:t>：</w:t>
      </w:r>
    </w:p>
    <w:p w14:paraId="439D496C">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本合同履约考核管理按照《深圳市公安局龙华分局食堂物资配送供应商考核管理办法》执行。</w:t>
      </w:r>
    </w:p>
    <w:p w14:paraId="107EFA3C">
      <w:pPr>
        <w:pStyle w:val="18"/>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p w14:paraId="546B6396">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食堂物资配送供应商考核管理办法</w:t>
      </w:r>
    </w:p>
    <w:p w14:paraId="792EE056">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为进一步建立健全分局各伙食单位食堂物资配送供应商管理机制，规范食堂物资配送行为，加强对供应商的日常管理和质量、服务的考核工作，从而优化供应商结构，提高配送水平，有效防控风险。依据《中华人民共和国政府采购法》、《深圳经济特区政府采购条例》等有关规定，特制定本办法。</w:t>
      </w:r>
    </w:p>
    <w:p w14:paraId="16097670">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第</w:t>
      </w:r>
      <w:r>
        <w:rPr>
          <w:rFonts w:hint="eastAsia" w:ascii="宋体" w:hAnsi="宋体" w:eastAsia="宋体" w:cs="宋体"/>
          <w:b/>
          <w:sz w:val="21"/>
          <w:szCs w:val="21"/>
          <w:lang w:val="en-US" w:eastAsia="zh-CN"/>
        </w:rPr>
        <w:t>一</w:t>
      </w:r>
      <w:r>
        <w:rPr>
          <w:rFonts w:hint="eastAsia" w:ascii="宋体" w:hAnsi="宋体" w:eastAsia="宋体" w:cs="宋体"/>
          <w:b/>
          <w:sz w:val="21"/>
          <w:szCs w:val="21"/>
        </w:rPr>
        <w:t>条</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 xml:space="preserve">适用范围 </w:t>
      </w:r>
    </w:p>
    <w:p w14:paraId="02D3C205">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color w:val="FF0000"/>
          <w:sz w:val="21"/>
          <w:szCs w:val="21"/>
        </w:rPr>
      </w:pPr>
      <w:r>
        <w:rPr>
          <w:rFonts w:hint="eastAsia" w:ascii="宋体" w:hAnsi="宋体" w:eastAsia="宋体" w:cs="宋体"/>
          <w:color w:val="auto"/>
          <w:sz w:val="21"/>
          <w:szCs w:val="21"/>
        </w:rPr>
        <w:t>本办法所涉及的供应商是指分局通过政府集中采购向社会公开招标的食堂物资配送供应商。</w:t>
      </w:r>
    </w:p>
    <w:p w14:paraId="041D9998">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b/>
          <w:sz w:val="21"/>
          <w:szCs w:val="21"/>
        </w:rPr>
        <w:t>第二条 供应商使用方式</w:t>
      </w:r>
    </w:p>
    <w:p w14:paraId="7AC77336">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sz w:val="21"/>
          <w:szCs w:val="21"/>
        </w:rPr>
        <w:t>按政府集中采购程序，通过公开招标，综合评审选出中标配送供应商，与其签订一年服务合同。</w:t>
      </w:r>
    </w:p>
    <w:p w14:paraId="247BBB7B">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 xml:space="preserve">第三条 考评小组的设置 </w:t>
      </w:r>
    </w:p>
    <w:p w14:paraId="2B8C2053">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采购方设立食堂物资配送供应商考核评价小组，具体负责供应商的考核评价工作。</w:t>
      </w:r>
    </w:p>
    <w:p w14:paraId="777D1915">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组  长：各单位警务保障相关负责人。</w:t>
      </w:r>
    </w:p>
    <w:p w14:paraId="724BC7CA">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组  员：各单位食堂管理工作人员2名、食堂仓库管理员1名、厨师代表1名。 </w:t>
      </w:r>
    </w:p>
    <w:p w14:paraId="24D48065">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职  责：</w:t>
      </w:r>
    </w:p>
    <w:p w14:paraId="4BED5082">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（1）监督供应商的物资配送行为；</w:t>
      </w:r>
    </w:p>
    <w:p w14:paraId="75A686A8">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（2）建立供应商考评档案台账；</w:t>
      </w:r>
    </w:p>
    <w:p w14:paraId="7BB2D4EF">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（3）制定和修改本单位食堂物资配送供应商考核管理办法；</w:t>
      </w:r>
    </w:p>
    <w:p w14:paraId="7BB59374">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（4）每月召开考核评价小组会议，商讨本单位日常考核评价中遇到的问题，商定当月的考核评价结果。</w:t>
      </w:r>
    </w:p>
    <w:p w14:paraId="4C54CCEC">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（5）负责审核、商定供应商考核年度（合同期）考核结果。</w:t>
      </w:r>
    </w:p>
    <w:p w14:paraId="057F35D7">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rPr>
        <w:t xml:space="preserve"> </w:t>
      </w:r>
    </w:p>
    <w:p w14:paraId="5A8CD1A0">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 xml:space="preserve">第四条 考核内容及评分细则 </w:t>
      </w:r>
    </w:p>
    <w:p w14:paraId="7EDE0BD7">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考核内容及评分细则按下表执行：</w:t>
      </w:r>
    </w:p>
    <w:tbl>
      <w:tblPr>
        <w:tblStyle w:val="44"/>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574"/>
        <w:gridCol w:w="672"/>
        <w:gridCol w:w="5775"/>
        <w:gridCol w:w="556"/>
        <w:gridCol w:w="476"/>
      </w:tblGrid>
      <w:tr w14:paraId="5D492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76" w:type="dxa"/>
            <w:tcBorders>
              <w:top w:val="single" w:color="auto" w:sz="4" w:space="0"/>
              <w:left w:val="single" w:color="auto" w:sz="4" w:space="0"/>
              <w:bottom w:val="single" w:color="auto" w:sz="4" w:space="0"/>
              <w:right w:val="single" w:color="auto" w:sz="4" w:space="0"/>
            </w:tcBorders>
            <w:noWrap w:val="0"/>
            <w:vAlign w:val="center"/>
          </w:tcPr>
          <w:p w14:paraId="76BE9ADA">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574" w:type="dxa"/>
            <w:tcBorders>
              <w:top w:val="single" w:color="auto" w:sz="4" w:space="0"/>
              <w:left w:val="single" w:color="auto" w:sz="4" w:space="0"/>
              <w:bottom w:val="single" w:color="auto" w:sz="4" w:space="0"/>
              <w:right w:val="single" w:color="auto" w:sz="4" w:space="0"/>
            </w:tcBorders>
            <w:noWrap w:val="0"/>
            <w:vAlign w:val="center"/>
          </w:tcPr>
          <w:p w14:paraId="2B8C8290">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类别</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5A746BC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内容</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5E57B3DF">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评分细则</w:t>
            </w:r>
          </w:p>
        </w:tc>
        <w:tc>
          <w:tcPr>
            <w:tcW w:w="556" w:type="dxa"/>
            <w:tcBorders>
              <w:top w:val="single" w:color="auto" w:sz="4" w:space="0"/>
              <w:left w:val="single" w:color="auto" w:sz="4" w:space="0"/>
              <w:bottom w:val="single" w:color="auto" w:sz="4" w:space="0"/>
              <w:right w:val="single" w:color="auto" w:sz="4" w:space="0"/>
            </w:tcBorders>
            <w:noWrap w:val="0"/>
            <w:vAlign w:val="center"/>
          </w:tcPr>
          <w:p w14:paraId="55332AA5">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分值</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3E89922A">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得分</w:t>
            </w:r>
          </w:p>
        </w:tc>
      </w:tr>
      <w:tr w14:paraId="1EB88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tcBorders>
              <w:top w:val="single" w:color="auto" w:sz="4" w:space="0"/>
              <w:left w:val="single" w:color="auto" w:sz="4" w:space="0"/>
              <w:bottom w:val="single" w:color="auto" w:sz="4" w:space="0"/>
              <w:right w:val="single" w:color="auto" w:sz="4" w:space="0"/>
            </w:tcBorders>
            <w:noWrap w:val="0"/>
            <w:vAlign w:val="center"/>
          </w:tcPr>
          <w:p w14:paraId="10D98760">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574" w:type="dxa"/>
            <w:tcBorders>
              <w:top w:val="single" w:color="auto" w:sz="4" w:space="0"/>
              <w:left w:val="single" w:color="auto" w:sz="4" w:space="0"/>
              <w:bottom w:val="single" w:color="auto" w:sz="4" w:space="0"/>
              <w:right w:val="single" w:color="auto" w:sz="4" w:space="0"/>
            </w:tcBorders>
            <w:noWrap w:val="0"/>
            <w:vAlign w:val="center"/>
          </w:tcPr>
          <w:p w14:paraId="37C15950">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价格方面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7D820616">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价格执行情况</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3427D9FB">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依时报价（每月20日前），建立完善的报价机制；报价是否合理；是否存在临时补货物品价格虚高的情况；是否存在对账单价格乱报、错报等的情况；是否存在月度结算对账不及时情况。每发现1次，扣2分，累计最高扣分5分。</w:t>
            </w:r>
          </w:p>
        </w:tc>
        <w:tc>
          <w:tcPr>
            <w:tcW w:w="556" w:type="dxa"/>
            <w:tcBorders>
              <w:top w:val="single" w:color="auto" w:sz="4" w:space="0"/>
              <w:left w:val="single" w:color="auto" w:sz="4" w:space="0"/>
              <w:bottom w:val="single" w:color="auto" w:sz="4" w:space="0"/>
              <w:right w:val="single" w:color="auto" w:sz="4" w:space="0"/>
            </w:tcBorders>
            <w:noWrap w:val="0"/>
            <w:vAlign w:val="center"/>
          </w:tcPr>
          <w:p w14:paraId="595ECAEA">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33BAAA13">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0AB2C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476" w:type="dxa"/>
            <w:vMerge w:val="restart"/>
            <w:tcBorders>
              <w:top w:val="nil"/>
              <w:left w:val="single" w:color="auto" w:sz="4" w:space="0"/>
              <w:bottom w:val="single" w:color="auto" w:sz="4" w:space="0"/>
              <w:right w:val="single" w:color="auto" w:sz="4" w:space="0"/>
            </w:tcBorders>
            <w:noWrap w:val="0"/>
            <w:vAlign w:val="center"/>
          </w:tcPr>
          <w:p w14:paraId="67ADCB31">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574" w:type="dxa"/>
            <w:vMerge w:val="restart"/>
            <w:tcBorders>
              <w:top w:val="nil"/>
              <w:left w:val="single" w:color="auto" w:sz="4" w:space="0"/>
              <w:bottom w:val="single" w:color="auto" w:sz="4" w:space="0"/>
              <w:right w:val="single" w:color="auto" w:sz="4" w:space="0"/>
            </w:tcBorders>
            <w:noWrap w:val="0"/>
            <w:vAlign w:val="center"/>
          </w:tcPr>
          <w:p w14:paraId="13D7E92A">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质量方面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036F6507">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物品质量</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26D0EB2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配送物品是否存在霉烂、变质、过期、破损等不符质量要求的情况；是否存在以次充好达不到采购方要求的情况。每发现1次扣5分，累计每月最高扣分15分。</w:t>
            </w:r>
          </w:p>
        </w:tc>
        <w:tc>
          <w:tcPr>
            <w:tcW w:w="556" w:type="dxa"/>
            <w:vMerge w:val="restart"/>
            <w:tcBorders>
              <w:top w:val="nil"/>
              <w:left w:val="single" w:color="auto" w:sz="4" w:space="0"/>
              <w:bottom w:val="single" w:color="auto" w:sz="4" w:space="0"/>
              <w:right w:val="single" w:color="auto" w:sz="4" w:space="0"/>
            </w:tcBorders>
            <w:noWrap w:val="0"/>
            <w:vAlign w:val="center"/>
          </w:tcPr>
          <w:p w14:paraId="760AC262">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17BDCDBC">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09E4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0623CEC8">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01A0745F">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6DC84A41">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食品检测</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09C73A81">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采购方对配送物品进行食品安全检测，每发现1项不合格的，直接扣10分。</w:t>
            </w:r>
          </w:p>
        </w:tc>
        <w:tc>
          <w:tcPr>
            <w:tcW w:w="556" w:type="dxa"/>
            <w:vMerge w:val="continue"/>
            <w:tcBorders>
              <w:top w:val="nil"/>
              <w:left w:val="single" w:color="auto" w:sz="4" w:space="0"/>
              <w:bottom w:val="single" w:color="auto" w:sz="4" w:space="0"/>
              <w:right w:val="single" w:color="auto" w:sz="4" w:space="0"/>
            </w:tcBorders>
            <w:noWrap w:val="0"/>
            <w:vAlign w:val="center"/>
          </w:tcPr>
          <w:p w14:paraId="72D433FB">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vMerge w:val="restart"/>
            <w:tcBorders>
              <w:top w:val="nil"/>
              <w:left w:val="single" w:color="auto" w:sz="4" w:space="0"/>
              <w:bottom w:val="single" w:color="auto" w:sz="4" w:space="0"/>
              <w:right w:val="single" w:color="auto" w:sz="4" w:space="0"/>
            </w:tcBorders>
            <w:noWrap w:val="0"/>
            <w:vAlign w:val="center"/>
          </w:tcPr>
          <w:p w14:paraId="5B83C8BC">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16356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76E02187">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3DEF245C">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161F225A">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索证制度</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4E9C3784">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是否建立相应的追踪溯源体系，专门台账档案；是否有清晰的货物来源或产地；是否及时提供相关的票、据、证等材料。每发现1次扣5分，累计每月最高扣分5分。</w:t>
            </w:r>
          </w:p>
        </w:tc>
        <w:tc>
          <w:tcPr>
            <w:tcW w:w="556" w:type="dxa"/>
            <w:vMerge w:val="continue"/>
            <w:tcBorders>
              <w:top w:val="nil"/>
              <w:left w:val="single" w:color="auto" w:sz="4" w:space="0"/>
              <w:bottom w:val="single" w:color="auto" w:sz="4" w:space="0"/>
              <w:right w:val="single" w:color="auto" w:sz="4" w:space="0"/>
            </w:tcBorders>
            <w:noWrap w:val="0"/>
            <w:vAlign w:val="center"/>
          </w:tcPr>
          <w:p w14:paraId="4D979627">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vMerge w:val="continue"/>
            <w:tcBorders>
              <w:top w:val="nil"/>
              <w:left w:val="single" w:color="auto" w:sz="4" w:space="0"/>
              <w:bottom w:val="single" w:color="auto" w:sz="4" w:space="0"/>
              <w:right w:val="single" w:color="auto" w:sz="4" w:space="0"/>
            </w:tcBorders>
            <w:noWrap w:val="0"/>
            <w:vAlign w:val="center"/>
          </w:tcPr>
          <w:p w14:paraId="626785B9">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r>
      <w:tr w14:paraId="3ADE1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tcBorders>
              <w:top w:val="single" w:color="auto" w:sz="4" w:space="0"/>
              <w:left w:val="single" w:color="auto" w:sz="4" w:space="0"/>
              <w:bottom w:val="single" w:color="auto" w:sz="4" w:space="0"/>
              <w:right w:val="single" w:color="auto" w:sz="4" w:space="0"/>
            </w:tcBorders>
            <w:noWrap w:val="0"/>
            <w:vAlign w:val="center"/>
          </w:tcPr>
          <w:p w14:paraId="104D2BA4">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574" w:type="dxa"/>
            <w:tcBorders>
              <w:top w:val="single" w:color="auto" w:sz="4" w:space="0"/>
              <w:left w:val="single" w:color="auto" w:sz="4" w:space="0"/>
              <w:bottom w:val="single" w:color="auto" w:sz="4" w:space="0"/>
              <w:right w:val="single" w:color="auto" w:sz="4" w:space="0"/>
            </w:tcBorders>
            <w:noWrap w:val="0"/>
            <w:vAlign w:val="center"/>
          </w:tcPr>
          <w:p w14:paraId="5BBAFE24">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数量方面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523F9F96">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物品数量</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7CAB860E">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若是否存在缺斤少两的情况；是否按照采购方订单品种和数量进行配送物品。与订单数量相差10%，扣2分；相差20%，扣5分；相差30%，扣10分；与订单品种每相差1个，扣1分；累计每月最高扣分10分。</w:t>
            </w:r>
          </w:p>
        </w:tc>
        <w:tc>
          <w:tcPr>
            <w:tcW w:w="556" w:type="dxa"/>
            <w:tcBorders>
              <w:top w:val="single" w:color="auto" w:sz="4" w:space="0"/>
              <w:left w:val="single" w:color="auto" w:sz="4" w:space="0"/>
              <w:bottom w:val="single" w:color="auto" w:sz="4" w:space="0"/>
              <w:right w:val="single" w:color="auto" w:sz="4" w:space="0"/>
            </w:tcBorders>
            <w:noWrap w:val="0"/>
            <w:vAlign w:val="center"/>
          </w:tcPr>
          <w:p w14:paraId="64E80DBD">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16396DF1">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0E9D4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restart"/>
            <w:tcBorders>
              <w:top w:val="nil"/>
              <w:left w:val="single" w:color="auto" w:sz="4" w:space="0"/>
              <w:bottom w:val="single" w:color="auto" w:sz="4" w:space="0"/>
              <w:right w:val="single" w:color="auto" w:sz="4" w:space="0"/>
            </w:tcBorders>
            <w:noWrap w:val="0"/>
            <w:vAlign w:val="center"/>
          </w:tcPr>
          <w:p w14:paraId="4BB6E40C">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574" w:type="dxa"/>
            <w:vMerge w:val="restart"/>
            <w:tcBorders>
              <w:top w:val="nil"/>
              <w:left w:val="single" w:color="auto" w:sz="4" w:space="0"/>
              <w:bottom w:val="single" w:color="auto" w:sz="4" w:space="0"/>
              <w:right w:val="single" w:color="auto" w:sz="4" w:space="0"/>
            </w:tcBorders>
            <w:noWrap w:val="0"/>
            <w:vAlign w:val="center"/>
          </w:tcPr>
          <w:p w14:paraId="73B707C3">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时间方面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0B10C18B">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配送及时性</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0D06C270">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迟于早上早餐（5点）、午晚餐（7点）配送的，每迟到10分钟扣2分，累计每月最高扣分10分。</w:t>
            </w:r>
          </w:p>
        </w:tc>
        <w:tc>
          <w:tcPr>
            <w:tcW w:w="556" w:type="dxa"/>
            <w:vMerge w:val="restart"/>
            <w:tcBorders>
              <w:top w:val="single" w:color="auto" w:sz="4" w:space="0"/>
              <w:left w:val="single" w:color="auto" w:sz="4" w:space="0"/>
              <w:bottom w:val="single" w:color="auto" w:sz="4" w:space="0"/>
              <w:right w:val="single" w:color="auto" w:sz="4" w:space="0"/>
            </w:tcBorders>
            <w:noWrap w:val="0"/>
            <w:vAlign w:val="center"/>
          </w:tcPr>
          <w:p w14:paraId="397E377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0780E0E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60657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72A65934">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4FAF0287">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5B42D6F9">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应急响应时间</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158CEC6D">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是否按照采购方的要求，以最快的速度，按照招标时的承诺进行应急处理。发现1次扣5分，累计每月最高扣分10分。</w:t>
            </w:r>
          </w:p>
        </w:tc>
        <w:tc>
          <w:tcPr>
            <w:tcW w:w="556" w:type="dxa"/>
            <w:vMerge w:val="continue"/>
            <w:tcBorders>
              <w:top w:val="single" w:color="auto" w:sz="4" w:space="0"/>
              <w:left w:val="single" w:color="auto" w:sz="4" w:space="0"/>
              <w:bottom w:val="single" w:color="auto" w:sz="4" w:space="0"/>
              <w:right w:val="single" w:color="auto" w:sz="4" w:space="0"/>
            </w:tcBorders>
            <w:noWrap w:val="0"/>
            <w:vAlign w:val="center"/>
          </w:tcPr>
          <w:p w14:paraId="41F34DEF">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tcBorders>
              <w:top w:val="single" w:color="auto" w:sz="4" w:space="0"/>
              <w:left w:val="single" w:color="auto" w:sz="4" w:space="0"/>
              <w:bottom w:val="single" w:color="auto" w:sz="4" w:space="0"/>
              <w:right w:val="single" w:color="auto" w:sz="4" w:space="0"/>
            </w:tcBorders>
            <w:noWrap w:val="0"/>
            <w:vAlign w:val="center"/>
          </w:tcPr>
          <w:p w14:paraId="1F64CC0D">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2E144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restart"/>
            <w:tcBorders>
              <w:top w:val="nil"/>
              <w:left w:val="single" w:color="auto" w:sz="4" w:space="0"/>
              <w:bottom w:val="single" w:color="auto" w:sz="4" w:space="0"/>
              <w:right w:val="single" w:color="auto" w:sz="4" w:space="0"/>
            </w:tcBorders>
            <w:noWrap w:val="0"/>
            <w:vAlign w:val="center"/>
          </w:tcPr>
          <w:p w14:paraId="1812D6F6">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574" w:type="dxa"/>
            <w:vMerge w:val="restart"/>
            <w:tcBorders>
              <w:top w:val="nil"/>
              <w:left w:val="single" w:color="auto" w:sz="4" w:space="0"/>
              <w:bottom w:val="single" w:color="auto" w:sz="4" w:space="0"/>
              <w:right w:val="single" w:color="auto" w:sz="4" w:space="0"/>
            </w:tcBorders>
            <w:noWrap w:val="0"/>
            <w:vAlign w:val="center"/>
          </w:tcPr>
          <w:p w14:paraId="19261F94">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卫生方面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6795E44A">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配送人员</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439B2D1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是否有健康证，是否统一穿工服，是否存在盗取货物等情况，每发现1次扣2分，累计每月最高扣分5分。</w:t>
            </w:r>
          </w:p>
        </w:tc>
        <w:tc>
          <w:tcPr>
            <w:tcW w:w="556" w:type="dxa"/>
            <w:vMerge w:val="restart"/>
            <w:tcBorders>
              <w:top w:val="single" w:color="auto" w:sz="4" w:space="0"/>
              <w:left w:val="single" w:color="auto" w:sz="4" w:space="0"/>
              <w:bottom w:val="single" w:color="auto" w:sz="4" w:space="0"/>
              <w:right w:val="single" w:color="auto" w:sz="4" w:space="0"/>
            </w:tcBorders>
            <w:noWrap w:val="0"/>
            <w:vAlign w:val="center"/>
          </w:tcPr>
          <w:p w14:paraId="1316A7A9">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1B01D87C">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174CA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6F1B0D11">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67EEE0B8">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24B098D7">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初加工</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7FB007D7">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是否严格按照《国家食品卫生标准》、《食品卫生法》等相关规定，对食品进行卫生安全初加工；是否初加工完成后将加工场所垃圾清理干净。每发现1次扣2分，累计每月最高扣分10分。</w:t>
            </w:r>
          </w:p>
        </w:tc>
        <w:tc>
          <w:tcPr>
            <w:tcW w:w="556" w:type="dxa"/>
            <w:vMerge w:val="continue"/>
            <w:tcBorders>
              <w:top w:val="nil"/>
              <w:left w:val="single" w:color="auto" w:sz="4" w:space="0"/>
              <w:bottom w:val="single" w:color="auto" w:sz="4" w:space="0"/>
              <w:right w:val="single" w:color="auto" w:sz="4" w:space="0"/>
            </w:tcBorders>
            <w:noWrap w:val="0"/>
            <w:vAlign w:val="center"/>
          </w:tcPr>
          <w:p w14:paraId="473ABABB">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tcBorders>
              <w:top w:val="single" w:color="auto" w:sz="4" w:space="0"/>
              <w:left w:val="single" w:color="auto" w:sz="4" w:space="0"/>
              <w:bottom w:val="single" w:color="auto" w:sz="4" w:space="0"/>
              <w:right w:val="single" w:color="auto" w:sz="4" w:space="0"/>
            </w:tcBorders>
            <w:noWrap w:val="0"/>
            <w:vAlign w:val="center"/>
          </w:tcPr>
          <w:p w14:paraId="379333F9">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18F18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restart"/>
            <w:tcBorders>
              <w:top w:val="nil"/>
              <w:left w:val="single" w:color="auto" w:sz="4" w:space="0"/>
              <w:bottom w:val="single" w:color="auto" w:sz="4" w:space="0"/>
              <w:right w:val="single" w:color="auto" w:sz="4" w:space="0"/>
            </w:tcBorders>
            <w:noWrap w:val="0"/>
            <w:vAlign w:val="center"/>
          </w:tcPr>
          <w:p w14:paraId="521B44F2">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574" w:type="dxa"/>
            <w:vMerge w:val="restart"/>
            <w:tcBorders>
              <w:top w:val="nil"/>
              <w:left w:val="single" w:color="auto" w:sz="4" w:space="0"/>
              <w:bottom w:val="single" w:color="auto" w:sz="4" w:space="0"/>
              <w:right w:val="single" w:color="auto" w:sz="4" w:space="0"/>
            </w:tcBorders>
            <w:noWrap w:val="0"/>
            <w:vAlign w:val="center"/>
          </w:tcPr>
          <w:p w14:paraId="05605797">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态度方面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08235718">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服务态度</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6BE5E79B">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供应商服务态度是否良好。每接到1次有效投诉扣5分，累计每月最高扣分10分。</w:t>
            </w:r>
          </w:p>
        </w:tc>
        <w:tc>
          <w:tcPr>
            <w:tcW w:w="556" w:type="dxa"/>
            <w:vMerge w:val="restart"/>
            <w:tcBorders>
              <w:top w:val="nil"/>
              <w:left w:val="single" w:color="auto" w:sz="4" w:space="0"/>
              <w:bottom w:val="single" w:color="auto" w:sz="4" w:space="0"/>
              <w:right w:val="single" w:color="auto" w:sz="4" w:space="0"/>
            </w:tcBorders>
            <w:noWrap w:val="0"/>
            <w:vAlign w:val="center"/>
          </w:tcPr>
          <w:p w14:paraId="1E89BE93">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1139533C">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28441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1E57D687">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11E0DEBE">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311DF35A">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反馈整改情况</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7BB6024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是否对采购方的反馈意见进行认真及时的整改，每发现1次扣5分，累计每月最高扣分10分。</w:t>
            </w:r>
          </w:p>
        </w:tc>
        <w:tc>
          <w:tcPr>
            <w:tcW w:w="556" w:type="dxa"/>
            <w:vMerge w:val="continue"/>
            <w:tcBorders>
              <w:top w:val="nil"/>
              <w:left w:val="single" w:color="auto" w:sz="4" w:space="0"/>
              <w:bottom w:val="single" w:color="auto" w:sz="4" w:space="0"/>
              <w:right w:val="single" w:color="auto" w:sz="4" w:space="0"/>
            </w:tcBorders>
            <w:noWrap w:val="0"/>
            <w:vAlign w:val="center"/>
          </w:tcPr>
          <w:p w14:paraId="62A46A3B">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tcBorders>
              <w:top w:val="single" w:color="auto" w:sz="4" w:space="0"/>
              <w:left w:val="single" w:color="auto" w:sz="4" w:space="0"/>
              <w:bottom w:val="single" w:color="auto" w:sz="4" w:space="0"/>
              <w:right w:val="single" w:color="auto" w:sz="4" w:space="0"/>
            </w:tcBorders>
            <w:noWrap w:val="0"/>
            <w:vAlign w:val="center"/>
          </w:tcPr>
          <w:p w14:paraId="6A076617">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79F5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722" w:type="dxa"/>
            <w:gridSpan w:val="3"/>
            <w:tcBorders>
              <w:top w:val="single" w:color="auto" w:sz="4" w:space="0"/>
              <w:left w:val="single" w:color="auto" w:sz="4" w:space="0"/>
              <w:bottom w:val="single" w:color="auto" w:sz="4" w:space="0"/>
              <w:right w:val="single" w:color="auto" w:sz="4" w:space="0"/>
            </w:tcBorders>
            <w:noWrap w:val="0"/>
            <w:vAlign w:val="center"/>
          </w:tcPr>
          <w:p w14:paraId="33DB726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总分</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06560955">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c>
          <w:tcPr>
            <w:tcW w:w="556" w:type="dxa"/>
            <w:tcBorders>
              <w:top w:val="single" w:color="auto" w:sz="4" w:space="0"/>
              <w:left w:val="single" w:color="auto" w:sz="4" w:space="0"/>
              <w:bottom w:val="single" w:color="auto" w:sz="4" w:space="0"/>
              <w:right w:val="single" w:color="auto" w:sz="4" w:space="0"/>
            </w:tcBorders>
            <w:noWrap w:val="0"/>
            <w:vAlign w:val="center"/>
          </w:tcPr>
          <w:p w14:paraId="724B4984">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27DACA6B">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bl>
    <w:p w14:paraId="045E03D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b/>
          <w:bCs/>
          <w:sz w:val="21"/>
          <w:szCs w:val="21"/>
        </w:rPr>
      </w:pPr>
      <w:r>
        <w:rPr>
          <w:rFonts w:hint="eastAsia" w:ascii="宋体" w:hAnsi="宋体" w:eastAsia="宋体" w:cs="宋体"/>
          <w:b/>
          <w:bCs/>
          <w:sz w:val="21"/>
          <w:szCs w:val="21"/>
        </w:rPr>
        <w:t>备注：</w:t>
      </w:r>
    </w:p>
    <w:p w14:paraId="6CDA02FD">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1、采购方对食品安全问题采取零容忍态度，若供应商因配送食材具有严重质量问题，造成严重影响的，一票否决，并追究相应法律责任。</w:t>
      </w:r>
    </w:p>
    <w:p w14:paraId="13AD3979">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2、供应商月度考核表得分与月度实际支付金额挂钩：</w:t>
      </w:r>
    </w:p>
    <w:p w14:paraId="5F626B79">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（1）供应商月度考核表得分于85（含85）-90分区间的，对应扣除每月实付金额的2%</w:t>
      </w:r>
      <w:r>
        <w:rPr>
          <w:rFonts w:hint="eastAsia" w:ascii="宋体" w:hAnsi="宋体" w:eastAsia="宋体" w:cs="宋体"/>
          <w:b w:val="0"/>
          <w:bCs w:val="0"/>
          <w:sz w:val="21"/>
          <w:szCs w:val="21"/>
          <w:lang w:eastAsia="zh-CN"/>
        </w:rPr>
        <w:t>；</w:t>
      </w:r>
    </w:p>
    <w:p w14:paraId="3412B926">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）供应商月度考核表得分于80（含80）-85分区间的，对应扣除每月实付金额的5%</w:t>
      </w:r>
      <w:r>
        <w:rPr>
          <w:rFonts w:hint="eastAsia" w:ascii="宋体" w:hAnsi="宋体" w:eastAsia="宋体" w:cs="宋体"/>
          <w:b w:val="0"/>
          <w:bCs w:val="0"/>
          <w:sz w:val="21"/>
          <w:szCs w:val="21"/>
          <w:lang w:eastAsia="zh-CN"/>
        </w:rPr>
        <w:t>；</w:t>
      </w:r>
    </w:p>
    <w:p w14:paraId="51FF3112">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b w:val="0"/>
          <w:bCs w:val="0"/>
          <w:sz w:val="21"/>
          <w:szCs w:val="21"/>
          <w:highlight w:val="none"/>
          <w:lang w:eastAsia="zh-CN"/>
        </w:rPr>
      </w:pP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）供应商月度考核表低于80分的，月度支付金额一律按实际支付额的80%结算，采购方有</w:t>
      </w:r>
      <w:r>
        <w:rPr>
          <w:rFonts w:hint="eastAsia" w:ascii="宋体" w:hAnsi="宋体" w:eastAsia="宋体" w:cs="宋体"/>
          <w:b w:val="0"/>
          <w:bCs w:val="0"/>
          <w:sz w:val="21"/>
          <w:szCs w:val="21"/>
          <w:highlight w:val="none"/>
        </w:rPr>
        <w:t>权决定与该供应商解除合同</w:t>
      </w:r>
      <w:r>
        <w:rPr>
          <w:rFonts w:hint="eastAsia" w:ascii="宋体" w:hAnsi="宋体" w:eastAsia="宋体" w:cs="宋体"/>
          <w:b w:val="0"/>
          <w:bCs w:val="0"/>
          <w:sz w:val="21"/>
          <w:szCs w:val="21"/>
          <w:highlight w:val="none"/>
          <w:lang w:eastAsia="zh-CN"/>
        </w:rPr>
        <w:t>，</w:t>
      </w:r>
      <w:r>
        <w:rPr>
          <w:rFonts w:hint="eastAsia" w:ascii="宋体" w:hAnsi="宋体" w:eastAsia="宋体" w:cs="宋体"/>
          <w:b w:val="0"/>
          <w:bCs w:val="0"/>
          <w:sz w:val="21"/>
          <w:szCs w:val="21"/>
          <w:highlight w:val="none"/>
          <w:lang w:val="en-US" w:eastAsia="zh-CN"/>
        </w:rPr>
        <w:t>配送服务由</w:t>
      </w:r>
      <w:r>
        <w:rPr>
          <w:rFonts w:hint="eastAsia" w:ascii="宋体" w:hAnsi="宋体" w:cs="宋体"/>
          <w:b w:val="0"/>
          <w:bCs w:val="0"/>
          <w:sz w:val="21"/>
          <w:szCs w:val="21"/>
          <w:highlight w:val="none"/>
          <w:lang w:val="en-US" w:eastAsia="zh-CN"/>
        </w:rPr>
        <w:t>应急替补供应商临时</w:t>
      </w:r>
      <w:r>
        <w:rPr>
          <w:rFonts w:hint="eastAsia" w:ascii="宋体" w:hAnsi="宋体" w:eastAsia="宋体" w:cs="宋体"/>
          <w:b w:val="0"/>
          <w:bCs w:val="0"/>
          <w:sz w:val="21"/>
          <w:szCs w:val="21"/>
          <w:highlight w:val="none"/>
          <w:lang w:val="en-US" w:eastAsia="zh-CN"/>
        </w:rPr>
        <w:t>接替</w:t>
      </w:r>
      <w:r>
        <w:rPr>
          <w:rFonts w:hint="eastAsia" w:ascii="宋体" w:hAnsi="宋体" w:eastAsia="宋体" w:cs="宋体"/>
          <w:b w:val="0"/>
          <w:bCs w:val="0"/>
          <w:sz w:val="21"/>
          <w:szCs w:val="21"/>
          <w:highlight w:val="none"/>
          <w:lang w:eastAsia="zh-CN"/>
        </w:rPr>
        <w:t>；</w:t>
      </w:r>
    </w:p>
    <w:p w14:paraId="511E3255">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val="0"/>
          <w:bCs w:val="0"/>
          <w:sz w:val="21"/>
          <w:szCs w:val="21"/>
          <w:highlight w:val="none"/>
        </w:rPr>
        <w:t>（</w:t>
      </w:r>
      <w:r>
        <w:rPr>
          <w:rFonts w:hint="eastAsia" w:ascii="宋体" w:hAnsi="宋体" w:eastAsia="宋体" w:cs="宋体"/>
          <w:b w:val="0"/>
          <w:bCs w:val="0"/>
          <w:sz w:val="21"/>
          <w:szCs w:val="21"/>
          <w:highlight w:val="none"/>
          <w:lang w:val="en-US" w:eastAsia="zh-CN"/>
        </w:rPr>
        <w:t>4</w:t>
      </w:r>
      <w:r>
        <w:rPr>
          <w:rFonts w:hint="eastAsia" w:ascii="宋体" w:hAnsi="宋体" w:eastAsia="宋体" w:cs="宋体"/>
          <w:b w:val="0"/>
          <w:bCs w:val="0"/>
          <w:sz w:val="21"/>
          <w:szCs w:val="21"/>
          <w:highlight w:val="none"/>
        </w:rPr>
        <w:t>）供应商月度考核表连续三个月得分低于85（不含85）分的，采购方有权决定与该供应商解除合同</w:t>
      </w:r>
      <w:r>
        <w:rPr>
          <w:rFonts w:hint="eastAsia" w:ascii="宋体" w:hAnsi="宋体" w:eastAsia="宋体" w:cs="宋体"/>
          <w:b w:val="0"/>
          <w:bCs w:val="0"/>
          <w:sz w:val="21"/>
          <w:szCs w:val="21"/>
          <w:highlight w:val="none"/>
          <w:lang w:eastAsia="zh-CN"/>
        </w:rPr>
        <w:t>，</w:t>
      </w:r>
      <w:r>
        <w:rPr>
          <w:rFonts w:hint="eastAsia" w:ascii="宋体" w:hAnsi="宋体" w:eastAsia="宋体" w:cs="宋体"/>
          <w:b w:val="0"/>
          <w:bCs w:val="0"/>
          <w:sz w:val="21"/>
          <w:szCs w:val="21"/>
          <w:highlight w:val="none"/>
          <w:lang w:val="en-US" w:eastAsia="zh-CN"/>
        </w:rPr>
        <w:t>配送服务由</w:t>
      </w:r>
      <w:r>
        <w:rPr>
          <w:rFonts w:hint="eastAsia" w:ascii="宋体" w:hAnsi="宋体" w:cs="宋体"/>
          <w:b w:val="0"/>
          <w:bCs w:val="0"/>
          <w:sz w:val="21"/>
          <w:szCs w:val="21"/>
          <w:highlight w:val="none"/>
          <w:lang w:val="en-US" w:eastAsia="zh-CN"/>
        </w:rPr>
        <w:t>应急替补供应商临时</w:t>
      </w:r>
      <w:r>
        <w:rPr>
          <w:rFonts w:hint="eastAsia" w:ascii="宋体" w:hAnsi="宋体" w:eastAsia="宋体" w:cs="宋体"/>
          <w:b w:val="0"/>
          <w:bCs w:val="0"/>
          <w:sz w:val="21"/>
          <w:szCs w:val="21"/>
          <w:highlight w:val="none"/>
          <w:lang w:val="en-US" w:eastAsia="zh-CN"/>
        </w:rPr>
        <w:t>接替</w:t>
      </w:r>
      <w:r>
        <w:rPr>
          <w:rFonts w:hint="eastAsia" w:ascii="宋体" w:hAnsi="宋体" w:eastAsia="宋体" w:cs="宋体"/>
          <w:b w:val="0"/>
          <w:bCs w:val="0"/>
          <w:sz w:val="21"/>
          <w:szCs w:val="21"/>
          <w:highlight w:val="none"/>
        </w:rPr>
        <w:t>。</w:t>
      </w:r>
      <w:r>
        <w:rPr>
          <w:rFonts w:hint="eastAsia" w:ascii="宋体" w:hAnsi="宋体" w:eastAsia="宋体" w:cs="宋体"/>
          <w:b/>
          <w:sz w:val="21"/>
          <w:szCs w:val="21"/>
        </w:rPr>
        <w:t xml:space="preserve"> </w:t>
      </w:r>
    </w:p>
    <w:p w14:paraId="1D8EAFC7">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 xml:space="preserve">第五条 考核方式 </w:t>
      </w:r>
    </w:p>
    <w:p w14:paraId="33F886B5">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对供应商采用日常考核、月度考核及年度考核的动态考核评价机制。</w:t>
      </w:r>
    </w:p>
    <w:p w14:paraId="74B7A3A9">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（一）日常考核</w:t>
      </w:r>
    </w:p>
    <w:p w14:paraId="77A38009">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各单位食堂管理办公室根据供应商的每日配送情况进行日常考核，仓管员和验收员按照《食堂物资供应商供货异常情况登记表》的要求，对供货异常情况（分为质量、时间、服务、价格、其他共五大类）进行逐一登记。日常考核将作为月度考核和年度考核的重要依据。</w:t>
      </w:r>
    </w:p>
    <w:p w14:paraId="68F3B63C">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日常考核由仓管员和验收员具体负责，评价小组成员负责监督。</w:t>
      </w:r>
    </w:p>
    <w:p w14:paraId="2988625A">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（二）月度考评</w:t>
      </w:r>
    </w:p>
    <w:p w14:paraId="47E0587C">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月度考评采用量化评分方式进行。每月5日前根据上月的日常考核结果进行汇总，按照《服务供应商考核评分细则》进行月度考评。考评采用百分制。</w:t>
      </w:r>
    </w:p>
    <w:p w14:paraId="46912F81">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月度考核由评价小组负责。</w:t>
      </w:r>
    </w:p>
    <w:p w14:paraId="440415BE">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（三）年度考评（合同期考评）</w:t>
      </w:r>
    </w:p>
    <w:p w14:paraId="01DBB2EF">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考评小组根据日常考核及月度考评的结果，对合同期内月度考核评分进行汇总统计，对供应商每年进行一次总评。并将考核评价结果报单位领导批准后进行公示。</w:t>
      </w:r>
    </w:p>
    <w:p w14:paraId="3EDD9A21">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年度考核由评价小组负责。</w:t>
      </w:r>
    </w:p>
    <w:p w14:paraId="07B8D504">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jc w:val="center"/>
        <w:textAlignment w:val="auto"/>
        <w:rPr>
          <w:rFonts w:hint="eastAsia" w:ascii="宋体" w:hAnsi="宋体" w:eastAsia="宋体" w:cs="宋体"/>
          <w:b/>
          <w:sz w:val="21"/>
          <w:szCs w:val="21"/>
          <w:highlight w:val="none"/>
        </w:rPr>
      </w:pPr>
      <w:r>
        <w:rPr>
          <w:rFonts w:hint="eastAsia" w:ascii="宋体" w:hAnsi="宋体" w:eastAsia="宋体" w:cs="宋体"/>
          <w:b/>
          <w:sz w:val="21"/>
          <w:szCs w:val="21"/>
          <w:highlight w:val="none"/>
        </w:rPr>
        <w:t xml:space="preserve">第六条 供应商退出 </w:t>
      </w:r>
    </w:p>
    <w:p w14:paraId="664F2199">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sz w:val="21"/>
          <w:szCs w:val="21"/>
          <w:highlight w:val="none"/>
        </w:rPr>
        <w:t>供应商在合同执行期间，出现以下行为情况之一者，经查属实的，</w:t>
      </w:r>
      <w:r>
        <w:rPr>
          <w:rFonts w:hint="eastAsia" w:ascii="宋体" w:hAnsi="宋体" w:eastAsia="宋体" w:cs="宋体"/>
          <w:sz w:val="21"/>
          <w:szCs w:val="21"/>
          <w:highlight w:val="none"/>
          <w:lang w:val="en-US" w:eastAsia="zh-CN"/>
        </w:rPr>
        <w:t>甲方有权依法依规</w:t>
      </w:r>
      <w:r>
        <w:rPr>
          <w:rFonts w:hint="eastAsia" w:ascii="宋体" w:hAnsi="宋体" w:eastAsia="宋体" w:cs="宋体"/>
          <w:sz w:val="21"/>
          <w:szCs w:val="21"/>
          <w:highlight w:val="none"/>
        </w:rPr>
        <w:t>解除服务合作关系：</w:t>
      </w:r>
    </w:p>
    <w:p w14:paraId="15D940E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1、弄虚作假、隐瞒真实情况骗取</w:t>
      </w:r>
      <w:r>
        <w:rPr>
          <w:rFonts w:hint="eastAsia" w:ascii="宋体" w:hAnsi="宋体" w:eastAsia="宋体" w:cs="宋体"/>
          <w:sz w:val="21"/>
          <w:szCs w:val="21"/>
          <w:highlight w:val="none"/>
          <w:lang w:val="en-US" w:eastAsia="zh-CN"/>
        </w:rPr>
        <w:t>中标</w:t>
      </w:r>
      <w:r>
        <w:rPr>
          <w:rFonts w:hint="eastAsia" w:ascii="宋体" w:hAnsi="宋体" w:eastAsia="宋体" w:cs="宋体"/>
          <w:sz w:val="21"/>
          <w:szCs w:val="21"/>
          <w:highlight w:val="none"/>
        </w:rPr>
        <w:t>资格的；</w:t>
      </w:r>
    </w:p>
    <w:p w14:paraId="0E0BF1F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2、因行贿、受贿、串通投标、转包、挂靠受到有关政府部门处罚的；</w:t>
      </w:r>
    </w:p>
    <w:p w14:paraId="4800C6F4">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、造成严重后果或恶劣影响的行为；</w:t>
      </w:r>
    </w:p>
    <w:p w14:paraId="057ACBD8">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、有商业贿赂行为的；</w:t>
      </w:r>
    </w:p>
    <w:p w14:paraId="6AE76C1F">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 xml:space="preserve"> 、全国范围内发生配送食品安全事故的；</w:t>
      </w:r>
    </w:p>
    <w:p w14:paraId="4135EE3C">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、其他违反法律、法规和协议规定的行为</w:t>
      </w:r>
      <w:r>
        <w:rPr>
          <w:rFonts w:hint="eastAsia" w:ascii="宋体" w:hAnsi="宋体" w:eastAsia="宋体" w:cs="宋体"/>
          <w:sz w:val="21"/>
          <w:szCs w:val="21"/>
          <w:highlight w:val="none"/>
          <w:lang w:eastAsia="zh-CN"/>
        </w:rPr>
        <w:t>；</w:t>
      </w:r>
    </w:p>
    <w:p w14:paraId="109F9451">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、选定后无正当理由不与</w:t>
      </w:r>
      <w:r>
        <w:rPr>
          <w:rFonts w:hint="eastAsia" w:ascii="宋体" w:hAnsi="宋体" w:eastAsia="宋体" w:cs="宋体"/>
          <w:sz w:val="21"/>
          <w:szCs w:val="21"/>
          <w:highlight w:val="none"/>
          <w:lang w:eastAsia="zh-CN"/>
        </w:rPr>
        <w:t>甲方</w:t>
      </w:r>
      <w:r>
        <w:rPr>
          <w:rFonts w:hint="eastAsia" w:ascii="宋体" w:hAnsi="宋体" w:eastAsia="宋体" w:cs="宋体"/>
          <w:sz w:val="21"/>
          <w:szCs w:val="21"/>
          <w:highlight w:val="none"/>
        </w:rPr>
        <w:t>签订合同的；</w:t>
      </w:r>
    </w:p>
    <w:p w14:paraId="041EFA34">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、擅自变更或者中止采购服务合同的；</w:t>
      </w:r>
    </w:p>
    <w:p w14:paraId="17C9C64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、经</w:t>
      </w:r>
      <w:r>
        <w:rPr>
          <w:rFonts w:hint="eastAsia" w:ascii="宋体" w:hAnsi="宋体" w:eastAsia="宋体" w:cs="宋体"/>
          <w:sz w:val="21"/>
          <w:szCs w:val="21"/>
          <w:highlight w:val="none"/>
          <w:lang w:eastAsia="zh-CN"/>
        </w:rPr>
        <w:t>甲方</w:t>
      </w:r>
      <w:r>
        <w:rPr>
          <w:rFonts w:hint="eastAsia" w:ascii="宋体" w:hAnsi="宋体" w:eastAsia="宋体" w:cs="宋体"/>
          <w:sz w:val="21"/>
          <w:szCs w:val="21"/>
          <w:highlight w:val="none"/>
        </w:rPr>
        <w:t>食堂所在单位每月对《服务供应商月度考核评价表》进行打分，得分低于80</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不含80</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分</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或连续三个月得分低于85（不含85）分的</w:t>
      </w:r>
      <w:r>
        <w:rPr>
          <w:rFonts w:hint="eastAsia" w:ascii="宋体" w:hAnsi="宋体" w:eastAsia="宋体" w:cs="宋体"/>
          <w:sz w:val="21"/>
          <w:szCs w:val="21"/>
          <w:highlight w:val="none"/>
        </w:rPr>
        <w:t>；</w:t>
      </w:r>
    </w:p>
    <w:p w14:paraId="588FE107">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10</w:t>
      </w:r>
      <w:r>
        <w:rPr>
          <w:rFonts w:hint="eastAsia" w:ascii="宋体" w:hAnsi="宋体" w:eastAsia="宋体" w:cs="宋体"/>
          <w:sz w:val="21"/>
          <w:szCs w:val="21"/>
          <w:highlight w:val="none"/>
        </w:rPr>
        <w:t>、违背《服务承诺函》承诺事项的。</w:t>
      </w:r>
    </w:p>
    <w:p w14:paraId="79FDA641">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第七条 供应商考评资料存档</w:t>
      </w:r>
    </w:p>
    <w:p w14:paraId="00494B24">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供应商考评完成后，由各单位食堂对相关供应商档案（包括基础资料、交易记录和考核资料等）进行建立、收集、整理和归档，以备日后查阅。</w:t>
      </w:r>
    </w:p>
    <w:p w14:paraId="54EE0B68">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b/>
          <w:sz w:val="21"/>
          <w:szCs w:val="21"/>
        </w:rPr>
        <w:t>第八条 实施日期</w:t>
      </w:r>
    </w:p>
    <w:p w14:paraId="3187B506">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本办法自公布之日起实施，最终解释权归深圳市公安局龙华分局所有。</w:t>
      </w:r>
    </w:p>
    <w:p w14:paraId="5A89A6B1">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附件1：食堂物资供应商供货异常情况登记表</w:t>
      </w:r>
    </w:p>
    <w:p w14:paraId="05C1C9BA">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附件2：服务供应商考核评分细则</w:t>
      </w:r>
    </w:p>
    <w:p w14:paraId="452FDEE3">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 </w:t>
      </w:r>
    </w:p>
    <w:p w14:paraId="7D2B14AB">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b/>
          <w:bCs/>
          <w:sz w:val="21"/>
          <w:szCs w:val="21"/>
        </w:rPr>
        <w:t>附件1：食堂物资供应商供货异常情况登记表</w:t>
      </w:r>
    </w:p>
    <w:p w14:paraId="0E385B50">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说明：履约异常情况分为质量、时间、服务、价格、其他共五类，请首先在对应的类别前打“√”，然后在“具体情况”一栏详细说明情况。本表格一式两联，供应商及收货方各执一联。</w:t>
      </w:r>
    </w:p>
    <w:tbl>
      <w:tblPr>
        <w:tblStyle w:val="44"/>
        <w:tblW w:w="8390" w:type="dxa"/>
        <w:tblInd w:w="2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920"/>
        <w:gridCol w:w="2015"/>
        <w:gridCol w:w="2265"/>
        <w:gridCol w:w="2190"/>
      </w:tblGrid>
      <w:tr w14:paraId="7F3F355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1920" w:type="dxa"/>
            <w:tcBorders>
              <w:top w:val="single" w:color="auto" w:sz="4" w:space="0"/>
              <w:left w:val="single" w:color="auto" w:sz="4" w:space="0"/>
              <w:bottom w:val="single" w:color="auto" w:sz="4" w:space="0"/>
              <w:right w:val="single" w:color="auto" w:sz="4" w:space="0"/>
            </w:tcBorders>
            <w:noWrap w:val="0"/>
            <w:vAlign w:val="center"/>
          </w:tcPr>
          <w:p w14:paraId="3039B2F2">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供应商名称</w:t>
            </w:r>
          </w:p>
        </w:tc>
        <w:tc>
          <w:tcPr>
            <w:tcW w:w="2015" w:type="dxa"/>
            <w:tcBorders>
              <w:top w:val="single" w:color="auto" w:sz="4" w:space="0"/>
              <w:left w:val="single" w:color="auto" w:sz="4" w:space="0"/>
              <w:bottom w:val="single" w:color="auto" w:sz="4" w:space="0"/>
              <w:right w:val="single" w:color="auto" w:sz="4" w:space="0"/>
            </w:tcBorders>
            <w:noWrap w:val="0"/>
            <w:vAlign w:val="center"/>
          </w:tcPr>
          <w:p w14:paraId="2C11783B">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14:paraId="1A8197CF">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联系人及电话</w:t>
            </w:r>
          </w:p>
        </w:tc>
        <w:tc>
          <w:tcPr>
            <w:tcW w:w="2190" w:type="dxa"/>
            <w:tcBorders>
              <w:top w:val="single" w:color="auto" w:sz="4" w:space="0"/>
              <w:left w:val="single" w:color="auto" w:sz="4" w:space="0"/>
              <w:bottom w:val="single" w:color="auto" w:sz="4" w:space="0"/>
              <w:right w:val="single" w:color="auto" w:sz="4" w:space="0"/>
            </w:tcBorders>
            <w:noWrap w:val="0"/>
            <w:vAlign w:val="center"/>
          </w:tcPr>
          <w:p w14:paraId="26D54B52">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25A1038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90" w:hRule="atLeast"/>
        </w:trPr>
        <w:tc>
          <w:tcPr>
            <w:tcW w:w="1920" w:type="dxa"/>
            <w:tcBorders>
              <w:top w:val="single" w:color="auto" w:sz="4" w:space="0"/>
              <w:left w:val="single" w:color="auto" w:sz="4" w:space="0"/>
              <w:bottom w:val="single" w:color="auto" w:sz="4" w:space="0"/>
              <w:right w:val="single" w:color="auto" w:sz="4" w:space="0"/>
            </w:tcBorders>
            <w:noWrap w:val="0"/>
            <w:vAlign w:val="center"/>
          </w:tcPr>
          <w:p w14:paraId="5386F36B">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送货地点</w:t>
            </w:r>
          </w:p>
        </w:tc>
        <w:tc>
          <w:tcPr>
            <w:tcW w:w="2015" w:type="dxa"/>
            <w:tcBorders>
              <w:top w:val="single" w:color="auto" w:sz="4" w:space="0"/>
              <w:left w:val="single" w:color="auto" w:sz="4" w:space="0"/>
              <w:bottom w:val="single" w:color="auto" w:sz="4" w:space="0"/>
              <w:right w:val="single" w:color="auto" w:sz="4" w:space="0"/>
            </w:tcBorders>
            <w:noWrap w:val="0"/>
            <w:vAlign w:val="center"/>
          </w:tcPr>
          <w:p w14:paraId="30AD9FB1">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p w14:paraId="5DB4216F">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14:paraId="36EF501C">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送货时间</w:t>
            </w:r>
          </w:p>
        </w:tc>
        <w:tc>
          <w:tcPr>
            <w:tcW w:w="2190" w:type="dxa"/>
            <w:tcBorders>
              <w:top w:val="single" w:color="auto" w:sz="4" w:space="0"/>
              <w:left w:val="single" w:color="auto" w:sz="4" w:space="0"/>
              <w:bottom w:val="single" w:color="auto" w:sz="4" w:space="0"/>
              <w:right w:val="single" w:color="auto" w:sz="4" w:space="0"/>
            </w:tcBorders>
            <w:noWrap w:val="0"/>
            <w:vAlign w:val="center"/>
          </w:tcPr>
          <w:p w14:paraId="79947A6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年    月    日</w:t>
            </w:r>
          </w:p>
        </w:tc>
      </w:tr>
      <w:tr w14:paraId="38313A3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c>
          <w:tcPr>
            <w:tcW w:w="1920" w:type="dxa"/>
            <w:tcBorders>
              <w:top w:val="single" w:color="auto" w:sz="4" w:space="0"/>
              <w:left w:val="single" w:color="auto" w:sz="4" w:space="0"/>
              <w:bottom w:val="single" w:color="auto" w:sz="4" w:space="0"/>
              <w:right w:val="single" w:color="auto" w:sz="4" w:space="0"/>
            </w:tcBorders>
            <w:noWrap w:val="0"/>
            <w:vAlign w:val="center"/>
          </w:tcPr>
          <w:p w14:paraId="3CFB358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异常情况类别</w:t>
            </w:r>
          </w:p>
        </w:tc>
        <w:tc>
          <w:tcPr>
            <w:tcW w:w="6470" w:type="dxa"/>
            <w:gridSpan w:val="3"/>
            <w:tcBorders>
              <w:top w:val="single" w:color="auto" w:sz="4" w:space="0"/>
              <w:left w:val="single" w:color="auto" w:sz="4" w:space="0"/>
              <w:bottom w:val="single" w:color="auto" w:sz="4" w:space="0"/>
              <w:right w:val="single" w:color="auto" w:sz="4" w:space="0"/>
            </w:tcBorders>
            <w:noWrap w:val="0"/>
            <w:vAlign w:val="center"/>
          </w:tcPr>
          <w:p w14:paraId="73FEC3A7">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Wingdings 2" w:hAnsi="Wingdings 2" w:eastAsia="宋体" w:cs="宋体"/>
                <w:sz w:val="21"/>
                <w:szCs w:val="21"/>
              </w:rPr>
              <w:t>£</w:t>
            </w:r>
            <w:r>
              <w:rPr>
                <w:rFonts w:hint="eastAsia" w:ascii="宋体" w:hAnsi="宋体" w:eastAsia="宋体" w:cs="宋体"/>
                <w:sz w:val="21"/>
                <w:szCs w:val="21"/>
              </w:rPr>
              <w:t xml:space="preserve">质量      </w:t>
            </w:r>
            <w:r>
              <w:rPr>
                <w:rFonts w:hint="eastAsia" w:ascii="Wingdings 2" w:hAnsi="Wingdings 2" w:eastAsia="宋体" w:cs="宋体"/>
                <w:sz w:val="21"/>
                <w:szCs w:val="21"/>
              </w:rPr>
              <w:t>£</w:t>
            </w:r>
            <w:r>
              <w:rPr>
                <w:rFonts w:hint="eastAsia" w:ascii="宋体" w:hAnsi="宋体" w:eastAsia="宋体" w:cs="宋体"/>
                <w:sz w:val="21"/>
                <w:szCs w:val="21"/>
              </w:rPr>
              <w:t xml:space="preserve">时间       </w:t>
            </w:r>
            <w:r>
              <w:rPr>
                <w:rFonts w:hint="eastAsia" w:ascii="Wingdings 2" w:hAnsi="Wingdings 2" w:eastAsia="宋体" w:cs="宋体"/>
                <w:sz w:val="21"/>
                <w:szCs w:val="21"/>
              </w:rPr>
              <w:t>£</w:t>
            </w:r>
            <w:r>
              <w:rPr>
                <w:rFonts w:hint="eastAsia" w:ascii="宋体" w:hAnsi="宋体" w:eastAsia="宋体" w:cs="宋体"/>
                <w:sz w:val="21"/>
                <w:szCs w:val="21"/>
              </w:rPr>
              <w:t xml:space="preserve">服务       </w:t>
            </w:r>
            <w:r>
              <w:rPr>
                <w:rFonts w:hint="eastAsia" w:ascii="Wingdings 2" w:hAnsi="Wingdings 2" w:eastAsia="宋体" w:cs="宋体"/>
                <w:sz w:val="21"/>
                <w:szCs w:val="21"/>
              </w:rPr>
              <w:t>£</w:t>
            </w:r>
            <w:r>
              <w:rPr>
                <w:rFonts w:hint="eastAsia" w:ascii="宋体" w:hAnsi="宋体" w:eastAsia="宋体" w:cs="宋体"/>
                <w:sz w:val="21"/>
                <w:szCs w:val="21"/>
              </w:rPr>
              <w:t xml:space="preserve">价格      </w:t>
            </w:r>
            <w:r>
              <w:rPr>
                <w:rFonts w:hint="eastAsia" w:ascii="Wingdings 2" w:hAnsi="Wingdings 2" w:eastAsia="宋体" w:cs="宋体"/>
                <w:sz w:val="21"/>
                <w:szCs w:val="21"/>
              </w:rPr>
              <w:t>£</w:t>
            </w:r>
            <w:r>
              <w:rPr>
                <w:rFonts w:hint="eastAsia" w:ascii="宋体" w:hAnsi="宋体" w:eastAsia="宋体" w:cs="宋体"/>
                <w:sz w:val="21"/>
                <w:szCs w:val="21"/>
              </w:rPr>
              <w:t>其他</w:t>
            </w:r>
          </w:p>
        </w:tc>
      </w:tr>
      <w:tr w14:paraId="2664A85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341" w:hRule="atLeast"/>
        </w:trPr>
        <w:tc>
          <w:tcPr>
            <w:tcW w:w="1920" w:type="dxa"/>
            <w:tcBorders>
              <w:top w:val="single" w:color="auto" w:sz="4" w:space="0"/>
              <w:left w:val="single" w:color="auto" w:sz="4" w:space="0"/>
              <w:bottom w:val="single" w:color="auto" w:sz="4" w:space="0"/>
              <w:right w:val="single" w:color="auto" w:sz="4" w:space="0"/>
            </w:tcBorders>
            <w:noWrap w:val="0"/>
            <w:vAlign w:val="center"/>
          </w:tcPr>
          <w:p w14:paraId="11D9A0B4">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具体情况</w:t>
            </w:r>
          </w:p>
        </w:tc>
        <w:tc>
          <w:tcPr>
            <w:tcW w:w="6470" w:type="dxa"/>
            <w:gridSpan w:val="3"/>
            <w:tcBorders>
              <w:top w:val="single" w:color="auto" w:sz="4" w:space="0"/>
              <w:left w:val="single" w:color="auto" w:sz="4" w:space="0"/>
              <w:bottom w:val="single" w:color="auto" w:sz="4" w:space="0"/>
              <w:right w:val="single" w:color="auto" w:sz="4" w:space="0"/>
            </w:tcBorders>
            <w:noWrap w:val="0"/>
            <w:vAlign w:val="top"/>
          </w:tcPr>
          <w:p w14:paraId="3FD1EB3D">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p w14:paraId="6FC3E5A5">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p w14:paraId="5655E328">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p w14:paraId="1253D667">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p w14:paraId="33C970F1">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p w14:paraId="5A3C1A92">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r>
      <w:tr w14:paraId="4B26C8C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1920" w:type="dxa"/>
            <w:tcBorders>
              <w:top w:val="single" w:color="auto" w:sz="4" w:space="0"/>
              <w:left w:val="single" w:color="auto" w:sz="4" w:space="0"/>
              <w:bottom w:val="single" w:color="auto" w:sz="4" w:space="0"/>
              <w:right w:val="single" w:color="auto" w:sz="4" w:space="0"/>
            </w:tcBorders>
            <w:noWrap w:val="0"/>
            <w:vAlign w:val="center"/>
          </w:tcPr>
          <w:p w14:paraId="71161CBF">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收货方签名</w:t>
            </w:r>
          </w:p>
        </w:tc>
        <w:tc>
          <w:tcPr>
            <w:tcW w:w="2015" w:type="dxa"/>
            <w:tcBorders>
              <w:top w:val="single" w:color="auto" w:sz="4" w:space="0"/>
              <w:left w:val="single" w:color="auto" w:sz="4" w:space="0"/>
              <w:bottom w:val="single" w:color="auto" w:sz="4" w:space="0"/>
              <w:right w:val="single" w:color="auto" w:sz="4" w:space="0"/>
            </w:tcBorders>
            <w:noWrap w:val="0"/>
            <w:vAlign w:val="center"/>
          </w:tcPr>
          <w:p w14:paraId="33B2D5B3">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2265" w:type="dxa"/>
            <w:tcBorders>
              <w:top w:val="single" w:color="auto" w:sz="4" w:space="0"/>
              <w:left w:val="single" w:color="auto" w:sz="4" w:space="0"/>
              <w:bottom w:val="single" w:color="auto" w:sz="4" w:space="0"/>
              <w:right w:val="single" w:color="auto" w:sz="4" w:space="0"/>
            </w:tcBorders>
            <w:noWrap w:val="0"/>
            <w:vAlign w:val="center"/>
          </w:tcPr>
          <w:p w14:paraId="26A8BE26">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供货负责人签名</w:t>
            </w:r>
          </w:p>
        </w:tc>
        <w:tc>
          <w:tcPr>
            <w:tcW w:w="2190" w:type="dxa"/>
            <w:tcBorders>
              <w:top w:val="single" w:color="auto" w:sz="4" w:space="0"/>
              <w:left w:val="single" w:color="auto" w:sz="4" w:space="0"/>
              <w:bottom w:val="single" w:color="auto" w:sz="4" w:space="0"/>
              <w:right w:val="single" w:color="auto" w:sz="4" w:space="0"/>
            </w:tcBorders>
            <w:noWrap w:val="0"/>
            <w:vAlign w:val="center"/>
          </w:tcPr>
          <w:p w14:paraId="7C0433A4">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r>
    </w:tbl>
    <w:p w14:paraId="2EC53C0A">
      <w:pPr>
        <w:keepNext w:val="0"/>
        <w:keepLines w:val="0"/>
        <w:pageBreakBefore w:val="0"/>
        <w:kinsoku/>
        <w:wordWrap/>
        <w:overflowPunct/>
        <w:topLinePunct w:val="0"/>
        <w:autoSpaceDN/>
        <w:bidi w:val="0"/>
        <w:adjustRightInd w:val="0"/>
        <w:snapToGrid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附件2：   </w:t>
      </w:r>
    </w:p>
    <w:p w14:paraId="1D41304D">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 xml:space="preserve">服务供应商月度考核得分表 </w:t>
      </w:r>
    </w:p>
    <w:tbl>
      <w:tblPr>
        <w:tblStyle w:val="44"/>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574"/>
        <w:gridCol w:w="672"/>
        <w:gridCol w:w="5775"/>
        <w:gridCol w:w="556"/>
        <w:gridCol w:w="476"/>
      </w:tblGrid>
      <w:tr w14:paraId="0289A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tcBorders>
              <w:top w:val="single" w:color="auto" w:sz="4" w:space="0"/>
              <w:left w:val="single" w:color="auto" w:sz="4" w:space="0"/>
              <w:bottom w:val="single" w:color="auto" w:sz="4" w:space="0"/>
              <w:right w:val="single" w:color="auto" w:sz="4" w:space="0"/>
            </w:tcBorders>
            <w:noWrap w:val="0"/>
            <w:vAlign w:val="center"/>
          </w:tcPr>
          <w:p w14:paraId="230C86D8">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序号</w:t>
            </w:r>
          </w:p>
        </w:tc>
        <w:tc>
          <w:tcPr>
            <w:tcW w:w="574" w:type="dxa"/>
            <w:tcBorders>
              <w:top w:val="single" w:color="auto" w:sz="4" w:space="0"/>
              <w:left w:val="single" w:color="auto" w:sz="4" w:space="0"/>
              <w:bottom w:val="single" w:color="auto" w:sz="4" w:space="0"/>
              <w:right w:val="single" w:color="auto" w:sz="4" w:space="0"/>
            </w:tcBorders>
            <w:noWrap w:val="0"/>
            <w:vAlign w:val="center"/>
          </w:tcPr>
          <w:p w14:paraId="1D10852B">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类别</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63461EEF">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内容</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2877F115">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评分细则</w:t>
            </w:r>
          </w:p>
        </w:tc>
        <w:tc>
          <w:tcPr>
            <w:tcW w:w="556" w:type="dxa"/>
            <w:tcBorders>
              <w:top w:val="single" w:color="auto" w:sz="4" w:space="0"/>
              <w:left w:val="single" w:color="auto" w:sz="4" w:space="0"/>
              <w:bottom w:val="single" w:color="auto" w:sz="4" w:space="0"/>
              <w:right w:val="single" w:color="auto" w:sz="4" w:space="0"/>
            </w:tcBorders>
            <w:noWrap w:val="0"/>
            <w:vAlign w:val="center"/>
          </w:tcPr>
          <w:p w14:paraId="3A25A83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分值</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2636FC8D">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b/>
                <w:sz w:val="21"/>
                <w:szCs w:val="21"/>
              </w:rPr>
            </w:pPr>
            <w:r>
              <w:rPr>
                <w:rFonts w:hint="eastAsia" w:ascii="宋体" w:hAnsi="宋体" w:eastAsia="宋体" w:cs="宋体"/>
                <w:b/>
                <w:sz w:val="21"/>
                <w:szCs w:val="21"/>
              </w:rPr>
              <w:t>得分</w:t>
            </w:r>
          </w:p>
        </w:tc>
      </w:tr>
      <w:tr w14:paraId="0083D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tcBorders>
              <w:top w:val="single" w:color="auto" w:sz="4" w:space="0"/>
              <w:left w:val="single" w:color="auto" w:sz="4" w:space="0"/>
              <w:bottom w:val="single" w:color="auto" w:sz="4" w:space="0"/>
              <w:right w:val="single" w:color="auto" w:sz="4" w:space="0"/>
            </w:tcBorders>
            <w:noWrap w:val="0"/>
            <w:vAlign w:val="center"/>
          </w:tcPr>
          <w:p w14:paraId="6064FCE7">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574" w:type="dxa"/>
            <w:tcBorders>
              <w:top w:val="single" w:color="auto" w:sz="4" w:space="0"/>
              <w:left w:val="single" w:color="auto" w:sz="4" w:space="0"/>
              <w:bottom w:val="single" w:color="auto" w:sz="4" w:space="0"/>
              <w:right w:val="single" w:color="auto" w:sz="4" w:space="0"/>
            </w:tcBorders>
            <w:noWrap w:val="0"/>
            <w:vAlign w:val="center"/>
          </w:tcPr>
          <w:p w14:paraId="51285A20">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价格方面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38AC6D25">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价格执行情况</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77B62B36">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依时报价（每月20日前），建立完善的报价机制；报价是否合理；是否存在临时补货物品价格虚高的情况；是否存在对账单价格乱报、错报等的情况；是否存在月度结算对账不及时情况。每发现1次，扣2分，累计最高扣分5分。</w:t>
            </w:r>
          </w:p>
        </w:tc>
        <w:tc>
          <w:tcPr>
            <w:tcW w:w="556" w:type="dxa"/>
            <w:tcBorders>
              <w:top w:val="single" w:color="auto" w:sz="4" w:space="0"/>
              <w:left w:val="single" w:color="auto" w:sz="4" w:space="0"/>
              <w:bottom w:val="single" w:color="auto" w:sz="4" w:space="0"/>
              <w:right w:val="single" w:color="auto" w:sz="4" w:space="0"/>
            </w:tcBorders>
            <w:noWrap w:val="0"/>
            <w:vAlign w:val="center"/>
          </w:tcPr>
          <w:p w14:paraId="06C1E569">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13DDAB1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10390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476" w:type="dxa"/>
            <w:vMerge w:val="restart"/>
            <w:tcBorders>
              <w:top w:val="nil"/>
              <w:left w:val="single" w:color="auto" w:sz="4" w:space="0"/>
              <w:bottom w:val="single" w:color="auto" w:sz="4" w:space="0"/>
              <w:right w:val="single" w:color="auto" w:sz="4" w:space="0"/>
            </w:tcBorders>
            <w:noWrap w:val="0"/>
            <w:vAlign w:val="center"/>
          </w:tcPr>
          <w:p w14:paraId="0F61D421">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574" w:type="dxa"/>
            <w:vMerge w:val="restart"/>
            <w:tcBorders>
              <w:top w:val="nil"/>
              <w:left w:val="single" w:color="auto" w:sz="4" w:space="0"/>
              <w:bottom w:val="single" w:color="auto" w:sz="4" w:space="0"/>
              <w:right w:val="single" w:color="auto" w:sz="4" w:space="0"/>
            </w:tcBorders>
            <w:noWrap w:val="0"/>
            <w:vAlign w:val="center"/>
          </w:tcPr>
          <w:p w14:paraId="3233C4AB">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质量方面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6FD0BE39">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物品质量</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4646B2DF">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配送物品是否存在霉烂、变质、过期、破损等不符质量要求的情况；是否存在以次充好达不到采购方要求的情况。每发现1次扣5分，累计每月最高扣分15分。</w:t>
            </w:r>
          </w:p>
        </w:tc>
        <w:tc>
          <w:tcPr>
            <w:tcW w:w="556" w:type="dxa"/>
            <w:vMerge w:val="restart"/>
            <w:tcBorders>
              <w:top w:val="nil"/>
              <w:left w:val="single" w:color="auto" w:sz="4" w:space="0"/>
              <w:bottom w:val="single" w:color="auto" w:sz="4" w:space="0"/>
              <w:right w:val="single" w:color="auto" w:sz="4" w:space="0"/>
            </w:tcBorders>
            <w:noWrap w:val="0"/>
            <w:vAlign w:val="center"/>
          </w:tcPr>
          <w:p w14:paraId="167EA991">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5C5B1AA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7E804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215B022B">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7C49AB3B">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77B2030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食品检测</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3F270E74">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采购方对配送物品进行食品安全检测，每发现1项不合格的，直接扣10分。</w:t>
            </w:r>
          </w:p>
        </w:tc>
        <w:tc>
          <w:tcPr>
            <w:tcW w:w="556" w:type="dxa"/>
            <w:vMerge w:val="continue"/>
            <w:tcBorders>
              <w:top w:val="nil"/>
              <w:left w:val="single" w:color="auto" w:sz="4" w:space="0"/>
              <w:bottom w:val="single" w:color="auto" w:sz="4" w:space="0"/>
              <w:right w:val="single" w:color="auto" w:sz="4" w:space="0"/>
            </w:tcBorders>
            <w:noWrap w:val="0"/>
            <w:vAlign w:val="center"/>
          </w:tcPr>
          <w:p w14:paraId="66697F5E">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vMerge w:val="restart"/>
            <w:tcBorders>
              <w:top w:val="nil"/>
              <w:left w:val="single" w:color="auto" w:sz="4" w:space="0"/>
              <w:bottom w:val="single" w:color="auto" w:sz="4" w:space="0"/>
              <w:right w:val="single" w:color="auto" w:sz="4" w:space="0"/>
            </w:tcBorders>
            <w:noWrap w:val="0"/>
            <w:vAlign w:val="center"/>
          </w:tcPr>
          <w:p w14:paraId="2B9F9C32">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279C5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25B072A5">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6C094CC9">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7442767C">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索证制度</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6E6FAFC0">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是否建立相应的追踪深渊体系，专门台账档案；是否有清晰的货物来源或产地；是否及时提供相关的票、据、证等材料。每发现1次扣5分，累计每月最高扣分5分。</w:t>
            </w:r>
          </w:p>
        </w:tc>
        <w:tc>
          <w:tcPr>
            <w:tcW w:w="556" w:type="dxa"/>
            <w:vMerge w:val="continue"/>
            <w:tcBorders>
              <w:top w:val="nil"/>
              <w:left w:val="single" w:color="auto" w:sz="4" w:space="0"/>
              <w:bottom w:val="single" w:color="auto" w:sz="4" w:space="0"/>
              <w:right w:val="single" w:color="auto" w:sz="4" w:space="0"/>
            </w:tcBorders>
            <w:noWrap w:val="0"/>
            <w:vAlign w:val="center"/>
          </w:tcPr>
          <w:p w14:paraId="2FF454D9">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vMerge w:val="continue"/>
            <w:tcBorders>
              <w:top w:val="nil"/>
              <w:left w:val="single" w:color="auto" w:sz="4" w:space="0"/>
              <w:bottom w:val="single" w:color="auto" w:sz="4" w:space="0"/>
              <w:right w:val="single" w:color="auto" w:sz="4" w:space="0"/>
            </w:tcBorders>
            <w:noWrap w:val="0"/>
            <w:vAlign w:val="center"/>
          </w:tcPr>
          <w:p w14:paraId="32D81143">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r>
      <w:tr w14:paraId="018BE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tcBorders>
              <w:top w:val="single" w:color="auto" w:sz="4" w:space="0"/>
              <w:left w:val="single" w:color="auto" w:sz="4" w:space="0"/>
              <w:bottom w:val="single" w:color="auto" w:sz="4" w:space="0"/>
              <w:right w:val="single" w:color="auto" w:sz="4" w:space="0"/>
            </w:tcBorders>
            <w:noWrap w:val="0"/>
            <w:vAlign w:val="center"/>
          </w:tcPr>
          <w:p w14:paraId="48EF73EF">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574" w:type="dxa"/>
            <w:tcBorders>
              <w:top w:val="single" w:color="auto" w:sz="4" w:space="0"/>
              <w:left w:val="single" w:color="auto" w:sz="4" w:space="0"/>
              <w:bottom w:val="single" w:color="auto" w:sz="4" w:space="0"/>
              <w:right w:val="single" w:color="auto" w:sz="4" w:space="0"/>
            </w:tcBorders>
            <w:noWrap w:val="0"/>
            <w:vAlign w:val="center"/>
          </w:tcPr>
          <w:p w14:paraId="1B28A984">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数量方面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7F144A65">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物品数量</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5D0AC47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若是否存在缺斤少两的情况；是否按照采购方订单品种和数量进行配送物品。与订单数量相差10%，扣2分；相差20%，扣5分；相差30%，扣10分；与订单品种每相差1个，扣1分；累计每月最高扣分10分。</w:t>
            </w:r>
          </w:p>
        </w:tc>
        <w:tc>
          <w:tcPr>
            <w:tcW w:w="556" w:type="dxa"/>
            <w:tcBorders>
              <w:top w:val="single" w:color="auto" w:sz="4" w:space="0"/>
              <w:left w:val="single" w:color="auto" w:sz="4" w:space="0"/>
              <w:bottom w:val="single" w:color="auto" w:sz="4" w:space="0"/>
              <w:right w:val="single" w:color="auto" w:sz="4" w:space="0"/>
            </w:tcBorders>
            <w:noWrap w:val="0"/>
            <w:vAlign w:val="center"/>
          </w:tcPr>
          <w:p w14:paraId="2AAC7AE0">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2B254319">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26EBE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restart"/>
            <w:tcBorders>
              <w:top w:val="nil"/>
              <w:left w:val="single" w:color="auto" w:sz="4" w:space="0"/>
              <w:bottom w:val="single" w:color="auto" w:sz="4" w:space="0"/>
              <w:right w:val="single" w:color="auto" w:sz="4" w:space="0"/>
            </w:tcBorders>
            <w:noWrap w:val="0"/>
            <w:vAlign w:val="center"/>
          </w:tcPr>
          <w:p w14:paraId="0CE13DF5">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574" w:type="dxa"/>
            <w:vMerge w:val="restart"/>
            <w:tcBorders>
              <w:top w:val="nil"/>
              <w:left w:val="single" w:color="auto" w:sz="4" w:space="0"/>
              <w:bottom w:val="single" w:color="auto" w:sz="4" w:space="0"/>
              <w:right w:val="single" w:color="auto" w:sz="4" w:space="0"/>
            </w:tcBorders>
            <w:noWrap w:val="0"/>
            <w:vAlign w:val="center"/>
          </w:tcPr>
          <w:p w14:paraId="00914FD4">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时间方面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13522E5D">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配送及时性</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482C6CB6">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迟于早上早餐（5点）、午晚餐（7点）配送的，每迟到10分钟扣2分，累计每月最高扣分10分。</w:t>
            </w:r>
          </w:p>
        </w:tc>
        <w:tc>
          <w:tcPr>
            <w:tcW w:w="556" w:type="dxa"/>
            <w:vMerge w:val="restart"/>
            <w:tcBorders>
              <w:top w:val="nil"/>
              <w:left w:val="single" w:color="auto" w:sz="4" w:space="0"/>
              <w:bottom w:val="single" w:color="auto" w:sz="4" w:space="0"/>
              <w:right w:val="single" w:color="auto" w:sz="4" w:space="0"/>
            </w:tcBorders>
            <w:noWrap w:val="0"/>
            <w:vAlign w:val="center"/>
          </w:tcPr>
          <w:p w14:paraId="73B17395">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220B7933">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7F371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530F62F2">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32186D6A">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57325FDF">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应急响应时间</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7D607A1A">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是否按照采购方的要求，以最快的速度，按照招标时的承诺进行应急处理。发现1次扣5分，累计每月最高扣分10分。</w:t>
            </w:r>
          </w:p>
        </w:tc>
        <w:tc>
          <w:tcPr>
            <w:tcW w:w="556" w:type="dxa"/>
            <w:vMerge w:val="continue"/>
            <w:tcBorders>
              <w:top w:val="nil"/>
              <w:left w:val="single" w:color="auto" w:sz="4" w:space="0"/>
              <w:bottom w:val="single" w:color="auto" w:sz="4" w:space="0"/>
              <w:right w:val="single" w:color="auto" w:sz="4" w:space="0"/>
            </w:tcBorders>
            <w:noWrap w:val="0"/>
            <w:vAlign w:val="center"/>
          </w:tcPr>
          <w:p w14:paraId="57B257A0">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tcBorders>
              <w:top w:val="single" w:color="auto" w:sz="4" w:space="0"/>
              <w:left w:val="single" w:color="auto" w:sz="4" w:space="0"/>
              <w:bottom w:val="single" w:color="auto" w:sz="4" w:space="0"/>
              <w:right w:val="single" w:color="auto" w:sz="4" w:space="0"/>
            </w:tcBorders>
            <w:noWrap w:val="0"/>
            <w:vAlign w:val="center"/>
          </w:tcPr>
          <w:p w14:paraId="7634EB23">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60CE1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restart"/>
            <w:tcBorders>
              <w:top w:val="nil"/>
              <w:left w:val="single" w:color="auto" w:sz="4" w:space="0"/>
              <w:bottom w:val="single" w:color="auto" w:sz="4" w:space="0"/>
              <w:right w:val="single" w:color="auto" w:sz="4" w:space="0"/>
            </w:tcBorders>
            <w:noWrap w:val="0"/>
            <w:vAlign w:val="center"/>
          </w:tcPr>
          <w:p w14:paraId="707C054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574" w:type="dxa"/>
            <w:vMerge w:val="restart"/>
            <w:tcBorders>
              <w:top w:val="nil"/>
              <w:left w:val="single" w:color="auto" w:sz="4" w:space="0"/>
              <w:bottom w:val="single" w:color="auto" w:sz="4" w:space="0"/>
              <w:right w:val="single" w:color="auto" w:sz="4" w:space="0"/>
            </w:tcBorders>
            <w:noWrap w:val="0"/>
            <w:vAlign w:val="center"/>
          </w:tcPr>
          <w:p w14:paraId="3198D7B4">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卫生方面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103FCD00">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配送人员</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305B1958">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是否有健康证，是否统一穿工服，是否存在盗取货物等情况，每发现1次扣2分，累计每月最高扣分5分。</w:t>
            </w:r>
          </w:p>
        </w:tc>
        <w:tc>
          <w:tcPr>
            <w:tcW w:w="556" w:type="dxa"/>
            <w:vMerge w:val="restart"/>
            <w:tcBorders>
              <w:top w:val="nil"/>
              <w:left w:val="single" w:color="auto" w:sz="4" w:space="0"/>
              <w:bottom w:val="single" w:color="auto" w:sz="4" w:space="0"/>
              <w:right w:val="single" w:color="auto" w:sz="4" w:space="0"/>
            </w:tcBorders>
            <w:noWrap w:val="0"/>
            <w:vAlign w:val="center"/>
          </w:tcPr>
          <w:p w14:paraId="782298A5">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15</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41430D44">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33914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0A3CDB0F">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6B0685FD">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71083F72">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初加工</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4B2901BD">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是否严格按照《国家食品卫生标准》、《食品卫生法》等相关规定，对食品进行卫生安全初加工；是否初加工完成后将加工场所垃圾清理干净。每发现1次扣2分，累计每月最高扣分10分。</w:t>
            </w:r>
          </w:p>
        </w:tc>
        <w:tc>
          <w:tcPr>
            <w:tcW w:w="556" w:type="dxa"/>
            <w:vMerge w:val="continue"/>
            <w:tcBorders>
              <w:top w:val="nil"/>
              <w:left w:val="single" w:color="auto" w:sz="4" w:space="0"/>
              <w:bottom w:val="single" w:color="auto" w:sz="4" w:space="0"/>
              <w:right w:val="single" w:color="auto" w:sz="4" w:space="0"/>
            </w:tcBorders>
            <w:noWrap w:val="0"/>
            <w:vAlign w:val="center"/>
          </w:tcPr>
          <w:p w14:paraId="6A4CBAE4">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tcBorders>
              <w:top w:val="single" w:color="auto" w:sz="4" w:space="0"/>
              <w:left w:val="single" w:color="auto" w:sz="4" w:space="0"/>
              <w:bottom w:val="single" w:color="auto" w:sz="4" w:space="0"/>
              <w:right w:val="single" w:color="auto" w:sz="4" w:space="0"/>
            </w:tcBorders>
            <w:noWrap w:val="0"/>
            <w:vAlign w:val="center"/>
          </w:tcPr>
          <w:p w14:paraId="6E569893">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509D4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restart"/>
            <w:tcBorders>
              <w:top w:val="nil"/>
              <w:left w:val="single" w:color="auto" w:sz="4" w:space="0"/>
              <w:bottom w:val="single" w:color="auto" w:sz="4" w:space="0"/>
              <w:right w:val="single" w:color="auto" w:sz="4" w:space="0"/>
            </w:tcBorders>
            <w:noWrap w:val="0"/>
            <w:vAlign w:val="center"/>
          </w:tcPr>
          <w:p w14:paraId="3255C5D1">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574" w:type="dxa"/>
            <w:vMerge w:val="restart"/>
            <w:tcBorders>
              <w:top w:val="nil"/>
              <w:left w:val="single" w:color="auto" w:sz="4" w:space="0"/>
              <w:bottom w:val="single" w:color="auto" w:sz="4" w:space="0"/>
              <w:right w:val="single" w:color="auto" w:sz="4" w:space="0"/>
            </w:tcBorders>
            <w:noWrap w:val="0"/>
            <w:vAlign w:val="center"/>
          </w:tcPr>
          <w:p w14:paraId="4A0F8D32">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态度方面</w:t>
            </w:r>
          </w:p>
        </w:tc>
        <w:tc>
          <w:tcPr>
            <w:tcW w:w="672" w:type="dxa"/>
            <w:tcBorders>
              <w:top w:val="single" w:color="auto" w:sz="4" w:space="0"/>
              <w:left w:val="single" w:color="auto" w:sz="4" w:space="0"/>
              <w:bottom w:val="single" w:color="auto" w:sz="4" w:space="0"/>
              <w:right w:val="single" w:color="auto" w:sz="4" w:space="0"/>
            </w:tcBorders>
            <w:noWrap w:val="0"/>
            <w:vAlign w:val="center"/>
          </w:tcPr>
          <w:p w14:paraId="00799F47">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服务态度</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167D5FC1">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供应商服务态度是否良好。每接到1次有效投诉扣5分，累计每月最高扣分10分。</w:t>
            </w:r>
          </w:p>
        </w:tc>
        <w:tc>
          <w:tcPr>
            <w:tcW w:w="556" w:type="dxa"/>
            <w:vMerge w:val="restart"/>
            <w:tcBorders>
              <w:top w:val="nil"/>
              <w:left w:val="single" w:color="auto" w:sz="4" w:space="0"/>
              <w:bottom w:val="single" w:color="auto" w:sz="4" w:space="0"/>
              <w:right w:val="single" w:color="auto" w:sz="4" w:space="0"/>
            </w:tcBorders>
            <w:noWrap w:val="0"/>
            <w:vAlign w:val="center"/>
          </w:tcPr>
          <w:p w14:paraId="5D4E05C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20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5CAF956E">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7EB8B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6" w:type="dxa"/>
            <w:vMerge w:val="continue"/>
            <w:tcBorders>
              <w:top w:val="nil"/>
              <w:left w:val="single" w:color="auto" w:sz="4" w:space="0"/>
              <w:bottom w:val="single" w:color="auto" w:sz="4" w:space="0"/>
              <w:right w:val="single" w:color="auto" w:sz="4" w:space="0"/>
            </w:tcBorders>
            <w:noWrap w:val="0"/>
            <w:vAlign w:val="center"/>
          </w:tcPr>
          <w:p w14:paraId="5DE26A18">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574" w:type="dxa"/>
            <w:vMerge w:val="continue"/>
            <w:tcBorders>
              <w:top w:val="nil"/>
              <w:left w:val="single" w:color="auto" w:sz="4" w:space="0"/>
              <w:bottom w:val="single" w:color="auto" w:sz="4" w:space="0"/>
              <w:right w:val="single" w:color="auto" w:sz="4" w:space="0"/>
            </w:tcBorders>
            <w:noWrap w:val="0"/>
            <w:vAlign w:val="center"/>
          </w:tcPr>
          <w:p w14:paraId="3D60FED8">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672" w:type="dxa"/>
            <w:tcBorders>
              <w:top w:val="single" w:color="auto" w:sz="4" w:space="0"/>
              <w:left w:val="single" w:color="auto" w:sz="4" w:space="0"/>
              <w:bottom w:val="single" w:color="auto" w:sz="4" w:space="0"/>
              <w:right w:val="single" w:color="auto" w:sz="4" w:space="0"/>
            </w:tcBorders>
            <w:noWrap w:val="0"/>
            <w:vAlign w:val="center"/>
          </w:tcPr>
          <w:p w14:paraId="39D2A524">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反馈整改情况</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42B0D0BC">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是否对采购方的反馈意见进行认真及时的整改，每发现1次扣5分，累计每月最高扣分10分。</w:t>
            </w:r>
          </w:p>
        </w:tc>
        <w:tc>
          <w:tcPr>
            <w:tcW w:w="556" w:type="dxa"/>
            <w:vMerge w:val="continue"/>
            <w:tcBorders>
              <w:top w:val="nil"/>
              <w:left w:val="single" w:color="auto" w:sz="4" w:space="0"/>
              <w:bottom w:val="single" w:color="auto" w:sz="4" w:space="0"/>
              <w:right w:val="single" w:color="auto" w:sz="4" w:space="0"/>
            </w:tcBorders>
            <w:noWrap w:val="0"/>
            <w:vAlign w:val="center"/>
          </w:tcPr>
          <w:p w14:paraId="7B5556D8">
            <w:pPr>
              <w:keepNext w:val="0"/>
              <w:keepLines w:val="0"/>
              <w:pageBreakBefore w:val="0"/>
              <w:kinsoku/>
              <w:wordWrap/>
              <w:overflowPunct/>
              <w:topLinePunct w:val="0"/>
              <w:autoSpaceDN/>
              <w:bidi w:val="0"/>
              <w:spacing w:beforeAutospacing="0" w:afterAutospacing="0" w:line="360" w:lineRule="auto"/>
              <w:ind w:firstLine="0" w:firstLineChars="0"/>
              <w:textAlignment w:val="auto"/>
              <w:rPr>
                <w:rFonts w:hint="eastAsia" w:ascii="宋体" w:hAnsi="宋体" w:eastAsia="宋体" w:cs="宋体"/>
                <w:sz w:val="21"/>
                <w:szCs w:val="21"/>
              </w:rPr>
            </w:pPr>
          </w:p>
        </w:tc>
        <w:tc>
          <w:tcPr>
            <w:tcW w:w="476" w:type="dxa"/>
            <w:tcBorders>
              <w:top w:val="single" w:color="auto" w:sz="4" w:space="0"/>
              <w:left w:val="single" w:color="auto" w:sz="4" w:space="0"/>
              <w:bottom w:val="single" w:color="auto" w:sz="4" w:space="0"/>
              <w:right w:val="single" w:color="auto" w:sz="4" w:space="0"/>
            </w:tcBorders>
            <w:noWrap w:val="0"/>
            <w:vAlign w:val="center"/>
          </w:tcPr>
          <w:p w14:paraId="5F178ED2">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r w14:paraId="580CF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2" w:type="dxa"/>
            <w:gridSpan w:val="3"/>
            <w:tcBorders>
              <w:top w:val="single" w:color="auto" w:sz="4" w:space="0"/>
              <w:left w:val="single" w:color="auto" w:sz="4" w:space="0"/>
              <w:bottom w:val="single" w:color="auto" w:sz="4" w:space="0"/>
              <w:right w:val="single" w:color="auto" w:sz="4" w:space="0"/>
            </w:tcBorders>
            <w:noWrap w:val="0"/>
            <w:vAlign w:val="center"/>
          </w:tcPr>
          <w:p w14:paraId="142BB0C3">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总分</w:t>
            </w:r>
          </w:p>
        </w:tc>
        <w:tc>
          <w:tcPr>
            <w:tcW w:w="5775" w:type="dxa"/>
            <w:tcBorders>
              <w:top w:val="single" w:color="auto" w:sz="4" w:space="0"/>
              <w:left w:val="single" w:color="auto" w:sz="4" w:space="0"/>
              <w:bottom w:val="single" w:color="auto" w:sz="4" w:space="0"/>
              <w:right w:val="single" w:color="auto" w:sz="4" w:space="0"/>
            </w:tcBorders>
            <w:noWrap w:val="0"/>
            <w:vAlign w:val="center"/>
          </w:tcPr>
          <w:p w14:paraId="375DEA26">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c>
          <w:tcPr>
            <w:tcW w:w="556" w:type="dxa"/>
            <w:tcBorders>
              <w:top w:val="single" w:color="auto" w:sz="4" w:space="0"/>
              <w:left w:val="single" w:color="auto" w:sz="4" w:space="0"/>
              <w:bottom w:val="single" w:color="auto" w:sz="4" w:space="0"/>
              <w:right w:val="single" w:color="auto" w:sz="4" w:space="0"/>
            </w:tcBorders>
            <w:noWrap w:val="0"/>
            <w:vAlign w:val="center"/>
          </w:tcPr>
          <w:p w14:paraId="12EBF5C0">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100</w:t>
            </w:r>
          </w:p>
        </w:tc>
        <w:tc>
          <w:tcPr>
            <w:tcW w:w="476" w:type="dxa"/>
            <w:tcBorders>
              <w:top w:val="single" w:color="auto" w:sz="4" w:space="0"/>
              <w:left w:val="single" w:color="auto" w:sz="4" w:space="0"/>
              <w:bottom w:val="single" w:color="auto" w:sz="4" w:space="0"/>
              <w:right w:val="single" w:color="auto" w:sz="4" w:space="0"/>
            </w:tcBorders>
            <w:noWrap w:val="0"/>
            <w:vAlign w:val="center"/>
          </w:tcPr>
          <w:p w14:paraId="2BB45F8C">
            <w:pPr>
              <w:keepNext w:val="0"/>
              <w:keepLines w:val="0"/>
              <w:pageBreakBefore w:val="0"/>
              <w:kinsoku/>
              <w:wordWrap/>
              <w:overflowPunct/>
              <w:topLinePunct w:val="0"/>
              <w:autoSpaceDN/>
              <w:bidi w:val="0"/>
              <w:spacing w:beforeAutospacing="0" w:afterAutospacing="0" w:line="360" w:lineRule="auto"/>
              <w:ind w:firstLine="0" w:firstLineChars="0"/>
              <w:jc w:val="center"/>
              <w:textAlignment w:val="auto"/>
              <w:rPr>
                <w:rFonts w:hint="eastAsia" w:ascii="宋体" w:hAnsi="宋体" w:eastAsia="宋体" w:cs="宋体"/>
                <w:sz w:val="21"/>
                <w:szCs w:val="21"/>
              </w:rPr>
            </w:pPr>
          </w:p>
        </w:tc>
      </w:tr>
    </w:tbl>
    <w:p w14:paraId="54F0A3AE">
      <w:pPr>
        <w:pStyle w:val="5"/>
      </w:pPr>
      <w:r>
        <w:rPr>
          <w:rFonts w:hint="eastAsia" w:ascii="宋体" w:hAnsi="宋体" w:eastAsia="宋体" w:cs="宋体"/>
          <w:sz w:val="21"/>
          <w:szCs w:val="21"/>
        </w:rPr>
        <w:t>备注：若供应商因食品安全等问题，导致严重影响的，采购方具有一票否决权。</w:t>
      </w:r>
    </w:p>
    <w:p w14:paraId="0952F427">
      <w:pPr>
        <w:pStyle w:val="3"/>
        <w:keepNext w:val="0"/>
        <w:keepLines w:val="0"/>
        <w:pageBreakBefore w:val="0"/>
        <w:widowControl w:val="0"/>
        <w:numPr>
          <w:ilvl w:val="0"/>
          <w:numId w:val="8"/>
        </w:numPr>
        <w:kinsoku/>
        <w:wordWrap/>
        <w:overflowPunct/>
        <w:topLinePunct w:val="0"/>
        <w:autoSpaceDE/>
        <w:autoSpaceDN/>
        <w:bidi w:val="0"/>
        <w:adjustRightInd w:val="0"/>
        <w:snapToGrid/>
        <w:spacing w:before="0" w:after="0"/>
        <w:ind w:left="0" w:leftChars="0" w:firstLine="0" w:firstLineChars="0"/>
        <w:textAlignment w:val="baseline"/>
        <w:rPr>
          <w:rFonts w:hint="eastAsia" w:ascii="宋体" w:hAnsi="宋体" w:eastAsia="宋体" w:cs="宋体"/>
          <w:b/>
          <w:bCs/>
          <w:sz w:val="32"/>
          <w:szCs w:val="32"/>
        </w:rPr>
      </w:pPr>
      <w:r>
        <w:rPr>
          <w:rFonts w:hint="eastAsia" w:ascii="宋体" w:hAnsi="宋体" w:eastAsia="宋体" w:cs="宋体"/>
          <w:b/>
          <w:bCs/>
          <w:sz w:val="32"/>
          <w:szCs w:val="32"/>
        </w:rPr>
        <w:t>其他重要条款</w:t>
      </w:r>
    </w:p>
    <w:p w14:paraId="70FE9031">
      <w:pPr>
        <w:spacing w:line="360" w:lineRule="exact"/>
        <w:ind w:firstLine="420" w:firstLineChars="200"/>
        <w:rPr>
          <w:rFonts w:ascii="宋体" w:hAnsi="宋体" w:cs="宋体"/>
          <w:bCs/>
          <w:szCs w:val="21"/>
        </w:rPr>
      </w:pPr>
      <w:r>
        <w:rPr>
          <w:rFonts w:hint="eastAsia" w:ascii="宋体" w:hAnsi="宋体" w:cs="宋体"/>
          <w:bCs/>
          <w:szCs w:val="21"/>
        </w:rPr>
        <w:t>1、本项目投标报价采用包干制，应包括成本、法定税费和相应的利润，应涵盖本项目招标范围和招标文件所列的各项内容中所述的全部。由投标人根据招标需求自行测算投标报价；一经中标，投标报价即作为</w:t>
      </w:r>
      <w:r>
        <w:rPr>
          <w:rFonts w:hint="eastAsia" w:ascii="宋体" w:hAnsi="宋体" w:cs="宋体"/>
          <w:bCs/>
          <w:szCs w:val="21"/>
          <w:lang w:eastAsia="zh-CN"/>
        </w:rPr>
        <w:t>中标供应商</w:t>
      </w:r>
      <w:r>
        <w:rPr>
          <w:rFonts w:hint="eastAsia" w:ascii="宋体" w:hAnsi="宋体" w:cs="宋体"/>
          <w:bCs/>
          <w:szCs w:val="21"/>
        </w:rPr>
        <w:t>与采购人签订的合同金额。</w:t>
      </w:r>
    </w:p>
    <w:p w14:paraId="3870FC20">
      <w:pPr>
        <w:spacing w:line="360" w:lineRule="exact"/>
        <w:ind w:firstLine="420" w:firstLineChars="200"/>
        <w:rPr>
          <w:rFonts w:ascii="宋体" w:hAnsi="宋体" w:cs="宋体"/>
          <w:bCs/>
          <w:szCs w:val="21"/>
        </w:rPr>
      </w:pPr>
      <w:r>
        <w:rPr>
          <w:rFonts w:hint="eastAsia" w:ascii="宋体" w:hAnsi="宋体" w:cs="宋体"/>
          <w:bCs/>
          <w:szCs w:val="21"/>
        </w:rPr>
        <w:t>2、投标人应充分了解项目的位置、情况、道路及任何其它足以影响投标报价的情况，任何因忽视或误解项目情况而导致的索赔或服务期限延长申请将不获批准。</w:t>
      </w:r>
    </w:p>
    <w:p w14:paraId="39F85B5D">
      <w:pPr>
        <w:spacing w:line="360" w:lineRule="exact"/>
        <w:ind w:firstLine="420" w:firstLineChars="200"/>
        <w:rPr>
          <w:rFonts w:ascii="宋体" w:hAnsi="宋体" w:cs="宋体"/>
          <w:bCs/>
          <w:szCs w:val="21"/>
        </w:rPr>
      </w:pPr>
      <w:r>
        <w:rPr>
          <w:rFonts w:hint="eastAsia" w:ascii="宋体" w:hAnsi="宋体" w:cs="宋体"/>
          <w:bCs/>
          <w:szCs w:val="21"/>
        </w:rPr>
        <w:t>3、投标人不得期望通过索赔等方式获取补偿，否则，除可能遭到拒绝外，还可能将被作为不良行为记录在案，并可能影响其以后参加政府采购的项目投标。各投标人在投标报价时，应充分考虑投标报价的风险。</w:t>
      </w:r>
    </w:p>
    <w:p w14:paraId="5EC2D29C">
      <w:pPr>
        <w:spacing w:line="360" w:lineRule="exact"/>
        <w:ind w:firstLine="420" w:firstLineChars="200"/>
        <w:rPr>
          <w:rFonts w:ascii="宋体" w:hAnsi="宋体" w:cs="宋体"/>
          <w:bCs/>
          <w:szCs w:val="21"/>
        </w:rPr>
      </w:pPr>
      <w:r>
        <w:rPr>
          <w:rFonts w:hint="eastAsia" w:ascii="宋体" w:hAnsi="宋体" w:cs="宋体"/>
          <w:bCs/>
          <w:szCs w:val="21"/>
        </w:rPr>
        <w:t>4、鼓励采购人积极运用公共信用信息，明确对信用记录良好的供应商（特别是中小微企业）免收履约保证金，确需收取履约保证金的，列明通过保函等非现金方式收取。在采购合同中明确对上述企业加大首付款或预付款比例，具体由采购人根据项目实际情况确定。</w:t>
      </w:r>
    </w:p>
    <w:p w14:paraId="64842D4C">
      <w:pPr>
        <w:spacing w:line="360" w:lineRule="exact"/>
        <w:ind w:firstLine="420" w:firstLineChars="200"/>
        <w:rPr>
          <w:rFonts w:ascii="宋体" w:hAnsi="宋体" w:cs="宋体"/>
          <w:bCs/>
          <w:szCs w:val="21"/>
        </w:rPr>
      </w:pPr>
      <w:r>
        <w:rPr>
          <w:rFonts w:hint="eastAsia" w:ascii="宋体" w:hAnsi="宋体" w:cs="宋体"/>
          <w:bCs/>
          <w:szCs w:val="21"/>
        </w:rPr>
        <w:t>5、除政府采购合同继续履行将损害国家利益和社会公共利益外，双方当事人不得擅自变更、中止或者终止合同。</w:t>
      </w:r>
    </w:p>
    <w:p w14:paraId="277FA68C">
      <w:pPr>
        <w:spacing w:line="360" w:lineRule="exact"/>
        <w:ind w:firstLine="420" w:firstLineChars="200"/>
        <w:rPr>
          <w:rFonts w:ascii="宋体" w:hAnsi="宋体" w:cs="宋体"/>
          <w:bCs/>
          <w:szCs w:val="21"/>
        </w:rPr>
      </w:pPr>
      <w:r>
        <w:rPr>
          <w:rFonts w:hint="eastAsia" w:ascii="宋体" w:hAnsi="宋体" w:cs="宋体"/>
          <w:bCs/>
          <w:szCs w:val="21"/>
        </w:rPr>
        <w:t>6、“信用中国”、“中国政府采购网”、“深圳信用网”以及“深圳市政府采购监管网”为供应商信用信息的查询渠道，相关信息以开标当日的查询为准。</w:t>
      </w:r>
    </w:p>
    <w:p w14:paraId="179D5AEF">
      <w:pPr>
        <w:pStyle w:val="3"/>
        <w:rPr>
          <w:kern w:val="2"/>
        </w:rPr>
      </w:pPr>
      <w:r>
        <w:rPr>
          <w:rFonts w:hint="eastAsia"/>
          <w:kern w:val="2"/>
        </w:rPr>
        <w:br w:type="page"/>
      </w:r>
      <w:r>
        <w:rPr>
          <w:rFonts w:hint="eastAsia"/>
          <w:b/>
          <w:bCs/>
          <w:sz w:val="32"/>
          <w:szCs w:val="22"/>
        </w:rPr>
        <w:t>第三章投标文件格式、附件</w:t>
      </w:r>
      <w:bookmarkStart w:id="29" w:name="_Hlk86246764"/>
    </w:p>
    <w:p w14:paraId="667AA1D7">
      <w:pPr>
        <w:rPr>
          <w:rFonts w:ascii="黑体" w:eastAsia="黑体"/>
          <w:bCs/>
          <w:sz w:val="24"/>
        </w:rPr>
      </w:pPr>
      <w:r>
        <w:rPr>
          <w:rFonts w:hint="eastAsia" w:ascii="黑体" w:eastAsia="黑体"/>
          <w:bCs/>
          <w:sz w:val="24"/>
        </w:rPr>
        <w:t>特别提醒：</w:t>
      </w:r>
    </w:p>
    <w:p w14:paraId="0E2185C4">
      <w:pPr>
        <w:ind w:firstLine="480"/>
        <w:rPr>
          <w:rFonts w:ascii="仿宋_GB2312" w:eastAsia="仿宋_GB2312"/>
          <w:sz w:val="24"/>
        </w:rPr>
      </w:pPr>
      <w:r>
        <w:rPr>
          <w:rFonts w:hint="eastAsia" w:ascii="仿宋_GB2312" w:eastAsia="仿宋_GB2312"/>
          <w:sz w:val="24"/>
        </w:rPr>
        <w:t>投标文件正文将对外公开，投标文件附件不公开。投标人在编辑投标文件时，在投标文件目录中属于本节点内容的必须在本节点中填写，填写到其他节点或附件的将可能导致投标无效，一切后果由供应商自行承担。</w:t>
      </w:r>
    </w:p>
    <w:p w14:paraId="2D406E91">
      <w:pPr>
        <w:rPr>
          <w:rFonts w:ascii="仿宋_GB2312" w:eastAsia="仿宋_GB2312"/>
          <w:sz w:val="24"/>
        </w:rPr>
      </w:pPr>
      <w:r>
        <w:rPr>
          <w:rFonts w:hint="eastAsia" w:ascii="仿宋_GB2312" w:eastAsia="仿宋_GB2312"/>
          <w:sz w:val="24"/>
        </w:rPr>
        <w:t xml:space="preserve">    投标文件正文（信息公开部分）必须编制于“投标书目录”部分，投标文件附件（非信息公开部分）必须编制于“投标书附件”部分，如下图所示。</w:t>
      </w:r>
    </w:p>
    <w:p w14:paraId="0DF6E193">
      <w:pPr>
        <w:widowControl/>
        <w:jc w:val="left"/>
        <w:rPr>
          <w:rFonts w:ascii="宋体" w:hAnsi="宋体" w:cs="宋体"/>
          <w:kern w:val="0"/>
          <w:sz w:val="24"/>
        </w:rPr>
      </w:pPr>
      <w:r>
        <w:rPr>
          <w:rFonts w:ascii="仿宋_GB2312" w:eastAsia="仿宋_GB2312"/>
          <w:sz w:val="24"/>
        </w:rPr>
        <w:drawing>
          <wp:inline distT="0" distB="0" distL="114300" distR="114300">
            <wp:extent cx="5278755" cy="4126230"/>
            <wp:effectExtent l="0" t="0" r="17145" b="7620"/>
            <wp:docPr id="1"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 应用程序&#10;&#10;描述已自动生成"/>
                    <pic:cNvPicPr>
                      <a:picLocks noChangeAspect="1"/>
                    </pic:cNvPicPr>
                  </pic:nvPicPr>
                  <pic:blipFill>
                    <a:blip r:embed="rId9"/>
                    <a:stretch>
                      <a:fillRect/>
                    </a:stretch>
                  </pic:blipFill>
                  <pic:spPr>
                    <a:xfrm>
                      <a:off x="0" y="0"/>
                      <a:ext cx="5278755" cy="4126230"/>
                    </a:xfrm>
                    <a:prstGeom prst="rect">
                      <a:avLst/>
                    </a:prstGeom>
                    <a:noFill/>
                    <a:ln>
                      <a:noFill/>
                    </a:ln>
                  </pic:spPr>
                </pic:pic>
              </a:graphicData>
            </a:graphic>
          </wp:inline>
        </w:drawing>
      </w:r>
    </w:p>
    <w:p w14:paraId="5B78E6B2">
      <w:pPr>
        <w:rPr>
          <w:rFonts w:ascii="仿宋_GB2312" w:eastAsia="仿宋_GB2312"/>
          <w:sz w:val="24"/>
        </w:rPr>
      </w:pPr>
    </w:p>
    <w:p w14:paraId="0ECE07D1">
      <w:pPr>
        <w:jc w:val="center"/>
        <w:rPr>
          <w:rFonts w:ascii="仿宋_GB2312" w:eastAsia="仿宋_GB2312"/>
          <w:sz w:val="24"/>
        </w:rPr>
      </w:pPr>
    </w:p>
    <w:p w14:paraId="42EB6FB8">
      <w:pPr>
        <w:ind w:firstLine="480"/>
        <w:rPr>
          <w:rFonts w:ascii="仿宋_GB2312" w:eastAsia="仿宋_GB2312"/>
          <w:sz w:val="24"/>
        </w:rPr>
      </w:pPr>
      <w:bookmarkStart w:id="30" w:name="_Hlk72257167"/>
      <w:r>
        <w:rPr>
          <w:rFonts w:hint="eastAsia" w:ascii="仿宋_GB2312" w:eastAsia="仿宋_GB2312"/>
          <w:sz w:val="24"/>
        </w:rPr>
        <w:t>代理机构公布投标文件正文（信息公开部分）时为计算机截取信息自动公布，</w:t>
      </w:r>
      <w:r>
        <w:rPr>
          <w:rFonts w:hint="eastAsia" w:ascii="仿宋_GB2312" w:eastAsia="仿宋_GB2312"/>
          <w:b/>
          <w:bCs/>
          <w:sz w:val="24"/>
        </w:rPr>
        <w:t>如投标人误将涉及个人隐私的信息放入投标文件正文，相关后果由投标人自负；</w:t>
      </w:r>
      <w:r>
        <w:rPr>
          <w:rFonts w:hint="eastAsia" w:ascii="仿宋_GB2312" w:eastAsia="仿宋_GB2312"/>
          <w:sz w:val="24"/>
        </w:rPr>
        <w:t>如投标人将必须放于投标文件正文（信息公开部分）的内容放入投标文件附件（非信息公开部分），将作投标无效处理。</w:t>
      </w:r>
    </w:p>
    <w:bookmarkEnd w:id="29"/>
    <w:bookmarkEnd w:id="30"/>
    <w:p w14:paraId="1170384B">
      <w:pPr>
        <w:rPr>
          <w:rFonts w:ascii="仿宋_GB2312" w:eastAsia="仿宋_GB2312"/>
          <w:sz w:val="24"/>
        </w:rPr>
      </w:pPr>
    </w:p>
    <w:p w14:paraId="52673F6D">
      <w:pPr>
        <w:rPr>
          <w:rFonts w:ascii="仿宋_GB2312" w:eastAsia="仿宋_GB2312"/>
          <w:sz w:val="24"/>
        </w:rPr>
      </w:pPr>
    </w:p>
    <w:p w14:paraId="0A0F9C21">
      <w:pPr>
        <w:ind w:firstLine="426" w:firstLineChars="202"/>
        <w:rPr>
          <w:rFonts w:ascii="宋体" w:hAnsi="宋体"/>
          <w:b/>
          <w:bCs/>
          <w:szCs w:val="21"/>
        </w:rPr>
      </w:pPr>
      <w:r>
        <w:rPr>
          <w:rFonts w:hint="eastAsia" w:ascii="宋体" w:hAnsi="宋体"/>
          <w:b/>
          <w:bCs/>
          <w:szCs w:val="21"/>
        </w:rPr>
        <w:t>备注：</w:t>
      </w:r>
    </w:p>
    <w:p w14:paraId="2A4E0DA6">
      <w:pPr>
        <w:ind w:firstLine="426" w:firstLineChars="202"/>
        <w:rPr>
          <w:rFonts w:ascii="宋体" w:hAnsi="宋体"/>
          <w:b/>
          <w:bCs/>
          <w:szCs w:val="21"/>
        </w:rPr>
      </w:pPr>
      <w:r>
        <w:rPr>
          <w:rFonts w:hint="eastAsia" w:ascii="宋体" w:hAnsi="宋体"/>
          <w:b/>
          <w:bCs/>
          <w:szCs w:val="21"/>
        </w:rPr>
        <w:t>1.本项目为网上电子投标项目，投标文件不需法人或授权委托人另行签字，无需加盖单位公章，招标文件专用条款另有规定的除外。</w:t>
      </w:r>
    </w:p>
    <w:p w14:paraId="4518E218">
      <w:pPr>
        <w:rPr>
          <w:bCs/>
          <w:sz w:val="28"/>
          <w:szCs w:val="28"/>
        </w:rPr>
      </w:pPr>
      <w:r>
        <w:rPr>
          <w:rFonts w:hint="eastAsia" w:ascii="黑体" w:eastAsia="黑体"/>
          <w:bCs/>
          <w:sz w:val="28"/>
          <w:szCs w:val="28"/>
        </w:rPr>
        <w:br w:type="page"/>
      </w:r>
    </w:p>
    <w:p w14:paraId="33CA3B00">
      <w:pPr>
        <w:rPr>
          <w:bCs/>
          <w:sz w:val="28"/>
          <w:szCs w:val="28"/>
        </w:rPr>
      </w:pPr>
      <w:r>
        <w:rPr>
          <w:rFonts w:hint="eastAsia" w:ascii="黑体" w:eastAsia="黑体"/>
          <w:bCs/>
          <w:sz w:val="28"/>
          <w:szCs w:val="28"/>
        </w:rPr>
        <w:t>投标文件组成：</w:t>
      </w:r>
    </w:p>
    <w:p w14:paraId="054975B6">
      <w:pPr>
        <w:pageBreakBefore w:val="0"/>
        <w:kinsoku/>
        <w:overflowPunct/>
        <w:topLinePunct w:val="0"/>
        <w:bidi w:val="0"/>
        <w:spacing w:beforeAutospacing="0" w:afterAutospacing="0" w:line="360" w:lineRule="auto"/>
        <w:ind w:left="0" w:leftChars="0" w:right="0" w:firstLine="0" w:firstLineChars="0"/>
        <w:outlineLvl w:val="0"/>
        <w:rPr>
          <w:rFonts w:hint="eastAsia" w:ascii="宋体" w:hAnsi="宋体" w:eastAsia="宋体" w:cs="宋体"/>
          <w:sz w:val="24"/>
        </w:rPr>
      </w:pPr>
      <w:r>
        <w:rPr>
          <w:rFonts w:hint="eastAsia" w:ascii="宋体" w:hAnsi="宋体" w:eastAsia="宋体" w:cs="宋体"/>
          <w:sz w:val="24"/>
        </w:rPr>
        <w:t>1.投标文件正文</w:t>
      </w:r>
      <w:r>
        <w:rPr>
          <w:rFonts w:hint="eastAsia" w:ascii="宋体" w:hAnsi="宋体" w:eastAsia="宋体" w:cs="宋体"/>
          <w:b/>
          <w:color w:val="FF0000"/>
          <w:sz w:val="24"/>
        </w:rPr>
        <w:t>（信息公开部分）</w:t>
      </w:r>
      <w:r>
        <w:rPr>
          <w:rFonts w:hint="eastAsia" w:ascii="宋体" w:hAnsi="宋体" w:eastAsia="宋体" w:cs="宋体"/>
          <w:sz w:val="24"/>
        </w:rPr>
        <w:t>，主要包括以下内容：</w:t>
      </w:r>
    </w:p>
    <w:p w14:paraId="38FC498A">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（1）投标函</w:t>
      </w:r>
    </w:p>
    <w:p w14:paraId="13486DE4">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（2）政府采购投标及履约承诺函</w:t>
      </w:r>
    </w:p>
    <w:p w14:paraId="292529AF">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（3）投标人情况及资格证明文件</w:t>
      </w:r>
    </w:p>
    <w:p w14:paraId="6331A95F">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rPr>
        <w:t>（4）项目详细报价</w:t>
      </w:r>
    </w:p>
    <w:p w14:paraId="4AFA758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5</w:t>
      </w:r>
      <w:r>
        <w:rPr>
          <w:rFonts w:hint="eastAsia" w:ascii="宋体" w:hAnsi="宋体" w:eastAsia="宋体" w:cs="宋体"/>
          <w:szCs w:val="21"/>
          <w:lang w:eastAsia="zh-CN"/>
        </w:rPr>
        <w:t>）</w:t>
      </w:r>
      <w:r>
        <w:rPr>
          <w:rFonts w:hint="eastAsia" w:ascii="宋体" w:hAnsi="宋体" w:eastAsia="宋体" w:cs="宋体"/>
          <w:szCs w:val="21"/>
          <w:lang w:val="zh-CN"/>
        </w:rPr>
        <w:t>通过相关认证情况</w:t>
      </w:r>
    </w:p>
    <w:p w14:paraId="63430FF8">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6</w:t>
      </w:r>
      <w:r>
        <w:rPr>
          <w:rFonts w:hint="eastAsia" w:ascii="宋体" w:hAnsi="宋体" w:eastAsia="宋体" w:cs="宋体"/>
          <w:szCs w:val="21"/>
          <w:lang w:eastAsia="zh-CN"/>
        </w:rPr>
        <w:t>）</w:t>
      </w:r>
      <w:r>
        <w:rPr>
          <w:rFonts w:hint="eastAsia" w:ascii="宋体" w:hAnsi="宋体" w:eastAsia="宋体" w:cs="宋体"/>
          <w:szCs w:val="21"/>
        </w:rPr>
        <w:t>投标人同类项目业绩情况</w:t>
      </w:r>
    </w:p>
    <w:p w14:paraId="15AD7E4F">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7</w:t>
      </w:r>
      <w:r>
        <w:rPr>
          <w:rFonts w:hint="eastAsia" w:ascii="宋体" w:hAnsi="宋体" w:eastAsia="宋体" w:cs="宋体"/>
          <w:szCs w:val="21"/>
          <w:lang w:eastAsia="zh-CN"/>
        </w:rPr>
        <w:t>）</w:t>
      </w:r>
      <w:r>
        <w:rPr>
          <w:rFonts w:hint="eastAsia" w:ascii="宋体" w:hAnsi="宋体" w:eastAsia="宋体" w:cs="宋体"/>
          <w:szCs w:val="21"/>
        </w:rPr>
        <w:t>投标人获奖情况</w:t>
      </w:r>
    </w:p>
    <w:p w14:paraId="4571215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8</w:t>
      </w:r>
      <w:r>
        <w:rPr>
          <w:rFonts w:hint="eastAsia" w:ascii="宋体" w:hAnsi="宋体" w:eastAsia="宋体" w:cs="宋体"/>
          <w:szCs w:val="21"/>
          <w:lang w:eastAsia="zh-CN"/>
        </w:rPr>
        <w:t>）第三方</w:t>
      </w:r>
      <w:r>
        <w:rPr>
          <w:rFonts w:hint="eastAsia" w:ascii="宋体" w:hAnsi="宋体" w:eastAsia="宋体" w:cs="宋体"/>
          <w:szCs w:val="21"/>
        </w:rPr>
        <w:t>检验检测报告</w:t>
      </w:r>
    </w:p>
    <w:p w14:paraId="399AAC85">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lang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9</w:t>
      </w:r>
      <w:r>
        <w:rPr>
          <w:rFonts w:hint="eastAsia" w:ascii="宋体" w:hAnsi="宋体" w:eastAsia="宋体" w:cs="宋体"/>
          <w:szCs w:val="21"/>
          <w:lang w:eastAsia="zh-CN"/>
        </w:rPr>
        <w:t>）</w:t>
      </w:r>
      <w:r>
        <w:rPr>
          <w:rFonts w:hint="eastAsia" w:ascii="宋体" w:hAnsi="宋体" w:eastAsia="宋体" w:cs="宋体"/>
          <w:szCs w:val="21"/>
        </w:rPr>
        <w:t>食品安全保险</w:t>
      </w:r>
    </w:p>
    <w:p w14:paraId="02A4F704">
      <w:pPr>
        <w:pageBreakBefore w:val="0"/>
        <w:kinsoku/>
        <w:overflowPunct/>
        <w:topLinePunct w:val="0"/>
        <w:bidi w:val="0"/>
        <w:spacing w:beforeAutospacing="0" w:afterAutospacing="0" w:line="360" w:lineRule="auto"/>
        <w:ind w:left="0" w:leftChars="0" w:right="0" w:firstLine="0" w:firstLineChars="0"/>
        <w:outlineLvl w:val="0"/>
        <w:rPr>
          <w:rFonts w:hint="eastAsia" w:ascii="宋体" w:hAnsi="宋体" w:eastAsia="宋体" w:cs="宋体"/>
          <w:sz w:val="24"/>
        </w:rPr>
      </w:pPr>
      <w:r>
        <w:rPr>
          <w:rFonts w:hint="eastAsia" w:ascii="宋体" w:hAnsi="宋体" w:eastAsia="宋体" w:cs="宋体"/>
          <w:sz w:val="24"/>
        </w:rPr>
        <w:t>2.投标文件附件</w:t>
      </w:r>
      <w:r>
        <w:rPr>
          <w:rFonts w:hint="eastAsia" w:ascii="宋体" w:hAnsi="宋体" w:eastAsia="宋体" w:cs="宋体"/>
          <w:b/>
          <w:color w:val="FF0000"/>
          <w:sz w:val="24"/>
        </w:rPr>
        <w:t>（信息不公开部分）</w:t>
      </w:r>
      <w:r>
        <w:rPr>
          <w:rFonts w:hint="eastAsia" w:ascii="宋体" w:hAnsi="宋体" w:eastAsia="宋体" w:cs="宋体"/>
          <w:sz w:val="24"/>
        </w:rPr>
        <w:t>：主要包括以下内容：</w:t>
      </w:r>
    </w:p>
    <w:p w14:paraId="679077E1">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（1）法定代表人（负责人）证明书</w:t>
      </w:r>
    </w:p>
    <w:p w14:paraId="34CDC27A">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（2）投标文件签署授权委托书</w:t>
      </w:r>
    </w:p>
    <w:p w14:paraId="0D1C7E60">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（3）实质性条款响应情况表</w:t>
      </w:r>
    </w:p>
    <w:p w14:paraId="6AD0E84A">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4</w:t>
      </w:r>
      <w:r>
        <w:rPr>
          <w:rFonts w:hint="eastAsia" w:ascii="宋体" w:hAnsi="宋体" w:cs="宋体"/>
          <w:szCs w:val="21"/>
          <w:lang w:eastAsia="zh-CN"/>
        </w:rPr>
        <w:t>）</w:t>
      </w:r>
      <w:r>
        <w:rPr>
          <w:rFonts w:hint="eastAsia" w:ascii="宋体" w:hAnsi="宋体" w:cs="宋体"/>
          <w:szCs w:val="21"/>
        </w:rPr>
        <w:t>项目整体设想及规划方案</w:t>
      </w:r>
    </w:p>
    <w:p w14:paraId="7E54B827">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5</w:t>
      </w:r>
      <w:r>
        <w:rPr>
          <w:rFonts w:hint="eastAsia" w:ascii="宋体" w:hAnsi="宋体" w:cs="宋体"/>
          <w:szCs w:val="21"/>
          <w:lang w:eastAsia="zh-CN"/>
        </w:rPr>
        <w:t>）</w:t>
      </w:r>
      <w:r>
        <w:rPr>
          <w:rFonts w:hint="eastAsia" w:ascii="宋体" w:hAnsi="宋体" w:cs="宋体"/>
          <w:szCs w:val="21"/>
          <w:lang w:val="zh-CN"/>
        </w:rPr>
        <w:t>规章管理制度、工作流程等</w:t>
      </w:r>
    </w:p>
    <w:p w14:paraId="2159ED77">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6</w:t>
      </w:r>
      <w:r>
        <w:rPr>
          <w:rFonts w:hint="eastAsia" w:ascii="宋体" w:hAnsi="宋体" w:cs="宋体"/>
          <w:szCs w:val="21"/>
          <w:lang w:eastAsia="zh-CN"/>
        </w:rPr>
        <w:t>）</w:t>
      </w:r>
      <w:r>
        <w:rPr>
          <w:rFonts w:hint="eastAsia" w:ascii="宋体" w:hAnsi="宋体" w:cs="宋体"/>
          <w:szCs w:val="21"/>
          <w:lang w:val="zh-CN"/>
        </w:rPr>
        <w:t>应急方案</w:t>
      </w:r>
    </w:p>
    <w:p w14:paraId="4C3E58B9">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7</w:t>
      </w:r>
      <w:r>
        <w:rPr>
          <w:rFonts w:hint="eastAsia" w:ascii="宋体" w:hAnsi="宋体" w:cs="宋体"/>
          <w:szCs w:val="21"/>
          <w:lang w:eastAsia="zh-CN"/>
        </w:rPr>
        <w:t>）拟安排</w:t>
      </w:r>
      <w:r>
        <w:rPr>
          <w:rFonts w:hint="eastAsia" w:ascii="宋体" w:hAnsi="宋体" w:cs="宋体"/>
          <w:szCs w:val="21"/>
        </w:rPr>
        <w:t>项目服务团队</w:t>
      </w:r>
      <w:r>
        <w:rPr>
          <w:rFonts w:hint="eastAsia" w:ascii="宋体" w:hAnsi="宋体" w:cs="宋体"/>
          <w:szCs w:val="21"/>
          <w:lang w:eastAsia="zh-CN"/>
        </w:rPr>
        <w:t>情况</w:t>
      </w:r>
    </w:p>
    <w:p w14:paraId="788E79BB">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8</w:t>
      </w:r>
      <w:r>
        <w:rPr>
          <w:rFonts w:hint="eastAsia" w:ascii="宋体" w:hAnsi="宋体" w:cs="宋体"/>
          <w:szCs w:val="21"/>
          <w:lang w:eastAsia="zh-CN"/>
        </w:rPr>
        <w:t>）</w:t>
      </w:r>
      <w:r>
        <w:rPr>
          <w:rFonts w:hint="eastAsia" w:ascii="宋体" w:hAnsi="宋体" w:cs="宋体"/>
          <w:color w:val="auto"/>
          <w:szCs w:val="21"/>
        </w:rPr>
        <w:t>拟投入本项目冷库（含冷冻库及冷藏库）情况</w:t>
      </w:r>
    </w:p>
    <w:p w14:paraId="0E8BBF09">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9</w:t>
      </w:r>
      <w:r>
        <w:rPr>
          <w:rFonts w:hint="eastAsia" w:ascii="宋体" w:hAnsi="宋体" w:cs="宋体"/>
          <w:szCs w:val="21"/>
          <w:lang w:eastAsia="zh-CN"/>
        </w:rPr>
        <w:t>）</w:t>
      </w:r>
      <w:r>
        <w:rPr>
          <w:rFonts w:hint="eastAsia" w:ascii="宋体" w:hAnsi="宋体" w:cs="宋体"/>
          <w:kern w:val="0"/>
          <w:szCs w:val="21"/>
        </w:rPr>
        <w:t>拟用于本项目生产基地情况</w:t>
      </w:r>
    </w:p>
    <w:p w14:paraId="4CC1264C">
      <w:pPr>
        <w:pageBreakBefore w:val="0"/>
        <w:kinsoku/>
        <w:overflowPunct/>
        <w:topLinePunct w:val="0"/>
        <w:bidi w:val="0"/>
        <w:spacing w:beforeAutospacing="0" w:afterAutospacing="0" w:line="360" w:lineRule="auto"/>
        <w:ind w:left="0" w:leftChars="0" w:right="0" w:firstLine="0" w:firstLineChars="0"/>
        <w:rPr>
          <w:rFonts w:hint="eastAsia" w:ascii="宋体" w:hAnsi="宋体" w:cs="宋体"/>
          <w:szCs w:val="21"/>
          <w:lang w:eastAsia="zh-CN"/>
        </w:rPr>
      </w:pPr>
      <w:r>
        <w:rPr>
          <w:rFonts w:hint="eastAsia" w:ascii="宋体" w:hAnsi="宋体" w:cs="宋体"/>
          <w:szCs w:val="21"/>
          <w:lang w:eastAsia="zh-CN"/>
        </w:rPr>
        <w:t>（</w:t>
      </w:r>
      <w:r>
        <w:rPr>
          <w:rFonts w:hint="eastAsia" w:ascii="宋体" w:hAnsi="宋体" w:cs="宋体"/>
          <w:szCs w:val="21"/>
          <w:lang w:val="en-US" w:eastAsia="zh-CN"/>
        </w:rPr>
        <w:t>10</w:t>
      </w:r>
      <w:r>
        <w:rPr>
          <w:rFonts w:hint="eastAsia" w:ascii="宋体" w:hAnsi="宋体" w:cs="宋体"/>
          <w:szCs w:val="21"/>
          <w:lang w:eastAsia="zh-CN"/>
        </w:rPr>
        <w:t>）</w:t>
      </w:r>
      <w:r>
        <w:rPr>
          <w:rFonts w:hint="eastAsia" w:ascii="宋体" w:hAnsi="宋体" w:cs="宋体"/>
          <w:kern w:val="0"/>
          <w:szCs w:val="21"/>
        </w:rPr>
        <w:t>拟投入本项目的配送场所面积</w:t>
      </w:r>
    </w:p>
    <w:p w14:paraId="5DC6E5F5">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kern w:val="0"/>
          <w:szCs w:val="21"/>
          <w:lang w:eastAsia="zh-CN"/>
        </w:rPr>
      </w:pP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11</w:t>
      </w:r>
      <w:r>
        <w:rPr>
          <w:rFonts w:hint="eastAsia" w:ascii="宋体" w:hAnsi="宋体" w:eastAsia="宋体" w:cs="宋体"/>
          <w:kern w:val="0"/>
          <w:szCs w:val="21"/>
          <w:lang w:eastAsia="zh-CN"/>
        </w:rPr>
        <w:t>）拟投入本项目的车辆</w:t>
      </w:r>
    </w:p>
    <w:p w14:paraId="4048AC0E">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kern w:val="0"/>
          <w:szCs w:val="21"/>
          <w:lang w:eastAsia="zh-CN"/>
        </w:rPr>
      </w:pP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12</w:t>
      </w:r>
      <w:r>
        <w:rPr>
          <w:rFonts w:hint="eastAsia" w:ascii="宋体" w:hAnsi="宋体" w:eastAsia="宋体" w:cs="宋体"/>
          <w:kern w:val="0"/>
          <w:szCs w:val="21"/>
          <w:lang w:eastAsia="zh-CN"/>
        </w:rPr>
        <w:t>）拟投入食品安全检测设备情况</w:t>
      </w:r>
    </w:p>
    <w:p w14:paraId="62103D30">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kern w:val="0"/>
          <w:szCs w:val="21"/>
          <w:lang w:eastAsia="zh-CN"/>
        </w:rPr>
      </w:pP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13</w:t>
      </w:r>
      <w:r>
        <w:rPr>
          <w:rFonts w:hint="eastAsia" w:ascii="宋体" w:hAnsi="宋体" w:eastAsia="宋体" w:cs="宋体"/>
          <w:kern w:val="0"/>
          <w:szCs w:val="21"/>
          <w:lang w:eastAsia="zh-CN"/>
        </w:rPr>
        <w:t>）投标人认为需要加以说明的其他内容</w:t>
      </w:r>
    </w:p>
    <w:p w14:paraId="0FDF8D03">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szCs w:val="21"/>
        </w:rPr>
      </w:pPr>
      <w:r>
        <w:rPr>
          <w:rFonts w:hint="eastAsia" w:ascii="宋体" w:hAnsi="宋体" w:eastAsia="宋体" w:cs="宋体"/>
          <w:b/>
          <w:szCs w:val="21"/>
        </w:rPr>
        <w:t>备注：</w:t>
      </w:r>
    </w:p>
    <w:p w14:paraId="4E2C978E">
      <w:pPr>
        <w:pageBreakBefore w:val="0"/>
        <w:kinsoku/>
        <w:overflowPunct/>
        <w:topLinePunct w:val="0"/>
        <w:bidi w:val="0"/>
        <w:spacing w:beforeAutospacing="0" w:afterAutospacing="0" w:line="240" w:lineRule="auto"/>
        <w:ind w:left="0" w:leftChars="0" w:right="0" w:firstLine="0" w:firstLineChars="0"/>
        <w:rPr>
          <w:rFonts w:hint="eastAsia" w:ascii="宋体" w:hAnsi="宋体" w:eastAsia="宋体" w:cs="宋体"/>
          <w:b/>
          <w:szCs w:val="21"/>
        </w:rPr>
      </w:pPr>
      <w:r>
        <w:rPr>
          <w:rFonts w:hint="eastAsia" w:ascii="宋体" w:hAnsi="宋体" w:eastAsia="宋体" w:cs="宋体"/>
          <w:b/>
          <w:szCs w:val="21"/>
        </w:rPr>
        <w:t>1.本项目为网上电子投标项目，投标文件不需法人或授权委托人另行签字，无需加盖单位公章，招标文件专用条款另有规定的除外。</w:t>
      </w:r>
    </w:p>
    <w:p w14:paraId="7043E2B4">
      <w:pPr>
        <w:spacing w:line="240" w:lineRule="auto"/>
        <w:rPr>
          <w:rFonts w:ascii="宋体" w:hAnsi="宋体"/>
          <w:b/>
          <w:bCs/>
          <w:sz w:val="28"/>
          <w:szCs w:val="28"/>
        </w:rPr>
      </w:pPr>
      <w:r>
        <w:rPr>
          <w:rFonts w:hint="eastAsia" w:ascii="宋体" w:hAnsi="宋体" w:eastAsia="宋体" w:cs="宋体"/>
          <w:b/>
          <w:szCs w:val="21"/>
        </w:rPr>
        <w:t>2.关于填写“开标一览表”的说明：“开标一览表”中除“投标总价”外，其他信息不作评审依据。</w:t>
      </w:r>
      <w:r>
        <w:rPr>
          <w:rFonts w:hint="eastAsia" w:ascii="宋体" w:hAnsi="宋体"/>
          <w:b/>
          <w:bCs/>
          <w:sz w:val="28"/>
          <w:szCs w:val="28"/>
        </w:rPr>
        <w:br w:type="page"/>
      </w:r>
    </w:p>
    <w:p w14:paraId="784C46A0">
      <w:pPr>
        <w:pageBreakBefore w:val="0"/>
        <w:kinsoku/>
        <w:overflowPunct/>
        <w:topLinePunct w:val="0"/>
        <w:bidi w:val="0"/>
        <w:spacing w:beforeAutospacing="0" w:afterAutospacing="0" w:line="360" w:lineRule="auto"/>
        <w:ind w:left="0" w:leftChars="0" w:right="0" w:firstLine="0" w:firstLineChars="0"/>
        <w:outlineLvl w:val="1"/>
        <w:rPr>
          <w:rFonts w:hint="eastAsia" w:ascii="宋体" w:hAnsi="宋体" w:eastAsia="宋体" w:cs="宋体"/>
          <w:b/>
          <w:color w:val="FF0000"/>
          <w:sz w:val="28"/>
          <w:szCs w:val="28"/>
        </w:rPr>
      </w:pPr>
      <w:r>
        <w:rPr>
          <w:rFonts w:hint="eastAsia" w:ascii="宋体" w:hAnsi="宋体" w:eastAsia="宋体" w:cs="宋体"/>
          <w:b/>
          <w:color w:val="FF0000"/>
          <w:sz w:val="28"/>
          <w:szCs w:val="28"/>
        </w:rPr>
        <w:t>投标文件正文（信息公开部分）</w:t>
      </w:r>
    </w:p>
    <w:p w14:paraId="7C72633D">
      <w:pPr>
        <w:pStyle w:val="4"/>
        <w:pageBreakBefore w:val="0"/>
        <w:kinsoku/>
        <w:overflowPunct/>
        <w:topLinePunct w:val="0"/>
        <w:bidi w:val="0"/>
        <w:spacing w:before="0" w:beforeAutospacing="0" w:after="0" w:afterAutospacing="0" w:line="360" w:lineRule="auto"/>
        <w:ind w:left="0" w:leftChars="0" w:right="0" w:firstLine="0" w:firstLineChars="0"/>
        <w:jc w:val="center"/>
        <w:rPr>
          <w:rFonts w:hint="eastAsia" w:ascii="宋体" w:hAnsi="宋体" w:eastAsia="宋体" w:cs="宋体"/>
          <w:b w:val="0"/>
          <w:kern w:val="0"/>
          <w:sz w:val="24"/>
        </w:rPr>
      </w:pPr>
      <w:r>
        <w:rPr>
          <w:rFonts w:hint="eastAsia" w:ascii="宋体" w:hAnsi="宋体" w:eastAsia="宋体" w:cs="宋体"/>
          <w:b w:val="0"/>
          <w:kern w:val="0"/>
          <w:sz w:val="24"/>
        </w:rPr>
        <w:t>一、投标函</w:t>
      </w:r>
    </w:p>
    <w:p w14:paraId="318F2277">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致：</w:t>
      </w:r>
      <w:r>
        <w:rPr>
          <w:rFonts w:hint="eastAsia" w:ascii="宋体" w:hAnsi="宋体" w:eastAsia="宋体" w:cs="宋体"/>
          <w:szCs w:val="21"/>
          <w:u w:val="single"/>
        </w:rPr>
        <w:t xml:space="preserve">  </w:t>
      </w:r>
      <w:r>
        <w:rPr>
          <w:rFonts w:hint="eastAsia" w:ascii="宋体" w:hAnsi="宋体" w:cs="宋体"/>
          <w:color w:val="FF0000"/>
          <w:szCs w:val="21"/>
          <w:u w:val="single"/>
          <w:lang w:eastAsia="zh-CN"/>
        </w:rPr>
        <w:t xml:space="preserve">                                   </w:t>
      </w:r>
      <w:r>
        <w:rPr>
          <w:rFonts w:hint="eastAsia" w:ascii="宋体" w:hAnsi="宋体" w:eastAsia="宋体" w:cs="宋体"/>
          <w:szCs w:val="21"/>
          <w:u w:val="single"/>
        </w:rPr>
        <w:t xml:space="preserve">  </w:t>
      </w:r>
    </w:p>
    <w:p w14:paraId="16C77CA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bookmarkStart w:id="31" w:name="_Hlk73818812"/>
      <w:r>
        <w:rPr>
          <w:rFonts w:hint="eastAsia" w:ascii="宋体" w:hAnsi="宋体" w:eastAsia="宋体" w:cs="宋体"/>
          <w:szCs w:val="21"/>
        </w:rPr>
        <w:t>1、根据已收到贵单位的项目编号为</w:t>
      </w:r>
      <w:r>
        <w:rPr>
          <w:rFonts w:hint="eastAsia" w:ascii="宋体" w:hAnsi="宋体" w:eastAsia="宋体" w:cs="宋体"/>
          <w:szCs w:val="21"/>
          <w:u w:val="single"/>
        </w:rPr>
        <w:t xml:space="preserve"> （项目编号） </w:t>
      </w:r>
      <w:r>
        <w:rPr>
          <w:rFonts w:hint="eastAsia" w:ascii="宋体" w:hAnsi="宋体" w:eastAsia="宋体" w:cs="宋体"/>
          <w:szCs w:val="21"/>
        </w:rPr>
        <w:t>的</w:t>
      </w:r>
      <w:r>
        <w:rPr>
          <w:rFonts w:hint="eastAsia" w:ascii="宋体" w:hAnsi="宋体" w:eastAsia="宋体" w:cs="宋体"/>
          <w:szCs w:val="21"/>
          <w:u w:val="single"/>
        </w:rPr>
        <w:t xml:space="preserve">  （项目名称） </w:t>
      </w:r>
      <w:r>
        <w:rPr>
          <w:rFonts w:hint="eastAsia" w:ascii="宋体" w:hAnsi="宋体" w:eastAsia="宋体" w:cs="宋体"/>
          <w:szCs w:val="21"/>
        </w:rPr>
        <w:t>项目的招标文件，遵照《深圳经济特区政府采购条例》和《深圳网上政府采购管理暂行办法》等有关规定，我单位经研究上述招标文件的专用条款及通用条款后，</w:t>
      </w:r>
      <w:bookmarkStart w:id="32" w:name="_Hlk72263588"/>
      <w:r>
        <w:rPr>
          <w:rFonts w:hint="eastAsia" w:ascii="宋体" w:hAnsi="宋体" w:eastAsia="宋体" w:cs="宋体"/>
          <w:szCs w:val="21"/>
        </w:rPr>
        <w:t>愿意按照招标文件要求承包上述项目并修补其任何缺陷。</w:t>
      </w:r>
      <w:bookmarkEnd w:id="32"/>
    </w:p>
    <w:p w14:paraId="220222C8">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2、投标价格见投标书编制软件中《开标一览表》中填写的投标总价。</w:t>
      </w:r>
    </w:p>
    <w:p w14:paraId="16273F3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3、如果我单位中标，我单位将按照招标文件的要求足额提交履约担保。</w:t>
      </w:r>
    </w:p>
    <w:p w14:paraId="5B5225F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4、我单位同意所递交的投标文件在“对通用条款的补充内容”中明确的投标有效期内有效，在此期间内我单位的投标有可能中标，我方将受此约束。</w:t>
      </w:r>
    </w:p>
    <w:p w14:paraId="551A4231">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5、除非另外达成协议并生效，贵单位的中标通知书和本投标文件将构成合同的重要内容。</w:t>
      </w:r>
    </w:p>
    <w:p w14:paraId="7E0E93D7">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6、我单位理解贵单位将不受必须接受所收到的最低报价或其它任何投标文件的约束。</w:t>
      </w:r>
      <w:bookmarkEnd w:id="31"/>
    </w:p>
    <w:p w14:paraId="3F87D16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szCs w:val="21"/>
        </w:rPr>
      </w:pPr>
      <w:r>
        <w:rPr>
          <w:rFonts w:hint="eastAsia" w:ascii="宋体" w:hAnsi="宋体" w:eastAsia="宋体" w:cs="宋体"/>
          <w:b/>
          <w:szCs w:val="21"/>
        </w:rPr>
        <w:t>7、如我单位提交样品，且未在规定时间内取回样品的，视同放弃取回，同意</w:t>
      </w:r>
      <w:r>
        <w:rPr>
          <w:rFonts w:hint="eastAsia" w:ascii="宋体" w:hAnsi="宋体" w:cs="宋体"/>
          <w:b/>
          <w:szCs w:val="21"/>
          <w:lang w:eastAsia="zh-CN"/>
        </w:rPr>
        <w:t xml:space="preserve">                                   </w:t>
      </w:r>
      <w:r>
        <w:rPr>
          <w:rFonts w:hint="eastAsia" w:ascii="宋体" w:hAnsi="宋体" w:eastAsia="宋体" w:cs="宋体"/>
          <w:b/>
          <w:szCs w:val="21"/>
        </w:rPr>
        <w:t>对我单位提交的样品进行清理。</w:t>
      </w:r>
    </w:p>
    <w:p w14:paraId="24E59FF5">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p>
    <w:p w14:paraId="0D116D4A">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u w:val="single"/>
        </w:rPr>
      </w:pPr>
      <w:r>
        <w:rPr>
          <w:rFonts w:hint="eastAsia" w:ascii="宋体" w:hAnsi="宋体" w:eastAsia="宋体" w:cs="宋体"/>
          <w:szCs w:val="21"/>
        </w:rPr>
        <w:t>投标人：</w:t>
      </w:r>
      <w:r>
        <w:rPr>
          <w:rFonts w:hint="eastAsia" w:ascii="宋体" w:hAnsi="宋体" w:eastAsia="宋体" w:cs="宋体"/>
          <w:szCs w:val="21"/>
          <w:u w:val="single"/>
        </w:rPr>
        <w:t xml:space="preserve">                   </w:t>
      </w:r>
      <w:r>
        <w:rPr>
          <w:rFonts w:hint="eastAsia" w:ascii="宋体" w:hAnsi="宋体" w:eastAsia="宋体" w:cs="宋体"/>
          <w:szCs w:val="21"/>
        </w:rPr>
        <w:t xml:space="preserve">    单位地址：</w:t>
      </w:r>
      <w:r>
        <w:rPr>
          <w:rFonts w:hint="eastAsia" w:ascii="宋体" w:hAnsi="宋体" w:eastAsia="宋体" w:cs="宋体"/>
          <w:szCs w:val="21"/>
          <w:u w:val="single"/>
        </w:rPr>
        <w:t xml:space="preserve">               </w:t>
      </w:r>
    </w:p>
    <w:p w14:paraId="1139D356">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u w:val="single"/>
        </w:rPr>
      </w:pPr>
      <w:r>
        <w:rPr>
          <w:rFonts w:hint="eastAsia" w:ascii="宋体" w:hAnsi="宋体" w:eastAsia="宋体" w:cs="宋体"/>
          <w:szCs w:val="21"/>
        </w:rPr>
        <w:t>法定代表人（负责人）或其代理人：</w:t>
      </w:r>
      <w:r>
        <w:rPr>
          <w:rFonts w:hint="eastAsia" w:ascii="宋体" w:hAnsi="宋体" w:eastAsia="宋体" w:cs="宋体"/>
          <w:szCs w:val="21"/>
          <w:u w:val="single"/>
        </w:rPr>
        <w:t xml:space="preserve">                   </w:t>
      </w:r>
    </w:p>
    <w:p w14:paraId="2EDFCF0D">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u w:val="single"/>
        </w:rPr>
      </w:pPr>
      <w:r>
        <w:rPr>
          <w:rFonts w:hint="eastAsia" w:ascii="宋体" w:hAnsi="宋体" w:eastAsia="宋体" w:cs="宋体"/>
          <w:szCs w:val="21"/>
        </w:rPr>
        <w:t>邮政编码：</w:t>
      </w:r>
      <w:r>
        <w:rPr>
          <w:rFonts w:hint="eastAsia" w:ascii="宋体" w:hAnsi="宋体" w:eastAsia="宋体" w:cs="宋体"/>
          <w:szCs w:val="21"/>
          <w:u w:val="single"/>
        </w:rPr>
        <w:t xml:space="preserve">          </w:t>
      </w:r>
      <w:r>
        <w:rPr>
          <w:rFonts w:hint="eastAsia" w:ascii="宋体" w:hAnsi="宋体" w:eastAsia="宋体" w:cs="宋体"/>
          <w:szCs w:val="21"/>
        </w:rPr>
        <w:t xml:space="preserve">  电话：</w:t>
      </w:r>
      <w:r>
        <w:rPr>
          <w:rFonts w:hint="eastAsia" w:ascii="宋体" w:hAnsi="宋体" w:eastAsia="宋体" w:cs="宋体"/>
          <w:szCs w:val="21"/>
          <w:u w:val="single"/>
        </w:rPr>
        <w:t xml:space="preserve">          </w:t>
      </w:r>
      <w:r>
        <w:rPr>
          <w:rFonts w:hint="eastAsia" w:ascii="宋体" w:hAnsi="宋体" w:eastAsia="宋体" w:cs="宋体"/>
          <w:szCs w:val="21"/>
        </w:rPr>
        <w:t xml:space="preserve">  传真：</w:t>
      </w:r>
      <w:r>
        <w:rPr>
          <w:rFonts w:hint="eastAsia" w:ascii="宋体" w:hAnsi="宋体" w:eastAsia="宋体" w:cs="宋体"/>
          <w:szCs w:val="21"/>
          <w:u w:val="single"/>
        </w:rPr>
        <w:t xml:space="preserve">            </w:t>
      </w:r>
    </w:p>
    <w:p w14:paraId="584591A3">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 w:val="24"/>
        </w:rPr>
      </w:pPr>
      <w:r>
        <w:rPr>
          <w:rFonts w:hint="eastAsia" w:ascii="宋体" w:hAnsi="宋体" w:eastAsia="宋体" w:cs="宋体"/>
          <w:szCs w:val="21"/>
        </w:rPr>
        <w:t>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r>
        <w:rPr>
          <w:rFonts w:hint="eastAsia" w:ascii="宋体" w:hAnsi="宋体" w:eastAsia="宋体" w:cs="宋体"/>
          <w:sz w:val="24"/>
        </w:rPr>
        <w:t xml:space="preserve">                                </w:t>
      </w:r>
    </w:p>
    <w:p w14:paraId="7D10C624">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p>
    <w:p w14:paraId="0ED05D5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p>
    <w:p w14:paraId="304D089E">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p>
    <w:p w14:paraId="1E07AF58">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p>
    <w:p w14:paraId="7FE84899">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p>
    <w:p w14:paraId="6B57067E">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val="0"/>
          <w:kern w:val="0"/>
          <w:sz w:val="24"/>
        </w:rPr>
      </w:pPr>
      <w:r>
        <w:rPr>
          <w:rFonts w:hint="eastAsia" w:ascii="宋体" w:hAnsi="宋体" w:eastAsia="宋体" w:cs="宋体"/>
          <w:b w:val="0"/>
          <w:kern w:val="0"/>
          <w:sz w:val="24"/>
        </w:rPr>
        <w:br w:type="page"/>
      </w:r>
    </w:p>
    <w:p w14:paraId="32D38B06">
      <w:pPr>
        <w:pStyle w:val="4"/>
        <w:pageBreakBefore w:val="0"/>
        <w:kinsoku/>
        <w:overflowPunct/>
        <w:topLinePunct w:val="0"/>
        <w:bidi w:val="0"/>
        <w:spacing w:before="0" w:beforeAutospacing="0" w:after="0" w:afterAutospacing="0" w:line="360" w:lineRule="auto"/>
        <w:ind w:left="0" w:leftChars="0" w:right="0" w:firstLine="0" w:firstLineChars="0"/>
        <w:jc w:val="center"/>
        <w:rPr>
          <w:rFonts w:hint="eastAsia" w:ascii="宋体" w:hAnsi="宋体" w:eastAsia="宋体" w:cs="宋体"/>
          <w:b w:val="0"/>
          <w:kern w:val="0"/>
          <w:sz w:val="24"/>
        </w:rPr>
      </w:pPr>
      <w:r>
        <w:rPr>
          <w:rFonts w:hint="eastAsia" w:ascii="宋体" w:hAnsi="宋体" w:eastAsia="宋体" w:cs="宋体"/>
          <w:b w:val="0"/>
          <w:kern w:val="0"/>
          <w:sz w:val="24"/>
        </w:rPr>
        <w:t>二、政府采购投标及履约承诺函</w:t>
      </w:r>
    </w:p>
    <w:p w14:paraId="3764498F">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 w:val="24"/>
        </w:rPr>
      </w:pPr>
    </w:p>
    <w:p w14:paraId="22B0CCEB">
      <w:pPr>
        <w:spacing w:line="360" w:lineRule="auto"/>
        <w:rPr>
          <w:rFonts w:hint="eastAsia" w:ascii="宋体" w:hAnsi="宋体" w:eastAsia="宋体" w:cs="宋体"/>
          <w:color w:val="auto"/>
          <w:sz w:val="22"/>
          <w:szCs w:val="22"/>
        </w:rPr>
      </w:pPr>
      <w:r>
        <w:rPr>
          <w:rFonts w:hint="eastAsia" w:ascii="宋体" w:hAnsi="宋体" w:eastAsia="宋体" w:cs="宋体"/>
          <w:color w:val="auto"/>
          <w:sz w:val="22"/>
          <w:szCs w:val="22"/>
        </w:rPr>
        <w:t>致：深圳市东海国际招标有限公司</w:t>
      </w:r>
    </w:p>
    <w:p w14:paraId="2569BD82">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我单位承诺：</w:t>
      </w:r>
    </w:p>
    <w:p w14:paraId="016B360C">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1.我单位参与本项目所投标（响应）的货物、工程或服务，不存在侵犯知识产权的情况；已知悉并同意中标（成交）结果信息公示（公开）的内容。</w:t>
      </w:r>
    </w:p>
    <w:p w14:paraId="23005563">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2.我单位参与该项目投标，符合招标文件关于联合体及进口产品的相关资格要求。</w:t>
      </w:r>
    </w:p>
    <w:p w14:paraId="6597015B">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3.我单位参与本项目政府采购活动时不存在被有关部门禁止参与政府采购活动且在有效期内的情况。</w:t>
      </w:r>
    </w:p>
    <w:p w14:paraId="1B5D466C">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4.我单位具备《中华人民共和国政府采购法》第二十二条第一款规定的六项条件。</w:t>
      </w:r>
    </w:p>
    <w:p w14:paraId="64B51FDC">
      <w:pPr>
        <w:spacing w:line="360" w:lineRule="auto"/>
        <w:ind w:firstLine="440" w:firstLineChars="200"/>
        <w:rPr>
          <w:rFonts w:hint="eastAsia" w:ascii="宋体" w:hAnsi="宋体" w:eastAsia="宋体" w:cs="宋体"/>
          <w:color w:val="auto"/>
          <w:sz w:val="22"/>
          <w:szCs w:val="22"/>
          <w:lang w:eastAsia="zh-CN"/>
        </w:rPr>
      </w:pPr>
      <w:r>
        <w:rPr>
          <w:rFonts w:hint="eastAsia" w:ascii="宋体" w:hAnsi="宋体" w:eastAsia="宋体" w:cs="宋体"/>
          <w:color w:val="auto"/>
          <w:sz w:val="22"/>
          <w:szCs w:val="22"/>
        </w:rPr>
        <w:t>5.我单位未被列入失信被执行人、重大税收违法案件当事人名单（重大税收违法失信主体）、政府采购严重违法失信行为记录名单</w:t>
      </w:r>
      <w:r>
        <w:rPr>
          <w:rFonts w:hint="eastAsia" w:ascii="宋体" w:hAnsi="宋体" w:eastAsia="宋体" w:cs="宋体"/>
          <w:color w:val="auto"/>
          <w:sz w:val="22"/>
          <w:szCs w:val="22"/>
          <w:lang w:eastAsia="zh-CN"/>
        </w:rPr>
        <w:t>。</w:t>
      </w:r>
    </w:p>
    <w:p w14:paraId="558E75E2">
      <w:pPr>
        <w:spacing w:line="360" w:lineRule="auto"/>
        <w:ind w:firstLine="440" w:firstLineChars="200"/>
        <w:rPr>
          <w:rFonts w:hint="eastAsia" w:ascii="宋体" w:hAnsi="宋体" w:eastAsia="宋体" w:cs="宋体"/>
          <w:color w:val="auto"/>
          <w:sz w:val="22"/>
          <w:szCs w:val="22"/>
          <w:lang w:eastAsia="zh-CN"/>
        </w:rPr>
      </w:pPr>
      <w:r>
        <w:rPr>
          <w:rFonts w:hint="eastAsia" w:ascii="宋体" w:hAnsi="宋体" w:eastAsia="宋体" w:cs="宋体"/>
          <w:color w:val="auto"/>
          <w:sz w:val="22"/>
          <w:szCs w:val="22"/>
        </w:rPr>
        <w:t>6.</w:t>
      </w:r>
      <w:r>
        <w:rPr>
          <w:rFonts w:hint="eastAsia" w:ascii="宋体" w:hAnsi="宋体" w:eastAsia="宋体" w:cs="宋体"/>
          <w:color w:val="auto"/>
          <w:sz w:val="22"/>
          <w:szCs w:val="22"/>
          <w:lang w:val="en-US" w:eastAsia="zh-CN"/>
        </w:rPr>
        <w:t>我单位</w:t>
      </w:r>
      <w:r>
        <w:rPr>
          <w:rFonts w:hint="eastAsia" w:ascii="宋体" w:hAnsi="宋体" w:eastAsia="宋体" w:cs="宋体"/>
          <w:color w:val="auto"/>
          <w:sz w:val="22"/>
          <w:szCs w:val="22"/>
        </w:rPr>
        <w:t>符合财政部和深圳市财政局关于诚信管理的要求，至投标截止时间，我单位未有在“信用中国”网（www.creditchina.gov.cn）、中国政府采购网（www.ccgp.gov.cn）、深圳市政府采购监督管理网（www.zfcg.sz.gov.cn）和“国家企业信用信息公示系统（www.gsxt.gov.cn）4个官网中列入“失信被执行人、重大税收违法案件当事人名单、政府采购严重违法失信行为记录名单”</w:t>
      </w:r>
      <w:r>
        <w:rPr>
          <w:rFonts w:hint="eastAsia" w:ascii="宋体" w:hAnsi="宋体" w:eastAsia="宋体" w:cs="宋体"/>
          <w:color w:val="auto"/>
          <w:sz w:val="22"/>
          <w:szCs w:val="22"/>
          <w:lang w:eastAsia="zh-CN"/>
        </w:rPr>
        <w:t>。</w:t>
      </w:r>
    </w:p>
    <w:p w14:paraId="66D68A6A">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7.</w:t>
      </w:r>
      <w:r>
        <w:rPr>
          <w:rFonts w:hint="eastAsia" w:ascii="宋体" w:hAnsi="宋体" w:eastAsia="宋体" w:cs="宋体"/>
          <w:color w:val="auto"/>
          <w:sz w:val="22"/>
          <w:szCs w:val="22"/>
        </w:rPr>
        <w:t>我单位参与该项目投标，严格遵守政府采购相关法律，不造假，不围标、串标、陪标。我单位已清楚，如违反上述要求，投标将作无效处理，被列入不良记录名单并在网上曝光，同时将被提请政府采购主管部门给予一定年限内禁止参与政府采购活动或其他处罚。</w:t>
      </w:r>
    </w:p>
    <w:p w14:paraId="00A6C571">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rPr>
        <w:t>.我单位如果中标，做到守信，不偷工减料，依照本项目招标文件需求内容、签署的采购合同及本单位在投标中所作的一切承诺履约。</w:t>
      </w:r>
    </w:p>
    <w:p w14:paraId="13D610D3">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9.</w:t>
      </w:r>
      <w:r>
        <w:rPr>
          <w:rFonts w:hint="eastAsia" w:ascii="宋体" w:hAnsi="宋体" w:eastAsia="宋体" w:cs="宋体"/>
          <w:color w:val="auto"/>
          <w:sz w:val="22"/>
          <w:szCs w:val="22"/>
        </w:rPr>
        <w:t>我单位对本项目的报价负责，中标后将严格按照本项目招标文件需求、签署的采购合同及我单位在投标中所作的全部承诺履行。我单位清楚，若以“报价太低而无法履约”为理由放弃本项目中标资格时，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14:paraId="4B1EFB33">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10</w:t>
      </w:r>
      <w:r>
        <w:rPr>
          <w:rFonts w:hint="eastAsia" w:ascii="宋体" w:hAnsi="宋体" w:eastAsia="宋体" w:cs="宋体"/>
          <w:color w:val="auto"/>
          <w:sz w:val="22"/>
          <w:szCs w:val="22"/>
        </w:rPr>
        <w:t>.我单位已认真核实了投标文件的全部内容，所有资料均为真实资料。我单位对投标文件中全部投标资料的真实性负责，如被证实我单位的投标文件中存在虚假资料的，则视为我单位隐瞒真实情况、提供虚假资料，我单位愿意接受主管部门作出的行政处罚。</w:t>
      </w:r>
    </w:p>
    <w:p w14:paraId="453E0D03">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11</w:t>
      </w:r>
      <w:r>
        <w:rPr>
          <w:rFonts w:hint="eastAsia" w:ascii="宋体" w:hAnsi="宋体" w:eastAsia="宋体" w:cs="宋体"/>
          <w:color w:val="auto"/>
          <w:sz w:val="22"/>
          <w:szCs w:val="22"/>
        </w:rPr>
        <w:t>.我单位承诺中标后项目不转包，未经采购人同意不进行分包。</w:t>
      </w:r>
    </w:p>
    <w:p w14:paraId="0E6176A5">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我单位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我单位承担全部责任。</w:t>
      </w:r>
    </w:p>
    <w:p w14:paraId="779392C2">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.我单位保证，若所投货物涉及《财政部生态环境部关于印发节能产品政府采购品目清单的通知》（财库〔2019〕19号）列明的政府采购强制产品，则所投该产品符合节能产品的认证要求。</w:t>
      </w:r>
    </w:p>
    <w:p w14:paraId="1BB2A6A2">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rPr>
        <w:t>.我单位保证，不存在“单位负责人为同一人或者存在直接控股、管理关系的不同供应商，不得参加同一合同项下的政府采购活动；为采购项目提供整体设计、规范编制或者项目管理、监理、检测等服务的供应商，不得再参加该采购项目的其他采购活动”的情形。</w:t>
      </w:r>
    </w:p>
    <w:p w14:paraId="64553E1E">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rPr>
        <w:t>.我单位保证</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rPr>
        <w:t>不存在《深圳市财政局政府采购供应商信用信息管理办法》（深财规（2023）3号）列明的严重违法失信行为。</w:t>
      </w:r>
    </w:p>
    <w:p w14:paraId="4A6B6BEC">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16.</w:t>
      </w:r>
      <w:r>
        <w:rPr>
          <w:rFonts w:hint="eastAsia" w:ascii="宋体" w:hAnsi="宋体" w:eastAsia="宋体" w:cs="宋体"/>
          <w:color w:val="auto"/>
          <w:sz w:val="22"/>
          <w:szCs w:val="22"/>
        </w:rPr>
        <w:t>我单位保证，若所投产品列入强制性产品认证目录的，则所投该产品须获得强制性产品认证证书（即CCC认证）；其中适用自我声明评价方式的产品，则所投该产品须具有“强制性认证产品符合性自我声明”；若所投产品列入工业产品生产许可证管理的产品目录的，则所投该产品生产者（制造商）须获得《全国工业产品生产许可证》。</w:t>
      </w:r>
    </w:p>
    <w:p w14:paraId="2D918BB4">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7</w:t>
      </w:r>
      <w:r>
        <w:rPr>
          <w:rFonts w:hint="eastAsia" w:ascii="宋体" w:hAnsi="宋体" w:eastAsia="宋体" w:cs="宋体"/>
          <w:color w:val="auto"/>
          <w:sz w:val="22"/>
          <w:szCs w:val="22"/>
        </w:rPr>
        <w:t>.我单位清楚，如存在违反投标承诺行为情节严重的，将根据《深圳市财政局关于印发&lt;深圳市财政局政府采购供应商信用信息管理办法&gt;的通知》，依法被列入失信信息。</w:t>
      </w:r>
    </w:p>
    <w:p w14:paraId="457A9FB7">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bidi="ar-SA"/>
        </w:rPr>
        <w:t>18.</w:t>
      </w:r>
      <w:r>
        <w:rPr>
          <w:rFonts w:hint="eastAsia" w:ascii="宋体" w:hAnsi="宋体" w:eastAsia="宋体" w:cs="宋体"/>
          <w:color w:val="auto"/>
          <w:sz w:val="22"/>
          <w:szCs w:val="22"/>
        </w:rPr>
        <w:t>我单位保证，</w:t>
      </w:r>
      <w:r>
        <w:rPr>
          <w:rFonts w:hint="eastAsia" w:ascii="宋体" w:hAnsi="宋体" w:eastAsia="宋体" w:cs="宋体"/>
          <w:color w:val="auto"/>
          <w:sz w:val="22"/>
          <w:szCs w:val="22"/>
          <w:lang w:val="en-US" w:eastAsia="zh-CN" w:bidi="ar-SA"/>
        </w:rPr>
        <w:t>参与本项目投标前三年内，在经营活动中没有重大违法记录。</w:t>
      </w:r>
    </w:p>
    <w:p w14:paraId="66F7DD41">
      <w:pPr>
        <w:spacing w:line="360" w:lineRule="auto"/>
        <w:ind w:firstLine="440" w:firstLineChars="200"/>
        <w:rPr>
          <w:rFonts w:hint="eastAsia" w:ascii="宋体" w:hAnsi="宋体" w:eastAsia="宋体" w:cs="宋体"/>
          <w:color w:val="auto"/>
          <w:sz w:val="22"/>
          <w:szCs w:val="22"/>
        </w:rPr>
      </w:pPr>
      <w:r>
        <w:rPr>
          <w:rFonts w:hint="eastAsia" w:ascii="宋体" w:hAnsi="宋体" w:eastAsia="宋体" w:cs="宋体"/>
          <w:color w:val="auto"/>
          <w:sz w:val="22"/>
          <w:szCs w:val="22"/>
        </w:rPr>
        <w:t>以上承诺，如有违反，愿依照国家相关法律法规处理，并承担由此给采购人带来的损失。</w:t>
      </w:r>
    </w:p>
    <w:p w14:paraId="110E3F1A">
      <w:pPr>
        <w:spacing w:line="360" w:lineRule="auto"/>
        <w:rPr>
          <w:color w:val="auto"/>
          <w:szCs w:val="21"/>
        </w:rPr>
      </w:pPr>
    </w:p>
    <w:p w14:paraId="4FE75E24">
      <w:pPr>
        <w:spacing w:line="360" w:lineRule="auto"/>
        <w:rPr>
          <w:b/>
          <w:color w:val="auto"/>
        </w:rPr>
      </w:pPr>
      <w:r>
        <w:rPr>
          <w:rFonts w:hint="eastAsia"/>
          <w:b/>
          <w:color w:val="auto"/>
          <w:szCs w:val="21"/>
        </w:rPr>
        <w:t>投标人：</w:t>
      </w:r>
    </w:p>
    <w:p w14:paraId="199B4EE9">
      <w:pPr>
        <w:spacing w:line="360" w:lineRule="auto"/>
        <w:rPr>
          <w:rFonts w:ascii="宋体"/>
          <w:color w:val="auto"/>
          <w:szCs w:val="21"/>
        </w:rPr>
      </w:pPr>
      <w:r>
        <w:rPr>
          <w:rFonts w:hint="eastAsia" w:ascii="宋体" w:hAnsi="宋体"/>
          <w:color w:val="auto"/>
          <w:szCs w:val="21"/>
        </w:rPr>
        <w:t>日期：</w:t>
      </w:r>
      <w:r>
        <w:rPr>
          <w:rFonts w:ascii="宋体" w:hAnsi="宋体"/>
          <w:color w:val="auto"/>
          <w:szCs w:val="21"/>
          <w:u w:val="single"/>
        </w:rPr>
        <w:t xml:space="preserve">   </w:t>
      </w:r>
      <w:r>
        <w:rPr>
          <w:rFonts w:hint="eastAsia" w:ascii="宋体" w:hAnsi="宋体"/>
          <w:color w:val="auto"/>
          <w:szCs w:val="21"/>
        </w:rPr>
        <w:t>年</w:t>
      </w:r>
      <w:r>
        <w:rPr>
          <w:rFonts w:ascii="宋体" w:hAnsi="宋体"/>
          <w:color w:val="auto"/>
          <w:szCs w:val="21"/>
          <w:u w:val="single"/>
        </w:rPr>
        <w:t xml:space="preserve">  </w:t>
      </w:r>
      <w:r>
        <w:rPr>
          <w:rFonts w:hint="eastAsia" w:ascii="宋体" w:hAnsi="宋体"/>
          <w:color w:val="auto"/>
          <w:szCs w:val="21"/>
        </w:rPr>
        <w:t>月</w:t>
      </w:r>
      <w:r>
        <w:rPr>
          <w:rFonts w:ascii="宋体" w:hAnsi="宋体"/>
          <w:color w:val="auto"/>
          <w:szCs w:val="21"/>
          <w:u w:val="single"/>
        </w:rPr>
        <w:t xml:space="preserve">  </w:t>
      </w:r>
      <w:r>
        <w:rPr>
          <w:rFonts w:hint="eastAsia" w:ascii="宋体" w:hAnsi="宋体"/>
          <w:color w:val="auto"/>
          <w:szCs w:val="21"/>
        </w:rPr>
        <w:t>日</w:t>
      </w:r>
    </w:p>
    <w:p w14:paraId="46B85AAD">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p>
    <w:p w14:paraId="2E8A66EA">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p>
    <w:p w14:paraId="7EE34E25">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p>
    <w:p w14:paraId="272E73B0">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p>
    <w:p w14:paraId="2F51A84D">
      <w:pPr>
        <w:pStyle w:val="4"/>
        <w:pageBreakBefore w:val="0"/>
        <w:kinsoku/>
        <w:overflowPunct/>
        <w:topLinePunct w:val="0"/>
        <w:bidi w:val="0"/>
        <w:spacing w:before="0" w:beforeAutospacing="0" w:after="0" w:afterAutospacing="0" w:line="360" w:lineRule="auto"/>
        <w:ind w:left="0" w:leftChars="0" w:right="0" w:firstLine="0" w:firstLineChars="0"/>
        <w:jc w:val="center"/>
        <w:rPr>
          <w:rFonts w:hint="eastAsia" w:ascii="宋体" w:hAnsi="宋体" w:eastAsia="宋体" w:cs="宋体"/>
          <w:b w:val="0"/>
          <w:kern w:val="0"/>
          <w:sz w:val="24"/>
        </w:rPr>
      </w:pPr>
      <w:r>
        <w:rPr>
          <w:rFonts w:hint="eastAsia" w:ascii="宋体" w:hAnsi="宋体" w:eastAsia="宋体" w:cs="宋体"/>
          <w:b w:val="0"/>
          <w:kern w:val="0"/>
          <w:sz w:val="24"/>
        </w:rPr>
        <w:t>三、投标人情况及资格证明文件</w:t>
      </w:r>
    </w:p>
    <w:p w14:paraId="1CD83785">
      <w:pPr>
        <w:pageBreakBefore w:val="0"/>
        <w:kinsoku/>
        <w:overflowPunct/>
        <w:topLinePunct w:val="0"/>
        <w:bidi w:val="0"/>
        <w:spacing w:beforeAutospacing="0" w:afterAutospacing="0" w:line="360" w:lineRule="auto"/>
        <w:ind w:left="0" w:leftChars="0" w:right="0" w:firstLine="0" w:firstLineChars="0"/>
        <w:outlineLvl w:val="3"/>
        <w:rPr>
          <w:rFonts w:hint="eastAsia" w:ascii="宋体" w:hAnsi="宋体" w:eastAsia="宋体" w:cs="宋体"/>
          <w:bCs/>
          <w:kern w:val="0"/>
          <w:sz w:val="24"/>
          <w:szCs w:val="32"/>
        </w:rPr>
      </w:pPr>
      <w:r>
        <w:rPr>
          <w:rFonts w:hint="eastAsia" w:ascii="宋体" w:hAnsi="宋体" w:eastAsia="宋体" w:cs="宋体"/>
          <w:bCs/>
          <w:kern w:val="0"/>
          <w:sz w:val="24"/>
          <w:szCs w:val="32"/>
        </w:rPr>
        <w:t>（一）投标人资格证明文件</w:t>
      </w:r>
    </w:p>
    <w:p w14:paraId="17D62D7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bCs/>
          <w:color w:val="FF0000"/>
        </w:rPr>
      </w:pPr>
      <w:r>
        <w:rPr>
          <w:rFonts w:hint="eastAsia" w:ascii="宋体" w:hAnsi="宋体" w:eastAsia="宋体" w:cs="宋体"/>
          <w:b/>
          <w:bCs/>
          <w:color w:val="FF0000"/>
        </w:rPr>
        <w:t>（特别提示：投标人须按本招标文件第一册第一章招标公告 “申请人的资格要求”（即投标人资格要求）提供相关的资格证明资料，未提供或提供不完整、不符合要求的，将作投标无效处理。）</w:t>
      </w:r>
    </w:p>
    <w:p w14:paraId="7915E799">
      <w:pPr>
        <w:pStyle w:val="18"/>
        <w:jc w:val="center"/>
        <w:rPr>
          <w:rFonts w:hint="eastAsia" w:eastAsia="宋体"/>
          <w:color w:val="FF0000"/>
          <w:lang w:eastAsia="zh-CN"/>
        </w:rPr>
      </w:pPr>
      <w:r>
        <w:rPr>
          <w:rFonts w:hint="eastAsia"/>
          <w:color w:val="FF0000"/>
          <w:lang w:eastAsia="zh-CN"/>
        </w:rPr>
        <w:t>（格式自拟）</w:t>
      </w:r>
    </w:p>
    <w:p w14:paraId="7BE7DDA6">
      <w:pPr>
        <w:pageBreakBefore w:val="0"/>
        <w:kinsoku/>
        <w:overflowPunct/>
        <w:topLinePunct w:val="0"/>
        <w:bidi w:val="0"/>
        <w:spacing w:beforeAutospacing="0" w:afterAutospacing="0" w:line="360" w:lineRule="auto"/>
        <w:ind w:left="0" w:leftChars="0" w:right="0" w:firstLine="0" w:firstLineChars="0"/>
        <w:outlineLvl w:val="3"/>
        <w:rPr>
          <w:rFonts w:hint="eastAsia" w:ascii="宋体" w:hAnsi="宋体" w:eastAsia="宋体" w:cs="宋体"/>
          <w:bCs/>
          <w:kern w:val="0"/>
          <w:sz w:val="24"/>
          <w:szCs w:val="32"/>
        </w:rPr>
      </w:pPr>
      <w:r>
        <w:rPr>
          <w:rFonts w:hint="eastAsia" w:ascii="宋体" w:hAnsi="宋体" w:cs="宋体"/>
          <w:bCs/>
          <w:kern w:val="0"/>
          <w:sz w:val="24"/>
          <w:szCs w:val="32"/>
          <w:lang w:eastAsia="zh-CN"/>
        </w:rPr>
        <w:t>（</w:t>
      </w:r>
      <w:r>
        <w:rPr>
          <w:rFonts w:hint="eastAsia" w:ascii="宋体" w:hAnsi="宋体" w:cs="宋体"/>
          <w:bCs/>
          <w:kern w:val="0"/>
          <w:sz w:val="24"/>
          <w:szCs w:val="32"/>
          <w:lang w:val="en-US" w:eastAsia="zh-CN"/>
        </w:rPr>
        <w:t>二</w:t>
      </w:r>
      <w:r>
        <w:rPr>
          <w:rFonts w:hint="eastAsia" w:ascii="宋体" w:hAnsi="宋体" w:cs="宋体"/>
          <w:bCs/>
          <w:kern w:val="0"/>
          <w:sz w:val="24"/>
          <w:szCs w:val="32"/>
          <w:lang w:eastAsia="zh-CN"/>
        </w:rPr>
        <w:t>）</w:t>
      </w:r>
      <w:r>
        <w:rPr>
          <w:rFonts w:hint="eastAsia" w:ascii="宋体" w:hAnsi="宋体" w:eastAsia="宋体" w:cs="宋体"/>
          <w:bCs/>
          <w:kern w:val="0"/>
          <w:sz w:val="24"/>
          <w:szCs w:val="32"/>
        </w:rPr>
        <w:t>中小企业声明函、残疾人福利性单位声明函及监狱企业声明函</w:t>
      </w:r>
    </w:p>
    <w:p w14:paraId="08129CD8">
      <w:r>
        <w:t>备注：（1）该部分内容由供应商根据自身情况填写相关声明，不符合要求的供应商可以不填写或删除相应的声明函。投标人对声明函的真实性负责。如提供虚假声明，将报送主管部门给予行政处罚。</w:t>
      </w:r>
    </w:p>
    <w:p w14:paraId="3C8B2BE6">
      <w:r>
        <w:t>（2）声明函的有效性最终由评标委员会判定，如评标委员会判定声明函无效，相关供应商不享受相应的价格扣除（但不作投标无效处理）。</w:t>
      </w:r>
    </w:p>
    <w:p w14:paraId="6A36BF7B">
      <w:pPr>
        <w:ind w:firstLine="422" w:firstLineChars="200"/>
        <w:rPr>
          <w:b/>
        </w:rPr>
      </w:pPr>
      <w:r>
        <w:rPr>
          <w:b/>
        </w:rPr>
        <w:t>1</w:t>
      </w:r>
      <w:r>
        <w:rPr>
          <w:rFonts w:hint="eastAsia" w:ascii="宋体" w:hAnsi="宋体"/>
          <w:b/>
        </w:rPr>
        <w:t>、该部分内容由供应商根据自身实际情况填写，不符合要求的供应商可以不填写或直接删除相应的声明函。供应商自行对声明内容的真实性负责；如提供虚假声明，将报送主管部门进行处理。若无法确定是否为中小微企业，可查阅《关于印发中小企业划型标准规定的通知》（工信部联企业〔</w:t>
      </w:r>
      <w:r>
        <w:rPr>
          <w:b/>
        </w:rPr>
        <w:t>2011</w:t>
      </w:r>
      <w:r>
        <w:rPr>
          <w:rFonts w:ascii="宋体" w:hAnsi="宋体"/>
          <w:b/>
        </w:rPr>
        <w:t>〕</w:t>
      </w:r>
      <w:r>
        <w:rPr>
          <w:b/>
        </w:rPr>
        <w:t>300</w:t>
      </w:r>
      <w:r>
        <w:rPr>
          <w:rFonts w:hint="eastAsia" w:ascii="宋体" w:hAnsi="宋体"/>
          <w:b/>
        </w:rPr>
        <w:t>号）或向供应商注册登记所在地的县级以上人民政府中小企业主管部门咨询。</w:t>
      </w:r>
    </w:p>
    <w:p w14:paraId="37B2705E">
      <w:pPr>
        <w:ind w:firstLine="422" w:firstLineChars="200"/>
        <w:rPr>
          <w:b/>
        </w:rPr>
      </w:pPr>
      <w:r>
        <w:rPr>
          <w:b/>
        </w:rPr>
        <w:t>2</w:t>
      </w:r>
      <w:r>
        <w:rPr>
          <w:rFonts w:hint="eastAsia" w:ascii="宋体" w:hAnsi="宋体"/>
          <w:b/>
        </w:rPr>
        <w:t>、该部分内容填写需要参考的相关文件：</w:t>
      </w:r>
      <w:r>
        <w:rPr>
          <w:b/>
        </w:rPr>
        <w:t xml:space="preserve">(1) </w:t>
      </w:r>
      <w:r>
        <w:rPr>
          <w:rFonts w:hint="eastAsia" w:ascii="宋体" w:hAnsi="宋体"/>
          <w:b/>
        </w:rPr>
        <w:t>《政府采购促进中小企业发展管理办法》（财库〔</w:t>
      </w:r>
      <w:r>
        <w:rPr>
          <w:b/>
        </w:rPr>
        <w:t>2020</w:t>
      </w:r>
      <w:r>
        <w:rPr>
          <w:rFonts w:hint="eastAsia" w:ascii="宋体" w:hAnsi="宋体"/>
          <w:b/>
        </w:rPr>
        <w:t>〕</w:t>
      </w:r>
      <w:r>
        <w:rPr>
          <w:b/>
        </w:rPr>
        <w:t>46</w:t>
      </w:r>
      <w:r>
        <w:rPr>
          <w:rFonts w:hint="eastAsia" w:ascii="宋体" w:hAnsi="宋体"/>
          <w:b/>
        </w:rPr>
        <w:t>号）；</w:t>
      </w:r>
      <w:r>
        <w:rPr>
          <w:b/>
        </w:rPr>
        <w:t xml:space="preserve">(2) </w:t>
      </w:r>
      <w:r>
        <w:rPr>
          <w:rFonts w:hint="eastAsia" w:ascii="宋体" w:hAnsi="宋体"/>
          <w:b/>
        </w:rPr>
        <w:t>《工业和信息化部、国家统计局、国家发展和改革委员会、财政部关于印发中小企业划型标准规定的通知》（工信部联企业〔</w:t>
      </w:r>
      <w:r>
        <w:rPr>
          <w:b/>
        </w:rPr>
        <w:t>2011</w:t>
      </w:r>
      <w:r>
        <w:rPr>
          <w:rFonts w:hint="eastAsia" w:ascii="宋体" w:hAnsi="宋体"/>
          <w:b/>
        </w:rPr>
        <w:t>〕</w:t>
      </w:r>
      <w:r>
        <w:rPr>
          <w:b/>
        </w:rPr>
        <w:t xml:space="preserve">300 </w:t>
      </w:r>
      <w:r>
        <w:rPr>
          <w:rFonts w:hint="eastAsia" w:ascii="宋体" w:hAnsi="宋体"/>
          <w:b/>
        </w:rPr>
        <w:t>号）。</w:t>
      </w:r>
    </w:p>
    <w:p w14:paraId="6FD66208">
      <w:pPr>
        <w:ind w:firstLine="422" w:firstLineChars="200"/>
        <w:rPr>
          <w:b/>
        </w:rPr>
      </w:pPr>
      <w:r>
        <w:rPr>
          <w:b/>
        </w:rPr>
        <w:t>3</w:t>
      </w:r>
      <w:r>
        <w:rPr>
          <w:rFonts w:hint="eastAsia" w:ascii="宋体" w:hAnsi="宋体"/>
          <w:b/>
        </w:rPr>
        <w:t>、请依照提供的格式和内容填写声明函，不要随意变更格式或增删内容；满足多项优惠政策的供应商，不重复享受多项价格扣除政策。</w:t>
      </w:r>
    </w:p>
    <w:p w14:paraId="62016BDD">
      <w:pPr>
        <w:spacing w:after="120"/>
        <w:ind w:firstLine="422" w:firstLineChars="200"/>
      </w:pPr>
      <w:r>
        <w:rPr>
          <w:b/>
        </w:rPr>
        <w:t>4</w:t>
      </w:r>
      <w:r>
        <w:rPr>
          <w:rFonts w:hint="eastAsia" w:ascii="宋体" w:hAnsi="宋体"/>
          <w:b/>
        </w:rPr>
        <w:t>、组成联合体或者接受分包的小微企业与联合体内其他企业、分包企业之间存在直接控股、管理关系的，不享受价格扣除优惠。</w:t>
      </w:r>
    </w:p>
    <w:p w14:paraId="30701962">
      <w:pPr>
        <w:ind w:firstLine="422" w:firstLineChars="200"/>
        <w:rPr>
          <w:b/>
        </w:rPr>
      </w:pPr>
      <w:r>
        <w:rPr>
          <w:b/>
        </w:rPr>
        <w:t>5</w:t>
      </w:r>
      <w:r>
        <w:rPr>
          <w:rFonts w:hint="eastAsia" w:ascii="宋体" w:hAnsi="宋体"/>
          <w:b/>
        </w:rPr>
        <w:t>、声明函具体填写要求：</w:t>
      </w:r>
    </w:p>
    <w:p w14:paraId="72844204">
      <w:pPr>
        <w:ind w:firstLine="422" w:firstLineChars="200"/>
        <w:rPr>
          <w:b/>
        </w:rPr>
      </w:pPr>
      <w:r>
        <w:rPr>
          <w:rFonts w:hint="eastAsia" w:ascii="宋体" w:hAnsi="宋体"/>
          <w:b/>
        </w:rPr>
        <w:t>（</w:t>
      </w:r>
      <w:r>
        <w:rPr>
          <w:b/>
        </w:rPr>
        <w:t>1</w:t>
      </w:r>
      <w:r>
        <w:rPr>
          <w:rFonts w:hint="eastAsia" w:ascii="宋体" w:hAnsi="宋体"/>
          <w:b/>
        </w:rPr>
        <w:t>）请供应商根据实际情况填写《中小企业声明函》的标红加下划线部分内容：</w:t>
      </w:r>
    </w:p>
    <w:p w14:paraId="3671E173">
      <w:pPr>
        <w:ind w:firstLine="422" w:firstLineChars="200"/>
        <w:rPr>
          <w:b/>
        </w:rPr>
      </w:pPr>
      <w:r>
        <w:rPr>
          <w:rFonts w:hint="eastAsia" w:ascii="宋体" w:hAnsi="宋体"/>
          <w:b/>
        </w:rPr>
        <w:t>在“采购单位名称”下划线处填写本项目的实际采购单位名称（深圳市东海国际招标有限公司）不是本项目的采购单位，而是本项目的组织实施机构）；</w:t>
      </w:r>
    </w:p>
    <w:p w14:paraId="352EE589">
      <w:pPr>
        <w:ind w:firstLine="422" w:firstLineChars="200"/>
        <w:rPr>
          <w:b/>
        </w:rPr>
      </w:pPr>
      <w:r>
        <w:rPr>
          <w:rFonts w:hint="eastAsia" w:ascii="宋体" w:hAnsi="宋体"/>
          <w:b/>
        </w:rPr>
        <w:t>在“采购项目名称”下划线处填写本项目的实际项目名称（项目名称可在招标公告处查看）；</w:t>
      </w:r>
    </w:p>
    <w:p w14:paraId="6EB0241B">
      <w:pPr>
        <w:ind w:firstLine="422" w:firstLineChars="200"/>
        <w:rPr>
          <w:b/>
        </w:rPr>
      </w:pPr>
      <w:r>
        <w:rPr>
          <w:rFonts w:hint="eastAsia" w:ascii="宋体" w:hAnsi="宋体"/>
          <w:b/>
        </w:rPr>
        <w:t>在“标的名称”下划线处填写招标文件中采购需求中相对应的名称；</w:t>
      </w:r>
    </w:p>
    <w:p w14:paraId="0023FA73">
      <w:pPr>
        <w:ind w:firstLine="422" w:firstLineChars="200"/>
        <w:rPr>
          <w:b/>
        </w:rPr>
      </w:pPr>
      <w:r>
        <w:rPr>
          <w:rFonts w:hint="eastAsia" w:ascii="宋体" w:hAnsi="宋体"/>
          <w:b/>
        </w:rPr>
        <w:t>在“采购文件中明确的所属行业”中填写对应的行业类别；</w:t>
      </w:r>
    </w:p>
    <w:p w14:paraId="35F89D22">
      <w:pPr>
        <w:ind w:firstLine="422" w:firstLineChars="200"/>
        <w:rPr>
          <w:b/>
        </w:rPr>
      </w:pPr>
      <w:r>
        <w:rPr>
          <w:rFonts w:hint="eastAsia" w:ascii="宋体" w:hAnsi="宋体"/>
          <w:b/>
        </w:rPr>
        <w:t>在“企业名称”中填写所提供货物的制造商的企业名称，并如实填写该企业需要填报的其他情况。</w:t>
      </w:r>
    </w:p>
    <w:p w14:paraId="14B3A49D">
      <w:pPr>
        <w:ind w:firstLine="422" w:firstLineChars="200"/>
        <w:rPr>
          <w:b/>
        </w:rPr>
      </w:pPr>
      <w:r>
        <w:rPr>
          <w:rFonts w:hint="eastAsia" w:ascii="宋体" w:hAnsi="宋体"/>
          <w:b/>
        </w:rPr>
        <w:t>（</w:t>
      </w:r>
      <w:r>
        <w:rPr>
          <w:b/>
        </w:rPr>
        <w:t>2</w:t>
      </w:r>
      <w:r>
        <w:rPr>
          <w:rFonts w:hint="eastAsia" w:ascii="宋体" w:hAnsi="宋体"/>
          <w:b/>
        </w:rPr>
        <w:t>）声明是残疾人福利性单位须填写《残疾人福利性单位声明函》的三项内容（填写位置的字体已加粗），具体参照以上《中小企业声明函》填写要求执行。</w:t>
      </w:r>
    </w:p>
    <w:p w14:paraId="2FB19D7F">
      <w:pPr>
        <w:ind w:firstLine="422" w:firstLineChars="200"/>
        <w:rPr>
          <w:b/>
        </w:rPr>
      </w:pPr>
      <w:r>
        <w:rPr>
          <w:rFonts w:hint="eastAsia" w:ascii="宋体" w:hAnsi="宋体"/>
          <w:b/>
        </w:rPr>
        <w:t>（</w:t>
      </w:r>
      <w:r>
        <w:rPr>
          <w:b/>
        </w:rPr>
        <w:t>3</w:t>
      </w:r>
      <w:r>
        <w:rPr>
          <w:rFonts w:hint="eastAsia" w:ascii="宋体" w:hAnsi="宋体"/>
          <w:b/>
        </w:rPr>
        <w:t>）声明是监狱企业须填写《监狱企业声明函》的三项内容（填写位置的字体已加粗），具体参照以上《中小企业声明函》填写要求执行。</w:t>
      </w:r>
    </w:p>
    <w:p w14:paraId="4AFF684D">
      <w:pPr>
        <w:ind w:firstLine="422" w:firstLineChars="200"/>
        <w:rPr>
          <w:b/>
        </w:rPr>
      </w:pPr>
      <w:r>
        <w:rPr>
          <w:b/>
        </w:rPr>
        <w:t>6</w:t>
      </w:r>
      <w:r>
        <w:rPr>
          <w:rFonts w:hint="eastAsia" w:ascii="宋体" w:hAnsi="宋体"/>
          <w:b/>
        </w:rPr>
        <w:t>、声明函的有效性最终由评审委员会判定。</w:t>
      </w:r>
    </w:p>
    <w:p w14:paraId="621C0019">
      <w:pPr>
        <w:ind w:firstLine="422" w:firstLineChars="200"/>
        <w:rPr>
          <w:b/>
        </w:rPr>
      </w:pPr>
      <w:r>
        <w:rPr>
          <w:b/>
        </w:rPr>
        <w:t>7</w:t>
      </w:r>
      <w:r>
        <w:rPr>
          <w:rFonts w:hint="eastAsia" w:ascii="宋体" w:hAnsi="宋体"/>
          <w:b/>
        </w:rPr>
        <w:t>、中标、成交供应商享受《政府采购促进中小企业发展管理办法》（财库〔</w:t>
      </w:r>
      <w:r>
        <w:rPr>
          <w:b/>
        </w:rPr>
        <w:t>2020</w:t>
      </w:r>
      <w:r>
        <w:rPr>
          <w:rFonts w:hint="eastAsia" w:ascii="宋体" w:hAnsi="宋体"/>
          <w:b/>
        </w:rPr>
        <w:t>〕</w:t>
      </w:r>
      <w:r>
        <w:rPr>
          <w:b/>
        </w:rPr>
        <w:t>46</w:t>
      </w:r>
      <w:r>
        <w:rPr>
          <w:rFonts w:hint="eastAsia" w:ascii="宋体" w:hAnsi="宋体"/>
          <w:b/>
        </w:rPr>
        <w:t>号）规定的中小企业扶持政策的，《中小企业声明函》随中标、成交结果公示。</w:t>
      </w:r>
    </w:p>
    <w:p w14:paraId="2458F6CD">
      <w:pPr>
        <w:ind w:firstLine="422" w:firstLineChars="200"/>
        <w:rPr>
          <w:b/>
        </w:rPr>
      </w:pPr>
    </w:p>
    <w:p w14:paraId="23B2985C">
      <w:pPr>
        <w:ind w:firstLine="422" w:firstLineChars="200"/>
        <w:rPr>
          <w:b/>
        </w:rPr>
      </w:pPr>
    </w:p>
    <w:p w14:paraId="59CC8472">
      <w:pPr>
        <w:jc w:val="center"/>
        <w:rPr>
          <w:b/>
          <w:bCs/>
          <w:sz w:val="28"/>
          <w:szCs w:val="36"/>
        </w:rPr>
      </w:pPr>
      <w:r>
        <w:rPr>
          <w:rFonts w:hint="eastAsia"/>
          <w:b/>
          <w:bCs/>
          <w:sz w:val="28"/>
          <w:szCs w:val="36"/>
        </w:rPr>
        <w:t>（一）中小企业声明函</w:t>
      </w:r>
    </w:p>
    <w:p w14:paraId="4F0B1BA8">
      <w:pPr>
        <w:ind w:firstLine="440" w:firstLineChars="200"/>
        <w:rPr>
          <w:rFonts w:ascii="宋体" w:hAnsi="宋体" w:cs="宋体"/>
          <w:sz w:val="22"/>
          <w:szCs w:val="22"/>
        </w:rPr>
      </w:pPr>
      <w:r>
        <w:rPr>
          <w:rFonts w:hint="eastAsia" w:ascii="宋体" w:hAnsi="宋体" w:cs="宋体"/>
          <w:sz w:val="22"/>
          <w:szCs w:val="22"/>
        </w:rPr>
        <w:t>本公司（联合体）郑重声明，根据《政府采购促进中小企业发展管理办法》（财库﹝2020﹞46 号）的规定，本公司</w:t>
      </w:r>
    </w:p>
    <w:p w14:paraId="7932369E">
      <w:pPr>
        <w:ind w:firstLine="440" w:firstLineChars="200"/>
        <w:rPr>
          <w:rFonts w:ascii="宋体" w:hAnsi="宋体" w:cs="宋体"/>
          <w:sz w:val="22"/>
          <w:szCs w:val="22"/>
        </w:rPr>
      </w:pPr>
      <w:r>
        <w:rPr>
          <w:rFonts w:hint="eastAsia" w:ascii="宋体" w:hAnsi="宋体" w:cs="宋体"/>
          <w:sz w:val="22"/>
          <w:szCs w:val="22"/>
        </w:rPr>
        <w:t>（联合体）参加</w:t>
      </w:r>
      <w:r>
        <w:rPr>
          <w:rFonts w:hint="eastAsia" w:ascii="宋体" w:hAnsi="宋体" w:cs="宋体"/>
          <w:b/>
          <w:bCs/>
          <w:sz w:val="22"/>
          <w:szCs w:val="22"/>
          <w:u w:val="single"/>
        </w:rPr>
        <w:t>（单位名称）</w:t>
      </w:r>
      <w:r>
        <w:rPr>
          <w:rFonts w:hint="eastAsia" w:ascii="宋体" w:hAnsi="宋体" w:cs="宋体"/>
          <w:sz w:val="22"/>
          <w:szCs w:val="22"/>
        </w:rPr>
        <w:t>的</w:t>
      </w:r>
      <w:r>
        <w:rPr>
          <w:rFonts w:hint="eastAsia" w:ascii="宋体" w:hAnsi="宋体" w:cs="宋体"/>
          <w:b/>
          <w:bCs/>
          <w:sz w:val="22"/>
          <w:szCs w:val="22"/>
          <w:u w:val="single"/>
        </w:rPr>
        <w:t>（项目名称）</w:t>
      </w:r>
      <w:r>
        <w:rPr>
          <w:rFonts w:hint="eastAsia" w:ascii="宋体" w:hAnsi="宋体" w:cs="宋体"/>
          <w:sz w:val="22"/>
          <w:szCs w:val="22"/>
        </w:rPr>
        <w:t>采购活动，服务全部由符合政策要求的中小企业承接。相关企业（含联合体中的中小企业、签订分包意向协议的中小企业）的具体情况如下：</w:t>
      </w:r>
    </w:p>
    <w:p w14:paraId="23972F61">
      <w:pPr>
        <w:ind w:firstLine="442" w:firstLineChars="200"/>
        <w:rPr>
          <w:rFonts w:ascii="宋体" w:hAnsi="宋体" w:cs="宋体"/>
          <w:sz w:val="22"/>
          <w:szCs w:val="22"/>
        </w:rPr>
      </w:pPr>
      <w:r>
        <w:rPr>
          <w:rFonts w:hint="eastAsia" w:ascii="宋体" w:hAnsi="宋体" w:cs="宋体"/>
          <w:b/>
          <w:bCs/>
          <w:sz w:val="22"/>
          <w:szCs w:val="22"/>
          <w:u w:val="single"/>
        </w:rPr>
        <w:t>（标的名称）</w:t>
      </w:r>
      <w:r>
        <w:rPr>
          <w:rFonts w:hint="eastAsia" w:ascii="宋体" w:hAnsi="宋体" w:cs="宋体"/>
          <w:sz w:val="22"/>
          <w:szCs w:val="22"/>
        </w:rPr>
        <w:t>，属于</w:t>
      </w:r>
      <w:r>
        <w:rPr>
          <w:rFonts w:hint="eastAsia" w:ascii="宋体" w:hAnsi="宋体" w:cs="宋体"/>
          <w:b/>
          <w:bCs/>
          <w:sz w:val="22"/>
          <w:szCs w:val="22"/>
          <w:u w:val="single"/>
        </w:rPr>
        <w:t>（采购文件中明确的所属行业）</w:t>
      </w:r>
      <w:r>
        <w:rPr>
          <w:rFonts w:hint="eastAsia" w:ascii="宋体" w:hAnsi="宋体" w:cs="宋体"/>
          <w:sz w:val="22"/>
          <w:szCs w:val="22"/>
        </w:rPr>
        <w:t>；承接企业为</w:t>
      </w:r>
      <w:r>
        <w:rPr>
          <w:rFonts w:hint="eastAsia" w:ascii="宋体" w:hAnsi="宋体" w:cs="宋体"/>
          <w:b/>
          <w:bCs/>
          <w:sz w:val="22"/>
          <w:szCs w:val="22"/>
          <w:u w:val="single"/>
        </w:rPr>
        <w:t>（企业名称）</w:t>
      </w:r>
      <w:r>
        <w:rPr>
          <w:rFonts w:hint="eastAsia" w:ascii="宋体" w:hAnsi="宋体" w:cs="宋体"/>
          <w:b/>
          <w:bCs/>
          <w:sz w:val="22"/>
          <w:szCs w:val="22"/>
        </w:rPr>
        <w:t>，从业人员</w:t>
      </w:r>
      <w:r>
        <w:rPr>
          <w:rFonts w:hint="eastAsia" w:ascii="宋体" w:hAnsi="宋体" w:cs="宋体"/>
          <w:b/>
          <w:bCs/>
          <w:sz w:val="22"/>
          <w:szCs w:val="22"/>
          <w:u w:val="single"/>
        </w:rPr>
        <w:tab/>
      </w:r>
      <w:r>
        <w:rPr>
          <w:rFonts w:hint="eastAsia" w:ascii="宋体" w:hAnsi="宋体" w:cs="宋体"/>
          <w:b/>
          <w:bCs/>
          <w:sz w:val="22"/>
          <w:szCs w:val="22"/>
        </w:rPr>
        <w:t>人，营业收入为</w:t>
      </w:r>
      <w:r>
        <w:rPr>
          <w:rFonts w:hint="eastAsia" w:ascii="宋体" w:hAnsi="宋体" w:cs="宋体"/>
          <w:b/>
          <w:bCs/>
          <w:sz w:val="22"/>
          <w:szCs w:val="22"/>
          <w:u w:val="single"/>
        </w:rPr>
        <w:tab/>
      </w:r>
      <w:r>
        <w:rPr>
          <w:rFonts w:hint="eastAsia" w:ascii="宋体" w:hAnsi="宋体" w:cs="宋体"/>
          <w:b/>
          <w:bCs/>
          <w:sz w:val="22"/>
          <w:szCs w:val="22"/>
        </w:rPr>
        <w:t>万元，资产总额为</w:t>
      </w:r>
      <w:r>
        <w:rPr>
          <w:rFonts w:hint="eastAsia" w:ascii="宋体" w:hAnsi="宋体" w:cs="宋体"/>
          <w:b/>
          <w:bCs/>
          <w:sz w:val="22"/>
          <w:szCs w:val="22"/>
          <w:u w:val="single"/>
        </w:rPr>
        <w:tab/>
      </w:r>
      <w:r>
        <w:rPr>
          <w:rFonts w:hint="eastAsia" w:ascii="宋体" w:hAnsi="宋体" w:cs="宋体"/>
          <w:b/>
          <w:bCs/>
          <w:sz w:val="22"/>
          <w:szCs w:val="22"/>
        </w:rPr>
        <w:t>万元，属于</w:t>
      </w:r>
      <w:r>
        <w:rPr>
          <w:rFonts w:hint="eastAsia" w:ascii="宋体" w:hAnsi="宋体" w:cs="宋体"/>
          <w:b/>
          <w:bCs/>
          <w:sz w:val="22"/>
          <w:szCs w:val="22"/>
          <w:u w:val="single"/>
        </w:rPr>
        <w:t>（中型企业、小型企业、微型企业）</w:t>
      </w:r>
    </w:p>
    <w:p w14:paraId="02C32692">
      <w:pPr>
        <w:ind w:firstLine="442" w:firstLineChars="200"/>
        <w:rPr>
          <w:rFonts w:ascii="宋体" w:hAnsi="宋体" w:cs="宋体"/>
          <w:sz w:val="22"/>
          <w:szCs w:val="22"/>
        </w:rPr>
      </w:pPr>
      <w:r>
        <w:rPr>
          <w:rFonts w:hint="eastAsia" w:ascii="宋体" w:hAnsi="宋体" w:cs="宋体"/>
          <w:b/>
          <w:bCs/>
          <w:sz w:val="22"/>
          <w:szCs w:val="22"/>
          <w:u w:val="single"/>
        </w:rPr>
        <w:t>（标的名称）</w:t>
      </w:r>
      <w:r>
        <w:rPr>
          <w:rFonts w:hint="eastAsia" w:ascii="宋体" w:hAnsi="宋体" w:cs="宋体"/>
          <w:sz w:val="22"/>
          <w:szCs w:val="22"/>
        </w:rPr>
        <w:t>，属于</w:t>
      </w:r>
      <w:r>
        <w:rPr>
          <w:rFonts w:hint="eastAsia" w:ascii="宋体" w:hAnsi="宋体" w:cs="宋体"/>
          <w:b/>
          <w:bCs/>
          <w:sz w:val="22"/>
          <w:szCs w:val="22"/>
          <w:u w:val="single"/>
        </w:rPr>
        <w:t>（采购文件中明确的所属行业）</w:t>
      </w:r>
      <w:r>
        <w:rPr>
          <w:rFonts w:hint="eastAsia" w:ascii="宋体" w:hAnsi="宋体" w:cs="宋体"/>
          <w:sz w:val="22"/>
          <w:szCs w:val="22"/>
        </w:rPr>
        <w:t>；承接企业为</w:t>
      </w:r>
      <w:r>
        <w:rPr>
          <w:rFonts w:hint="eastAsia" w:ascii="宋体" w:hAnsi="宋体" w:cs="宋体"/>
          <w:b/>
          <w:bCs/>
          <w:sz w:val="22"/>
          <w:szCs w:val="22"/>
          <w:u w:val="single"/>
        </w:rPr>
        <w:t>（企业名称）</w:t>
      </w:r>
      <w:r>
        <w:rPr>
          <w:rFonts w:hint="eastAsia" w:ascii="宋体" w:hAnsi="宋体" w:cs="宋体"/>
          <w:b/>
          <w:bCs/>
          <w:sz w:val="22"/>
          <w:szCs w:val="22"/>
        </w:rPr>
        <w:t>，从业人员</w:t>
      </w:r>
      <w:r>
        <w:rPr>
          <w:rFonts w:hint="eastAsia" w:ascii="宋体" w:hAnsi="宋体" w:cs="宋体"/>
          <w:b/>
          <w:bCs/>
          <w:sz w:val="22"/>
          <w:szCs w:val="22"/>
          <w:u w:val="single"/>
        </w:rPr>
        <w:tab/>
      </w:r>
      <w:r>
        <w:rPr>
          <w:rFonts w:hint="eastAsia" w:ascii="宋体" w:hAnsi="宋体" w:cs="宋体"/>
          <w:b/>
          <w:bCs/>
          <w:sz w:val="22"/>
          <w:szCs w:val="22"/>
        </w:rPr>
        <w:t>人，营业收入为</w:t>
      </w:r>
      <w:r>
        <w:rPr>
          <w:rFonts w:hint="eastAsia" w:ascii="宋体" w:hAnsi="宋体" w:cs="宋体"/>
          <w:b/>
          <w:bCs/>
          <w:sz w:val="22"/>
          <w:szCs w:val="22"/>
          <w:u w:val="single"/>
        </w:rPr>
        <w:tab/>
      </w:r>
      <w:r>
        <w:rPr>
          <w:rFonts w:hint="eastAsia" w:ascii="宋体" w:hAnsi="宋体" w:cs="宋体"/>
          <w:b/>
          <w:bCs/>
          <w:sz w:val="22"/>
          <w:szCs w:val="22"/>
        </w:rPr>
        <w:t>万元，资产总额为</w:t>
      </w:r>
      <w:r>
        <w:rPr>
          <w:rFonts w:hint="eastAsia" w:ascii="宋体" w:hAnsi="宋体" w:cs="宋体"/>
          <w:b/>
          <w:bCs/>
          <w:sz w:val="22"/>
          <w:szCs w:val="22"/>
          <w:u w:val="single"/>
        </w:rPr>
        <w:tab/>
      </w:r>
      <w:r>
        <w:rPr>
          <w:rFonts w:hint="eastAsia" w:ascii="宋体" w:hAnsi="宋体" w:cs="宋体"/>
          <w:b/>
          <w:bCs/>
          <w:sz w:val="22"/>
          <w:szCs w:val="22"/>
        </w:rPr>
        <w:t>万元，属于</w:t>
      </w:r>
      <w:r>
        <w:rPr>
          <w:rFonts w:hint="eastAsia" w:ascii="宋体" w:hAnsi="宋体" w:cs="宋体"/>
          <w:b/>
          <w:bCs/>
          <w:sz w:val="22"/>
          <w:szCs w:val="22"/>
          <w:u w:val="single"/>
        </w:rPr>
        <w:t>（中型企业、小型企业、微型企业）</w:t>
      </w:r>
    </w:p>
    <w:p w14:paraId="6A3CE704">
      <w:pPr>
        <w:ind w:firstLine="440" w:firstLineChars="200"/>
        <w:rPr>
          <w:rFonts w:ascii="宋体" w:hAnsi="宋体" w:cs="宋体"/>
          <w:sz w:val="22"/>
          <w:szCs w:val="22"/>
        </w:rPr>
      </w:pPr>
      <w:r>
        <w:rPr>
          <w:rFonts w:hint="eastAsia" w:ascii="宋体" w:hAnsi="宋体" w:cs="宋体"/>
          <w:sz w:val="22"/>
          <w:szCs w:val="22"/>
        </w:rPr>
        <w:t>……</w:t>
      </w:r>
    </w:p>
    <w:p w14:paraId="1254F13E">
      <w:pPr>
        <w:ind w:firstLine="440" w:firstLineChars="200"/>
        <w:rPr>
          <w:rFonts w:ascii="宋体" w:hAnsi="宋体" w:cs="宋体"/>
          <w:sz w:val="22"/>
          <w:szCs w:val="22"/>
        </w:rPr>
      </w:pPr>
      <w:r>
        <w:rPr>
          <w:rFonts w:hint="eastAsia" w:ascii="宋体" w:hAnsi="宋体" w:cs="宋体"/>
          <w:sz w:val="22"/>
          <w:szCs w:val="22"/>
        </w:rPr>
        <w:t>以上企业，不属于大企业的分支机构，不存在控股股东为大企业的情形，也不存在与大企业的负责人为同一人的情形。</w:t>
      </w:r>
    </w:p>
    <w:p w14:paraId="37F9C1DD">
      <w:pPr>
        <w:ind w:firstLine="440" w:firstLineChars="200"/>
        <w:rPr>
          <w:rFonts w:ascii="宋体" w:hAnsi="宋体" w:cs="宋体"/>
          <w:sz w:val="22"/>
          <w:szCs w:val="22"/>
        </w:rPr>
      </w:pPr>
      <w:r>
        <w:rPr>
          <w:rFonts w:hint="eastAsia" w:ascii="宋体" w:hAnsi="宋体" w:cs="宋体"/>
          <w:sz w:val="22"/>
          <w:szCs w:val="22"/>
        </w:rPr>
        <w:t>本企业对上述声明内容的真实性负责。如有虚假，将依法承担相应责任。</w:t>
      </w:r>
    </w:p>
    <w:p w14:paraId="29F60291">
      <w:pPr>
        <w:spacing w:line="360" w:lineRule="exact"/>
        <w:ind w:firstLine="440" w:firstLineChars="200"/>
        <w:rPr>
          <w:rFonts w:ascii="宋体" w:hAnsi="宋体" w:cs="宋体"/>
          <w:sz w:val="22"/>
          <w:szCs w:val="22"/>
        </w:rPr>
      </w:pPr>
      <w:r>
        <w:rPr>
          <w:rFonts w:hint="eastAsia" w:ascii="宋体" w:hAnsi="宋体" w:cs="宋体"/>
          <w:sz w:val="22"/>
          <w:szCs w:val="22"/>
        </w:rPr>
        <w:t>本公司知悉《政府采购促进中小企业发展管理办法》（财库〔2020〕 46 号）、《中小企业划型标准规定》（工信部联企〔2011〕 300 号）、《统计上大中小微型企业划分办法（2017）》等 规定，承诺提供的声明函内容是真实的，并知悉根据《政府 采购促进中小企业发展管理办法》（财库〔2020〕46 号）第二十条规定，本公司按照本办法规定提供声明函内容不实的，属于提供虚假材料谋取中标、成交，依照《政府采购法》等政府采购有关法律法规规定追究相应责任。</w:t>
      </w:r>
    </w:p>
    <w:p w14:paraId="01EF4FAF">
      <w:pPr>
        <w:ind w:firstLine="440" w:firstLineChars="200"/>
        <w:jc w:val="center"/>
        <w:rPr>
          <w:rFonts w:ascii="宋体" w:hAnsi="宋体" w:cs="宋体"/>
          <w:sz w:val="22"/>
          <w:szCs w:val="22"/>
          <w:u w:val="single"/>
        </w:rPr>
      </w:pPr>
      <w:r>
        <w:rPr>
          <w:rFonts w:hint="eastAsia" w:ascii="宋体" w:hAnsi="宋体" w:cs="宋体"/>
          <w:sz w:val="22"/>
          <w:szCs w:val="22"/>
        </w:rPr>
        <w:t xml:space="preserve">                                   企业名称（盖章）：</w:t>
      </w:r>
    </w:p>
    <w:p w14:paraId="4A000348">
      <w:pPr>
        <w:ind w:firstLine="420" w:firstLineChars="200"/>
        <w:jc w:val="center"/>
      </w:pPr>
      <w:r>
        <w:rPr>
          <w:rFonts w:hint="eastAsia" w:ascii="宋体" w:hAnsi="宋体"/>
        </w:rPr>
        <w:t xml:space="preserve">                                 日期：</w:t>
      </w:r>
    </w:p>
    <w:p w14:paraId="4260D877">
      <w:r>
        <w:rPr>
          <w:rFonts w:hint="eastAsia" w:ascii="宋体" w:hAnsi="宋体"/>
        </w:rPr>
        <w:t>（从业人员、营业收入、资产总额上一年度数据，无上一年度数据的新成立企业可不填报）</w:t>
      </w:r>
    </w:p>
    <w:p w14:paraId="4D621F30"/>
    <w:p w14:paraId="32EB8765">
      <w:pPr>
        <w:jc w:val="center"/>
        <w:rPr>
          <w:b/>
          <w:bCs/>
          <w:sz w:val="28"/>
          <w:szCs w:val="36"/>
        </w:rPr>
      </w:pPr>
      <w:r>
        <w:rPr>
          <w:rFonts w:hint="eastAsia"/>
          <w:b/>
          <w:bCs/>
          <w:sz w:val="28"/>
          <w:szCs w:val="36"/>
        </w:rPr>
        <w:t>（二）残疾人福利性单位声明函</w:t>
      </w:r>
    </w:p>
    <w:p w14:paraId="59FCC8E4">
      <w:pPr>
        <w:spacing w:line="360" w:lineRule="exact"/>
        <w:jc w:val="left"/>
        <w:rPr>
          <w:spacing w:val="6"/>
          <w:sz w:val="22"/>
        </w:rPr>
      </w:pPr>
      <w:r>
        <w:rPr>
          <w:spacing w:val="6"/>
          <w:sz w:val="22"/>
        </w:rPr>
        <w:t>本单位郑重声明，根据《财政部 民政部 中国残疾人联合会关于促进残疾人就业政府采购政策的通知》（财库</w:t>
      </w:r>
      <w:r>
        <w:rPr>
          <w:sz w:val="22"/>
        </w:rPr>
        <w:t>〔2017〕 141</w:t>
      </w:r>
      <w:r>
        <w:rPr>
          <w:spacing w:val="6"/>
          <w:sz w:val="22"/>
        </w:rPr>
        <w:t>号）的规定，本单位为符合条件的残疾人福利性单位，</w:t>
      </w:r>
      <w:r>
        <w:rPr>
          <w:rFonts w:hint="eastAsia" w:ascii="宋体" w:hAnsi="宋体"/>
          <w:szCs w:val="21"/>
        </w:rPr>
        <w:t>且本单位参加</w:t>
      </w:r>
      <w:r>
        <w:rPr>
          <w:rFonts w:hint="eastAsia" w:ascii="宋体" w:hAnsi="宋体"/>
          <w:b/>
          <w:szCs w:val="21"/>
          <w:u w:val="single"/>
        </w:rPr>
        <w:t xml:space="preserve">   （采购单位名称）</w:t>
      </w:r>
      <w:r>
        <w:rPr>
          <w:rFonts w:ascii="宋体" w:hAnsi="宋体"/>
          <w:b/>
          <w:szCs w:val="21"/>
          <w:u w:val="single"/>
        </w:rPr>
        <w:t>_</w:t>
      </w:r>
      <w:r>
        <w:rPr>
          <w:rFonts w:hint="eastAsia" w:ascii="宋体" w:hAnsi="宋体"/>
          <w:szCs w:val="21"/>
        </w:rPr>
        <w:t>单位的</w:t>
      </w:r>
      <w:r>
        <w:rPr>
          <w:rFonts w:hint="eastAsia" w:ascii="宋体" w:hAnsi="宋体"/>
          <w:b/>
          <w:szCs w:val="21"/>
          <w:u w:val="single"/>
        </w:rPr>
        <w:t>（采购项目名称）</w:t>
      </w:r>
      <w:r>
        <w:rPr>
          <w:rFonts w:hint="eastAsia" w:ascii="宋体" w:hAnsi="宋体"/>
          <w:szCs w:val="21"/>
        </w:rPr>
        <w:t>项目采购活动，并由本单位提供服务</w:t>
      </w:r>
      <w:r>
        <w:rPr>
          <w:spacing w:val="6"/>
          <w:sz w:val="22"/>
        </w:rPr>
        <w:t>。</w:t>
      </w:r>
    </w:p>
    <w:p w14:paraId="36CB9F87">
      <w:pPr>
        <w:spacing w:line="360" w:lineRule="exact"/>
        <w:ind w:firstLine="464" w:firstLineChars="200"/>
        <w:jc w:val="left"/>
        <w:rPr>
          <w:spacing w:val="6"/>
          <w:sz w:val="22"/>
        </w:rPr>
      </w:pPr>
      <w:r>
        <w:rPr>
          <w:rFonts w:hint="eastAsia"/>
          <w:spacing w:val="6"/>
          <w:sz w:val="22"/>
        </w:rPr>
        <w:t>本单位对上述声明的真实性负责。如有虚假，将依法承担相应责任。</w:t>
      </w:r>
    </w:p>
    <w:p w14:paraId="5E091440">
      <w:pPr>
        <w:spacing w:line="360" w:lineRule="exact"/>
        <w:ind w:firstLine="464" w:firstLineChars="200"/>
        <w:jc w:val="left"/>
        <w:rPr>
          <w:rFonts w:ascii="宋体" w:hAnsi="宋体" w:cs="宋体"/>
          <w:b/>
          <w:spacing w:val="6"/>
          <w:sz w:val="22"/>
        </w:rPr>
      </w:pPr>
      <w:r>
        <w:rPr>
          <w:rFonts w:hint="eastAsia"/>
          <w:spacing w:val="6"/>
          <w:sz w:val="22"/>
        </w:rPr>
        <w:t>本单位知悉《关于促进残疾人就业政府采购政策的通知》(财库(2017141号)的规定,承诺提供的声明函内容是真实的,如提供声明函内容不实,则依法追究相关法律责任。</w:t>
      </w:r>
    </w:p>
    <w:p w14:paraId="56F48EE7">
      <w:pPr>
        <w:spacing w:line="360" w:lineRule="exact"/>
        <w:ind w:firstLine="440" w:firstLineChars="200"/>
        <w:rPr>
          <w:rFonts w:ascii="宋体" w:hAnsi="宋体" w:cs="宋体"/>
          <w:sz w:val="22"/>
        </w:rPr>
      </w:pPr>
    </w:p>
    <w:p w14:paraId="5BFCBD28">
      <w:pPr>
        <w:ind w:firstLine="5880" w:firstLineChars="2800"/>
        <w:jc w:val="left"/>
      </w:pPr>
      <w:r>
        <w:rPr>
          <w:rFonts w:hint="eastAsia" w:ascii="宋体" w:hAnsi="宋体"/>
        </w:rPr>
        <w:t>单位名称</w:t>
      </w:r>
      <w:r>
        <w:rPr>
          <w:rFonts w:hint="eastAsia" w:ascii="宋体" w:hAnsi="宋体" w:cs="宋体"/>
          <w:sz w:val="22"/>
          <w:szCs w:val="22"/>
        </w:rPr>
        <w:t>（盖章）</w:t>
      </w:r>
      <w:r>
        <w:rPr>
          <w:rFonts w:hint="eastAsia" w:ascii="宋体" w:hAnsi="宋体"/>
        </w:rPr>
        <w:t>：</w:t>
      </w:r>
    </w:p>
    <w:p w14:paraId="7C260013">
      <w:pPr>
        <w:ind w:firstLine="420" w:firstLineChars="200"/>
        <w:jc w:val="center"/>
      </w:pPr>
      <w:r>
        <w:rPr>
          <w:rFonts w:hint="eastAsia" w:ascii="宋体" w:hAnsi="宋体"/>
        </w:rPr>
        <w:t xml:space="preserve">                                  日期：</w:t>
      </w:r>
    </w:p>
    <w:p w14:paraId="676B6D12">
      <w:pPr>
        <w:spacing w:line="360" w:lineRule="exact"/>
        <w:jc w:val="center"/>
        <w:rPr>
          <w:rFonts w:ascii="宋体" w:hAnsi="宋体" w:cs="宋体"/>
          <w:b/>
          <w:bCs/>
          <w:sz w:val="22"/>
        </w:rPr>
      </w:pPr>
      <w:r>
        <w:rPr>
          <w:rFonts w:hint="eastAsia" w:ascii="宋体" w:hAnsi="宋体" w:cs="宋体"/>
          <w:b/>
          <w:spacing w:val="6"/>
          <w:sz w:val="22"/>
        </w:rPr>
        <w:t>（三）</w:t>
      </w:r>
      <w:r>
        <w:rPr>
          <w:rFonts w:hint="eastAsia"/>
          <w:b/>
          <w:sz w:val="24"/>
        </w:rPr>
        <w:t>监狱企业声明函（</w:t>
      </w:r>
      <w:r>
        <w:rPr>
          <w:b/>
          <w:spacing w:val="6"/>
          <w:sz w:val="22"/>
        </w:rPr>
        <w:t>省级以上监狱管理局、戒毒管理局(含新疆生产建设兵团)出具的属于监狱企业的证明文件原件的扫描件</w:t>
      </w:r>
      <w:r>
        <w:rPr>
          <w:rFonts w:hint="eastAsia"/>
          <w:b/>
          <w:sz w:val="24"/>
        </w:rPr>
        <w:t>）</w:t>
      </w:r>
    </w:p>
    <w:p w14:paraId="26C9A9C4">
      <w:pPr>
        <w:spacing w:line="360" w:lineRule="exact"/>
        <w:jc w:val="left"/>
        <w:rPr>
          <w:spacing w:val="6"/>
          <w:sz w:val="22"/>
        </w:rPr>
      </w:pPr>
      <w:r>
        <w:rPr>
          <w:spacing w:val="6"/>
          <w:sz w:val="22"/>
        </w:rPr>
        <w:t>本单位郑重声明，根据《财政部 民政部 中国残疾人联合会关于促进残疾人就业政府采购政策的通知》（财库</w:t>
      </w:r>
      <w:r>
        <w:rPr>
          <w:sz w:val="22"/>
        </w:rPr>
        <w:t>〔2017〕 141</w:t>
      </w:r>
      <w:r>
        <w:rPr>
          <w:spacing w:val="6"/>
          <w:sz w:val="22"/>
        </w:rPr>
        <w:t>号）的规定，本单位为符合条件的残疾人福利性单位，</w:t>
      </w:r>
      <w:r>
        <w:rPr>
          <w:rFonts w:hint="eastAsia" w:ascii="宋体" w:hAnsi="宋体"/>
          <w:szCs w:val="21"/>
        </w:rPr>
        <w:t>且本单位参加</w:t>
      </w:r>
      <w:r>
        <w:rPr>
          <w:rFonts w:hint="eastAsia" w:ascii="宋体" w:hAnsi="宋体"/>
          <w:b/>
          <w:szCs w:val="21"/>
          <w:u w:val="single"/>
        </w:rPr>
        <w:t xml:space="preserve">   （采购单位名称）</w:t>
      </w:r>
      <w:r>
        <w:rPr>
          <w:rFonts w:ascii="宋体" w:hAnsi="宋体"/>
          <w:b/>
          <w:szCs w:val="21"/>
          <w:u w:val="single"/>
        </w:rPr>
        <w:t>_</w:t>
      </w:r>
      <w:r>
        <w:rPr>
          <w:rFonts w:hint="eastAsia" w:ascii="宋体" w:hAnsi="宋体"/>
          <w:szCs w:val="21"/>
        </w:rPr>
        <w:t>单位的</w:t>
      </w:r>
      <w:r>
        <w:rPr>
          <w:rFonts w:hint="eastAsia" w:ascii="宋体" w:hAnsi="宋体"/>
          <w:b/>
          <w:szCs w:val="21"/>
          <w:u w:val="single"/>
        </w:rPr>
        <w:t>（采购项目名称）</w:t>
      </w:r>
      <w:r>
        <w:rPr>
          <w:rFonts w:hint="eastAsia" w:ascii="宋体" w:hAnsi="宋体"/>
          <w:szCs w:val="21"/>
        </w:rPr>
        <w:t>项目采购活动，并由本单位提供服务</w:t>
      </w:r>
      <w:r>
        <w:rPr>
          <w:spacing w:val="6"/>
          <w:sz w:val="22"/>
        </w:rPr>
        <w:t>。</w:t>
      </w:r>
    </w:p>
    <w:p w14:paraId="1B193440">
      <w:pPr>
        <w:spacing w:line="360" w:lineRule="exact"/>
        <w:ind w:firstLine="464" w:firstLineChars="200"/>
        <w:jc w:val="left"/>
        <w:rPr>
          <w:spacing w:val="6"/>
          <w:sz w:val="22"/>
        </w:rPr>
      </w:pPr>
      <w:r>
        <w:rPr>
          <w:rFonts w:hint="eastAsia"/>
          <w:spacing w:val="6"/>
          <w:sz w:val="22"/>
        </w:rPr>
        <w:t>本单位对上述声明的真实性负责。如有虚假，将依法承担相应责任。</w:t>
      </w:r>
    </w:p>
    <w:p w14:paraId="37BA4F6A">
      <w:pPr>
        <w:spacing w:line="360" w:lineRule="exact"/>
        <w:ind w:firstLine="464" w:firstLineChars="200"/>
        <w:jc w:val="left"/>
        <w:rPr>
          <w:rFonts w:ascii="宋体" w:hAnsi="宋体" w:cs="宋体"/>
          <w:b/>
          <w:spacing w:val="6"/>
          <w:sz w:val="22"/>
        </w:rPr>
      </w:pPr>
      <w:r>
        <w:rPr>
          <w:rFonts w:hint="eastAsia"/>
          <w:spacing w:val="6"/>
          <w:sz w:val="22"/>
        </w:rPr>
        <w:t>本单位知悉《关于促进残疾人就业政府采购政策的通知》(财库(2017141号)的规定,承诺提供的声明函内容是真实的,如提供声明函内容不实,则依法追究相关法律责任。</w:t>
      </w:r>
    </w:p>
    <w:p w14:paraId="5D3CF296">
      <w:pPr>
        <w:ind w:firstLine="5460" w:firstLineChars="2600"/>
        <w:jc w:val="right"/>
      </w:pPr>
      <w:r>
        <w:rPr>
          <w:rFonts w:hint="eastAsia" w:ascii="宋体" w:hAnsi="宋体"/>
        </w:rPr>
        <w:t>单位名称</w:t>
      </w:r>
      <w:r>
        <w:rPr>
          <w:rFonts w:hint="eastAsia" w:ascii="宋体" w:hAnsi="宋体" w:cs="宋体"/>
          <w:sz w:val="22"/>
          <w:szCs w:val="22"/>
        </w:rPr>
        <w:t>（盖章）</w:t>
      </w:r>
      <w:r>
        <w:rPr>
          <w:rFonts w:hint="eastAsia" w:ascii="宋体" w:hAnsi="宋体"/>
        </w:rPr>
        <w:t>：</w:t>
      </w:r>
    </w:p>
    <w:p w14:paraId="371650C8">
      <w:pPr>
        <w:pageBreakBefore w:val="0"/>
        <w:kinsoku/>
        <w:overflowPunct/>
        <w:topLinePunct w:val="0"/>
        <w:bidi w:val="0"/>
        <w:spacing w:beforeAutospacing="0" w:afterAutospacing="0" w:line="360" w:lineRule="auto"/>
        <w:ind w:left="0" w:leftChars="0" w:right="0" w:firstLine="0" w:firstLineChars="0"/>
        <w:jc w:val="right"/>
        <w:rPr>
          <w:rFonts w:hint="eastAsia" w:ascii="宋体" w:hAnsi="宋体" w:eastAsia="宋体" w:cs="宋体"/>
          <w:b/>
          <w:sz w:val="24"/>
        </w:rPr>
      </w:pPr>
      <w:r>
        <w:rPr>
          <w:rFonts w:hint="eastAsia" w:ascii="宋体" w:hAnsi="宋体"/>
        </w:rPr>
        <w:t xml:space="preserve">                                  日期：</w:t>
      </w:r>
    </w:p>
    <w:p w14:paraId="5E047EF7">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sz w:val="24"/>
        </w:rPr>
      </w:pPr>
    </w:p>
    <w:p w14:paraId="17E6F68B">
      <w:pPr>
        <w:pStyle w:val="18"/>
        <w:rPr>
          <w:rFonts w:hint="eastAsia" w:ascii="宋体" w:hAnsi="宋体" w:eastAsia="宋体" w:cs="宋体"/>
          <w:b/>
          <w:sz w:val="24"/>
        </w:rPr>
      </w:pPr>
    </w:p>
    <w:p w14:paraId="79407346">
      <w:pPr>
        <w:rPr>
          <w:rFonts w:hint="eastAsia" w:ascii="宋体" w:hAnsi="宋体" w:eastAsia="宋体" w:cs="宋体"/>
          <w:b/>
          <w:sz w:val="24"/>
        </w:rPr>
      </w:pPr>
    </w:p>
    <w:p w14:paraId="78DC0212">
      <w:pPr>
        <w:pStyle w:val="18"/>
        <w:rPr>
          <w:rFonts w:hint="eastAsia"/>
        </w:rPr>
      </w:pPr>
    </w:p>
    <w:p w14:paraId="74607AB1">
      <w:pPr>
        <w:pStyle w:val="4"/>
        <w:pageBreakBefore w:val="0"/>
        <w:kinsoku/>
        <w:overflowPunct/>
        <w:topLinePunct w:val="0"/>
        <w:bidi w:val="0"/>
        <w:spacing w:before="0" w:beforeAutospacing="0" w:after="0" w:afterAutospacing="0" w:line="360" w:lineRule="auto"/>
        <w:ind w:left="0" w:leftChars="0" w:right="0" w:firstLine="0" w:firstLineChars="0"/>
        <w:jc w:val="center"/>
        <w:rPr>
          <w:rFonts w:hint="eastAsia" w:ascii="宋体" w:hAnsi="宋体" w:eastAsia="宋体" w:cs="宋体"/>
          <w:b w:val="0"/>
          <w:sz w:val="24"/>
          <w:szCs w:val="24"/>
        </w:rPr>
      </w:pPr>
      <w:r>
        <w:rPr>
          <w:rFonts w:hint="eastAsia" w:ascii="宋体" w:hAnsi="宋体" w:eastAsia="宋体" w:cs="宋体"/>
          <w:b w:val="0"/>
          <w:sz w:val="24"/>
          <w:szCs w:val="24"/>
        </w:rPr>
        <w:t>四、项目详细报价</w:t>
      </w:r>
    </w:p>
    <w:p w14:paraId="57BE97CB">
      <w:pPr>
        <w:pageBreakBefore w:val="0"/>
        <w:tabs>
          <w:tab w:val="left" w:pos="720"/>
        </w:tabs>
        <w:kinsoku/>
        <w:overflowPunct/>
        <w:topLinePunct w:val="0"/>
        <w:bidi w:val="0"/>
        <w:spacing w:beforeAutospacing="0" w:afterAutospacing="0" w:line="360" w:lineRule="auto"/>
        <w:ind w:left="0" w:leftChars="0" w:right="0" w:firstLine="0" w:firstLineChars="0"/>
        <w:rPr>
          <w:rFonts w:hint="eastAsia" w:ascii="宋体" w:hAnsi="宋体" w:eastAsia="宋体" w:cs="宋体"/>
          <w:b/>
          <w:sz w:val="24"/>
        </w:rPr>
      </w:pPr>
      <w:r>
        <w:rPr>
          <w:rFonts w:hint="eastAsia" w:ascii="宋体" w:hAnsi="宋体" w:eastAsia="宋体" w:cs="宋体"/>
          <w:b/>
          <w:sz w:val="24"/>
        </w:rPr>
        <w:t>（一）分项报价表</w:t>
      </w:r>
    </w:p>
    <w:tbl>
      <w:tblPr>
        <w:tblStyle w:val="44"/>
        <w:tblW w:w="8613" w:type="dxa"/>
        <w:tblInd w:w="0" w:type="dxa"/>
        <w:tblLayout w:type="fixed"/>
        <w:tblCellMar>
          <w:top w:w="0" w:type="dxa"/>
          <w:left w:w="108" w:type="dxa"/>
          <w:bottom w:w="0" w:type="dxa"/>
          <w:right w:w="108" w:type="dxa"/>
        </w:tblCellMar>
      </w:tblPr>
      <w:tblGrid>
        <w:gridCol w:w="618"/>
        <w:gridCol w:w="4168"/>
        <w:gridCol w:w="1559"/>
        <w:gridCol w:w="2268"/>
      </w:tblGrid>
      <w:tr w14:paraId="16D5CC34">
        <w:tblPrEx>
          <w:tblCellMar>
            <w:top w:w="0" w:type="dxa"/>
            <w:left w:w="108" w:type="dxa"/>
            <w:bottom w:w="0" w:type="dxa"/>
            <w:right w:w="108" w:type="dxa"/>
          </w:tblCellMar>
        </w:tblPrEx>
        <w:trPr>
          <w:trHeight w:val="285" w:hRule="atLeast"/>
        </w:trPr>
        <w:tc>
          <w:tcPr>
            <w:tcW w:w="618" w:type="dxa"/>
            <w:tcBorders>
              <w:top w:val="single" w:color="auto" w:sz="8" w:space="0"/>
              <w:left w:val="single" w:color="auto" w:sz="8" w:space="0"/>
              <w:bottom w:val="single" w:color="auto" w:sz="4" w:space="0"/>
              <w:right w:val="single" w:color="auto" w:sz="4" w:space="0"/>
            </w:tcBorders>
            <w:shd w:val="clear" w:color="000000" w:fill="E7E6E6"/>
            <w:vAlign w:val="center"/>
          </w:tcPr>
          <w:p w14:paraId="52751EFD">
            <w:pPr>
              <w:pageBreakBefore w:val="0"/>
              <w:widowControl/>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序号</w:t>
            </w:r>
          </w:p>
        </w:tc>
        <w:tc>
          <w:tcPr>
            <w:tcW w:w="4168" w:type="dxa"/>
            <w:tcBorders>
              <w:top w:val="single" w:color="auto" w:sz="8" w:space="0"/>
              <w:left w:val="nil"/>
              <w:bottom w:val="single" w:color="auto" w:sz="4" w:space="0"/>
              <w:right w:val="single" w:color="auto" w:sz="4" w:space="0"/>
            </w:tcBorders>
            <w:shd w:val="clear" w:color="000000" w:fill="E7E6E6"/>
            <w:vAlign w:val="center"/>
          </w:tcPr>
          <w:p w14:paraId="0DC38714">
            <w:pPr>
              <w:pageBreakBefore w:val="0"/>
              <w:widowControl/>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bCs/>
                <w:kern w:val="0"/>
                <w:sz w:val="20"/>
                <w:szCs w:val="20"/>
              </w:rPr>
            </w:pPr>
            <w:r>
              <w:rPr>
                <w:rFonts w:hint="eastAsia" w:ascii="宋体" w:hAnsi="宋体" w:cs="宋体"/>
                <w:b/>
                <w:bCs/>
                <w:kern w:val="0"/>
                <w:sz w:val="20"/>
                <w:szCs w:val="20"/>
                <w:lang w:eastAsia="zh-CN"/>
              </w:rPr>
              <w:t>项目</w:t>
            </w:r>
            <w:r>
              <w:rPr>
                <w:rFonts w:hint="eastAsia" w:ascii="宋体" w:hAnsi="宋体" w:eastAsia="宋体" w:cs="宋体"/>
                <w:b/>
                <w:bCs/>
                <w:kern w:val="0"/>
                <w:sz w:val="20"/>
                <w:szCs w:val="20"/>
              </w:rPr>
              <w:t>名称</w:t>
            </w:r>
          </w:p>
        </w:tc>
        <w:tc>
          <w:tcPr>
            <w:tcW w:w="1559" w:type="dxa"/>
            <w:tcBorders>
              <w:top w:val="single" w:color="auto" w:sz="8" w:space="0"/>
              <w:left w:val="nil"/>
              <w:bottom w:val="single" w:color="auto" w:sz="4" w:space="0"/>
              <w:right w:val="single" w:color="auto" w:sz="4" w:space="0"/>
            </w:tcBorders>
            <w:shd w:val="clear" w:color="000000" w:fill="E7E6E6"/>
            <w:vAlign w:val="center"/>
          </w:tcPr>
          <w:p w14:paraId="56E58DC5">
            <w:pPr>
              <w:pageBreakBefore w:val="0"/>
              <w:widowControl/>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bCs/>
                <w:kern w:val="0"/>
                <w:sz w:val="20"/>
                <w:szCs w:val="20"/>
              </w:rPr>
            </w:pPr>
            <w:r>
              <w:rPr>
                <w:rFonts w:hint="eastAsia" w:ascii="宋体" w:hAnsi="宋体" w:eastAsia="宋体" w:cs="宋体"/>
                <w:b/>
                <w:bCs/>
                <w:kern w:val="0"/>
                <w:sz w:val="20"/>
                <w:szCs w:val="20"/>
                <w:lang w:eastAsia="zh-CN"/>
              </w:rPr>
              <w:t>报价</w:t>
            </w:r>
            <w:r>
              <w:rPr>
                <w:rFonts w:hint="eastAsia" w:ascii="宋体" w:hAnsi="宋体" w:eastAsia="宋体" w:cs="宋体"/>
                <w:b/>
                <w:bCs/>
                <w:kern w:val="0"/>
                <w:sz w:val="20"/>
                <w:szCs w:val="20"/>
              </w:rPr>
              <w:t>（</w:t>
            </w:r>
            <w:r>
              <w:rPr>
                <w:rFonts w:hint="eastAsia" w:ascii="宋体" w:hAnsi="宋体" w:eastAsia="宋体" w:cs="宋体"/>
                <w:b/>
                <w:bCs/>
                <w:kern w:val="0"/>
                <w:sz w:val="20"/>
                <w:szCs w:val="20"/>
                <w:lang w:eastAsia="zh-CN"/>
              </w:rPr>
              <w:t>折扣率</w:t>
            </w:r>
            <w:r>
              <w:rPr>
                <w:rFonts w:hint="eastAsia" w:ascii="宋体" w:hAnsi="宋体" w:eastAsia="宋体" w:cs="宋体"/>
                <w:b/>
                <w:bCs/>
                <w:kern w:val="0"/>
                <w:sz w:val="20"/>
                <w:szCs w:val="20"/>
              </w:rPr>
              <w:t>）</w:t>
            </w:r>
          </w:p>
        </w:tc>
        <w:tc>
          <w:tcPr>
            <w:tcW w:w="2268" w:type="dxa"/>
            <w:tcBorders>
              <w:top w:val="single" w:color="auto" w:sz="8" w:space="0"/>
              <w:left w:val="nil"/>
              <w:bottom w:val="single" w:color="auto" w:sz="4" w:space="0"/>
              <w:right w:val="single" w:color="auto" w:sz="8" w:space="0"/>
            </w:tcBorders>
            <w:shd w:val="clear" w:color="000000" w:fill="E7E6E6"/>
            <w:vAlign w:val="center"/>
          </w:tcPr>
          <w:p w14:paraId="7071A62F">
            <w:pPr>
              <w:pageBreakBefore w:val="0"/>
              <w:widowControl/>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bCs/>
                <w:kern w:val="0"/>
                <w:sz w:val="20"/>
                <w:szCs w:val="20"/>
              </w:rPr>
            </w:pPr>
            <w:r>
              <w:rPr>
                <w:rFonts w:hint="eastAsia" w:ascii="宋体" w:hAnsi="宋体" w:eastAsia="宋体" w:cs="宋体"/>
                <w:b/>
                <w:bCs/>
                <w:kern w:val="0"/>
                <w:sz w:val="20"/>
                <w:szCs w:val="20"/>
              </w:rPr>
              <w:t>说明</w:t>
            </w:r>
          </w:p>
        </w:tc>
      </w:tr>
      <w:tr w14:paraId="1835C85C">
        <w:tblPrEx>
          <w:tblCellMar>
            <w:top w:w="0" w:type="dxa"/>
            <w:left w:w="108" w:type="dxa"/>
            <w:bottom w:w="0" w:type="dxa"/>
            <w:right w:w="108" w:type="dxa"/>
          </w:tblCellMar>
        </w:tblPrEx>
        <w:trPr>
          <w:trHeight w:val="285" w:hRule="atLeast"/>
        </w:trPr>
        <w:tc>
          <w:tcPr>
            <w:tcW w:w="618" w:type="dxa"/>
            <w:tcBorders>
              <w:top w:val="single" w:color="auto" w:sz="4" w:space="0"/>
              <w:left w:val="single" w:color="auto" w:sz="8" w:space="0"/>
              <w:bottom w:val="single" w:color="auto" w:sz="4" w:space="0"/>
              <w:right w:val="single" w:color="auto" w:sz="4" w:space="0"/>
            </w:tcBorders>
            <w:shd w:val="clear" w:color="auto" w:fill="auto"/>
            <w:vAlign w:val="center"/>
          </w:tcPr>
          <w:p w14:paraId="75631BEB">
            <w:pPr>
              <w:pageBreakBefore w:val="0"/>
              <w:widowControl/>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kern w:val="0"/>
                <w:sz w:val="20"/>
                <w:szCs w:val="20"/>
              </w:rPr>
            </w:pPr>
            <w:r>
              <w:rPr>
                <w:rFonts w:hint="eastAsia" w:ascii="宋体" w:hAnsi="宋体" w:eastAsia="宋体" w:cs="宋体"/>
                <w:kern w:val="0"/>
                <w:sz w:val="20"/>
                <w:szCs w:val="20"/>
              </w:rPr>
              <w:t>一</w:t>
            </w:r>
          </w:p>
        </w:tc>
        <w:tc>
          <w:tcPr>
            <w:tcW w:w="4168" w:type="dxa"/>
            <w:tcBorders>
              <w:top w:val="single" w:color="auto" w:sz="4" w:space="0"/>
              <w:left w:val="nil"/>
              <w:bottom w:val="single" w:color="auto" w:sz="4" w:space="0"/>
              <w:right w:val="single" w:color="auto" w:sz="4" w:space="0"/>
            </w:tcBorders>
            <w:shd w:val="clear" w:color="auto" w:fill="auto"/>
            <w:vAlign w:val="center"/>
          </w:tcPr>
          <w:p w14:paraId="31F0CE6D">
            <w:pPr>
              <w:pageBreakBefore w:val="0"/>
              <w:widowControl/>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kern w:val="0"/>
                <w:sz w:val="20"/>
                <w:szCs w:val="20"/>
                <w:lang w:eastAsia="zh-CN"/>
              </w:rPr>
            </w:pPr>
            <w:r>
              <w:rPr>
                <w:rFonts w:hint="eastAsia" w:ascii="宋体" w:hAnsi="宋体" w:cs="宋体"/>
                <w:kern w:val="0"/>
                <w:sz w:val="20"/>
                <w:szCs w:val="20"/>
                <w:lang w:eastAsia="zh-CN"/>
              </w:rPr>
              <w:t>深圳市公安局龙华分局民治等5个派出所食堂物资配送</w:t>
            </w:r>
          </w:p>
        </w:tc>
        <w:tc>
          <w:tcPr>
            <w:tcW w:w="1559" w:type="dxa"/>
            <w:tcBorders>
              <w:top w:val="single" w:color="auto" w:sz="4" w:space="0"/>
              <w:left w:val="nil"/>
              <w:bottom w:val="single" w:color="auto" w:sz="4" w:space="0"/>
              <w:right w:val="single" w:color="auto" w:sz="4" w:space="0"/>
            </w:tcBorders>
            <w:shd w:val="clear" w:color="000000" w:fill="FFFFFF"/>
            <w:vAlign w:val="center"/>
          </w:tcPr>
          <w:p w14:paraId="02840CEC">
            <w:pPr>
              <w:pageBreakBefore w:val="0"/>
              <w:widowControl/>
              <w:kinsoku/>
              <w:overflowPunct/>
              <w:topLinePunct w:val="0"/>
              <w:bidi w:val="0"/>
              <w:spacing w:beforeAutospacing="0" w:afterAutospacing="0" w:line="360" w:lineRule="auto"/>
              <w:ind w:left="0" w:leftChars="0" w:right="0" w:firstLine="0" w:firstLineChars="0"/>
              <w:jc w:val="righ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2268" w:type="dxa"/>
            <w:tcBorders>
              <w:top w:val="single" w:color="auto" w:sz="4" w:space="0"/>
              <w:left w:val="nil"/>
              <w:bottom w:val="single" w:color="auto" w:sz="4" w:space="0"/>
              <w:right w:val="single" w:color="auto" w:sz="8" w:space="0"/>
            </w:tcBorders>
            <w:shd w:val="clear" w:color="auto" w:fill="auto"/>
            <w:vAlign w:val="center"/>
          </w:tcPr>
          <w:p w14:paraId="2E5EFD20">
            <w:pPr>
              <w:pageBreakBefore w:val="0"/>
              <w:widowControl/>
              <w:kinsoku/>
              <w:overflowPunct/>
              <w:topLinePunct w:val="0"/>
              <w:bidi w:val="0"/>
              <w:spacing w:beforeAutospacing="0" w:afterAutospacing="0" w:line="360" w:lineRule="auto"/>
              <w:ind w:left="0" w:leftChars="0" w:right="0" w:firstLine="0" w:firstLineChars="0"/>
              <w:jc w:val="left"/>
              <w:rPr>
                <w:rFonts w:hint="eastAsia" w:ascii="宋体" w:hAnsi="宋体" w:eastAsia="宋体" w:cs="宋体"/>
                <w:kern w:val="0"/>
                <w:sz w:val="20"/>
                <w:szCs w:val="20"/>
              </w:rPr>
            </w:pPr>
          </w:p>
        </w:tc>
      </w:tr>
    </w:tbl>
    <w:p w14:paraId="473C3819">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bCs/>
          <w:sz w:val="24"/>
        </w:rPr>
      </w:pPr>
      <w:r>
        <w:rPr>
          <w:rFonts w:hint="eastAsia"/>
        </w:rPr>
        <w:t>填写要求：如涉及折扣率，要求0&lt;折扣率≤1，未按此要求填写将视为投标无效；填写的“折扣率”应为小数，最多填报至小数点后两位，如：0.95、0.80；投标人参与投标只允许填报唯一一个折扣率，不允许填报两个及以上，如填报2个及以上折扣率的，其投标将直接视为投标无效。</w:t>
      </w:r>
    </w:p>
    <w:p w14:paraId="7EAE5449">
      <w:pPr>
        <w:pageBreakBefore w:val="0"/>
        <w:tabs>
          <w:tab w:val="left" w:pos="720"/>
        </w:tabs>
        <w:kinsoku/>
        <w:overflowPunct/>
        <w:topLinePunct w:val="0"/>
        <w:bidi w:val="0"/>
        <w:spacing w:beforeAutospacing="0" w:afterAutospacing="0" w:line="360" w:lineRule="auto"/>
        <w:ind w:left="0" w:leftChars="0" w:right="0" w:firstLine="0" w:firstLineChars="0"/>
        <w:jc w:val="left"/>
        <w:rPr>
          <w:rFonts w:hint="eastAsia" w:ascii="宋体" w:hAnsi="宋体" w:eastAsia="宋体" w:cs="宋体"/>
          <w:b/>
          <w:sz w:val="24"/>
        </w:rPr>
      </w:pPr>
      <w:r>
        <w:rPr>
          <w:rFonts w:hint="eastAsia" w:ascii="宋体" w:hAnsi="宋体" w:eastAsia="宋体" w:cs="宋体"/>
          <w:b/>
          <w:sz w:val="24"/>
        </w:rPr>
        <w:t>（二）</w:t>
      </w:r>
      <w:bookmarkStart w:id="33" w:name="_Hlk72073235"/>
      <w:r>
        <w:rPr>
          <w:rFonts w:hint="eastAsia" w:ascii="宋体" w:hAnsi="宋体" w:eastAsia="宋体" w:cs="宋体"/>
          <w:b/>
          <w:sz w:val="24"/>
        </w:rPr>
        <w:t>投标人认为需要涉及的其他内容报价清单</w:t>
      </w:r>
      <w:bookmarkEnd w:id="33"/>
    </w:p>
    <w:p w14:paraId="18BD3383">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bCs/>
        </w:rPr>
      </w:pPr>
    </w:p>
    <w:p w14:paraId="146B31DD">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p>
    <w:p w14:paraId="1AF2E61E">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kern w:val="2"/>
          <w:sz w:val="24"/>
          <w:szCs w:val="24"/>
          <w:lang w:val="zh-CN" w:eastAsia="zh-CN" w:bidi="ar-SA"/>
        </w:rPr>
      </w:pPr>
      <w:r>
        <w:rPr>
          <w:rFonts w:hint="eastAsia" w:ascii="宋体" w:hAnsi="宋体" w:cs="宋体"/>
          <w:b w:val="0"/>
          <w:kern w:val="2"/>
          <w:sz w:val="24"/>
          <w:szCs w:val="24"/>
          <w:lang w:val="en-US" w:eastAsia="zh-CN" w:bidi="ar-SA"/>
        </w:rPr>
        <w:t>五、</w:t>
      </w:r>
      <w:r>
        <w:rPr>
          <w:rFonts w:hint="eastAsia" w:ascii="宋体" w:hAnsi="宋体" w:eastAsia="宋体" w:cs="宋体"/>
          <w:b w:val="0"/>
          <w:kern w:val="2"/>
          <w:sz w:val="24"/>
          <w:szCs w:val="24"/>
          <w:lang w:val="zh-CN" w:eastAsia="zh-CN" w:bidi="ar-SA"/>
        </w:rPr>
        <w:t>通过相关认证情况</w:t>
      </w:r>
    </w:p>
    <w:p w14:paraId="4A838658">
      <w:pPr>
        <w:pStyle w:val="18"/>
        <w:jc w:val="center"/>
        <w:rPr>
          <w:rFonts w:hint="eastAsia"/>
          <w:color w:val="FF0000"/>
          <w:lang w:val="en-US" w:eastAsia="zh-CN"/>
        </w:rPr>
      </w:pPr>
      <w:r>
        <w:rPr>
          <w:rFonts w:hint="eastAsia"/>
          <w:color w:val="FF0000"/>
          <w:lang w:val="en-US" w:eastAsia="zh-CN"/>
        </w:rPr>
        <w:t>（格式自拟）</w:t>
      </w:r>
    </w:p>
    <w:p w14:paraId="4D1383D0">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kern w:val="2"/>
          <w:sz w:val="24"/>
          <w:szCs w:val="24"/>
          <w:lang w:val="en-US" w:eastAsia="zh-CN" w:bidi="ar-SA"/>
        </w:rPr>
      </w:pPr>
      <w:r>
        <w:rPr>
          <w:rFonts w:hint="eastAsia" w:ascii="宋体" w:hAnsi="宋体" w:cs="宋体"/>
          <w:b w:val="0"/>
          <w:kern w:val="2"/>
          <w:sz w:val="24"/>
          <w:szCs w:val="24"/>
          <w:lang w:val="en-US" w:eastAsia="zh-CN" w:bidi="ar-SA"/>
        </w:rPr>
        <w:t>六、</w:t>
      </w:r>
      <w:r>
        <w:rPr>
          <w:rFonts w:hint="eastAsia" w:ascii="宋体" w:hAnsi="宋体" w:eastAsia="宋体" w:cs="宋体"/>
          <w:b w:val="0"/>
          <w:kern w:val="2"/>
          <w:sz w:val="24"/>
          <w:szCs w:val="24"/>
          <w:lang w:val="en-US" w:eastAsia="zh-CN" w:bidi="ar-SA"/>
        </w:rPr>
        <w:t>投标人同类项目业绩情况</w:t>
      </w:r>
    </w:p>
    <w:p w14:paraId="1CC8D5D2">
      <w:pPr>
        <w:pStyle w:val="18"/>
        <w:jc w:val="center"/>
        <w:rPr>
          <w:rFonts w:hint="eastAsia"/>
          <w:lang w:val="en-US" w:eastAsia="zh-CN"/>
        </w:rPr>
      </w:pPr>
      <w:r>
        <w:rPr>
          <w:rFonts w:hint="eastAsia"/>
          <w:color w:val="FF0000"/>
          <w:lang w:val="en-US" w:eastAsia="zh-CN"/>
        </w:rPr>
        <w:t>（格式自拟）</w:t>
      </w:r>
    </w:p>
    <w:p w14:paraId="246E11B7">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kern w:val="2"/>
          <w:sz w:val="24"/>
          <w:szCs w:val="24"/>
          <w:lang w:val="en-US" w:eastAsia="zh-CN" w:bidi="ar-SA"/>
        </w:rPr>
      </w:pPr>
      <w:r>
        <w:rPr>
          <w:rFonts w:hint="eastAsia" w:ascii="宋体" w:hAnsi="宋体" w:cs="宋体"/>
          <w:b w:val="0"/>
          <w:kern w:val="2"/>
          <w:sz w:val="24"/>
          <w:szCs w:val="24"/>
          <w:lang w:val="en-US" w:eastAsia="zh-CN" w:bidi="ar-SA"/>
        </w:rPr>
        <w:t>七、</w:t>
      </w:r>
      <w:r>
        <w:rPr>
          <w:rFonts w:hint="eastAsia" w:ascii="宋体" w:hAnsi="宋体" w:eastAsia="宋体" w:cs="宋体"/>
          <w:b w:val="0"/>
          <w:kern w:val="2"/>
          <w:sz w:val="24"/>
          <w:szCs w:val="24"/>
          <w:lang w:val="en-US" w:eastAsia="zh-CN" w:bidi="ar-SA"/>
        </w:rPr>
        <w:t>投标人获奖情况</w:t>
      </w:r>
    </w:p>
    <w:p w14:paraId="1D2337F4">
      <w:pPr>
        <w:pStyle w:val="18"/>
        <w:jc w:val="center"/>
        <w:rPr>
          <w:rFonts w:hint="eastAsia"/>
          <w:lang w:val="en-US" w:eastAsia="zh-CN"/>
        </w:rPr>
      </w:pPr>
      <w:r>
        <w:rPr>
          <w:rFonts w:hint="eastAsia"/>
          <w:color w:val="FF0000"/>
          <w:lang w:val="en-US" w:eastAsia="zh-CN"/>
        </w:rPr>
        <w:t>（格式自拟）</w:t>
      </w:r>
    </w:p>
    <w:p w14:paraId="5F613F54">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kern w:val="2"/>
          <w:sz w:val="24"/>
          <w:szCs w:val="24"/>
          <w:lang w:val="en-US" w:eastAsia="zh-CN" w:bidi="ar-SA"/>
        </w:rPr>
      </w:pPr>
      <w:r>
        <w:rPr>
          <w:rFonts w:hint="eastAsia" w:ascii="宋体" w:hAnsi="宋体" w:cs="宋体"/>
          <w:b w:val="0"/>
          <w:kern w:val="2"/>
          <w:sz w:val="24"/>
          <w:szCs w:val="24"/>
          <w:lang w:val="en-US" w:eastAsia="zh-CN" w:bidi="ar-SA"/>
        </w:rPr>
        <w:t>八、</w:t>
      </w:r>
      <w:r>
        <w:rPr>
          <w:rFonts w:hint="eastAsia" w:ascii="宋体" w:hAnsi="宋体" w:eastAsia="宋体" w:cs="宋体"/>
          <w:b w:val="0"/>
          <w:kern w:val="2"/>
          <w:sz w:val="24"/>
          <w:szCs w:val="24"/>
          <w:lang w:val="en-US" w:eastAsia="zh-CN" w:bidi="ar-SA"/>
        </w:rPr>
        <w:t>第三方检验检测报告</w:t>
      </w:r>
    </w:p>
    <w:p w14:paraId="7BE80473">
      <w:pPr>
        <w:pStyle w:val="18"/>
        <w:jc w:val="center"/>
        <w:rPr>
          <w:rFonts w:hint="eastAsia"/>
          <w:lang w:val="en-US" w:eastAsia="zh-CN"/>
        </w:rPr>
      </w:pPr>
      <w:r>
        <w:rPr>
          <w:rFonts w:hint="eastAsia"/>
          <w:color w:val="FF0000"/>
          <w:lang w:val="en-US" w:eastAsia="zh-CN"/>
        </w:rPr>
        <w:t>（格式自拟）</w:t>
      </w:r>
    </w:p>
    <w:p w14:paraId="5F972E24">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kern w:val="2"/>
          <w:sz w:val="24"/>
          <w:szCs w:val="24"/>
          <w:lang w:val="en-US" w:eastAsia="zh-CN" w:bidi="ar-SA"/>
        </w:rPr>
      </w:pPr>
      <w:r>
        <w:rPr>
          <w:rFonts w:hint="eastAsia" w:ascii="宋体" w:hAnsi="宋体" w:cs="宋体"/>
          <w:b w:val="0"/>
          <w:kern w:val="2"/>
          <w:sz w:val="24"/>
          <w:szCs w:val="24"/>
          <w:lang w:val="en-US" w:eastAsia="zh-CN" w:bidi="ar-SA"/>
        </w:rPr>
        <w:t>九、</w:t>
      </w:r>
      <w:r>
        <w:rPr>
          <w:rFonts w:hint="eastAsia" w:ascii="宋体" w:hAnsi="宋体" w:eastAsia="宋体" w:cs="宋体"/>
          <w:b w:val="0"/>
          <w:kern w:val="2"/>
          <w:sz w:val="24"/>
          <w:szCs w:val="24"/>
          <w:lang w:val="en-US" w:eastAsia="zh-CN" w:bidi="ar-SA"/>
        </w:rPr>
        <w:t>食品安全保险</w:t>
      </w:r>
    </w:p>
    <w:p w14:paraId="7788752F">
      <w:pPr>
        <w:pageBreakBefore w:val="0"/>
        <w:kinsoku/>
        <w:overflowPunct/>
        <w:topLinePunct w:val="0"/>
        <w:bidi w:val="0"/>
        <w:spacing w:beforeAutospacing="0" w:afterAutospacing="0" w:line="360" w:lineRule="auto"/>
        <w:ind w:left="0" w:leftChars="0" w:right="0" w:firstLine="0" w:firstLineChars="0"/>
        <w:jc w:val="center"/>
        <w:rPr>
          <w:rFonts w:hint="eastAsia" w:ascii="Times New Roman" w:hAnsi="Times New Roman" w:eastAsia="宋体" w:cs="Times New Roman"/>
          <w:b/>
          <w:bCs/>
          <w:color w:val="FF0000"/>
          <w:kern w:val="2"/>
          <w:sz w:val="24"/>
          <w:szCs w:val="24"/>
          <w:lang w:val="en-US" w:eastAsia="zh-CN" w:bidi="ar-SA"/>
        </w:rPr>
      </w:pPr>
      <w:r>
        <w:rPr>
          <w:rFonts w:hint="eastAsia" w:ascii="Times New Roman" w:hAnsi="Times New Roman" w:eastAsia="宋体" w:cs="Times New Roman"/>
          <w:b/>
          <w:bCs/>
          <w:color w:val="FF0000"/>
          <w:kern w:val="2"/>
          <w:sz w:val="24"/>
          <w:szCs w:val="24"/>
          <w:lang w:val="en-US" w:eastAsia="zh-CN" w:bidi="ar-SA"/>
        </w:rPr>
        <w:t>（格式自拟）</w:t>
      </w:r>
    </w:p>
    <w:p w14:paraId="1AE1C70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color w:val="FF0000"/>
          <w:sz w:val="24"/>
        </w:rPr>
      </w:pPr>
      <w:r>
        <w:rPr>
          <w:rFonts w:hint="eastAsia" w:ascii="宋体" w:hAnsi="宋体" w:eastAsia="宋体" w:cs="宋体"/>
          <w:b/>
          <w:color w:val="FF0000"/>
          <w:sz w:val="24"/>
        </w:rPr>
        <w:t>（信息公开部分的内容到此为止！以下为信息不公开部分。）</w:t>
      </w:r>
    </w:p>
    <w:p w14:paraId="15268427">
      <w:pPr>
        <w:rPr>
          <w:rFonts w:hint="eastAsia" w:ascii="宋体" w:hAnsi="宋体" w:eastAsia="宋体" w:cs="宋体"/>
          <w:b/>
          <w:color w:val="FF0000"/>
          <w:sz w:val="28"/>
          <w:szCs w:val="28"/>
        </w:rPr>
      </w:pPr>
      <w:r>
        <w:rPr>
          <w:rFonts w:hint="eastAsia" w:ascii="宋体" w:hAnsi="宋体" w:eastAsia="宋体" w:cs="宋体"/>
          <w:b/>
          <w:color w:val="FF0000"/>
          <w:sz w:val="28"/>
          <w:szCs w:val="28"/>
        </w:rPr>
        <w:br w:type="page"/>
      </w:r>
    </w:p>
    <w:p w14:paraId="68D3C455">
      <w:pPr>
        <w:pageBreakBefore w:val="0"/>
        <w:kinsoku/>
        <w:overflowPunct/>
        <w:topLinePunct w:val="0"/>
        <w:bidi w:val="0"/>
        <w:spacing w:beforeAutospacing="0" w:afterAutospacing="0" w:line="360" w:lineRule="auto"/>
        <w:ind w:left="0" w:leftChars="0" w:right="0" w:firstLine="0" w:firstLineChars="0"/>
        <w:outlineLvl w:val="1"/>
        <w:rPr>
          <w:rFonts w:hint="eastAsia" w:ascii="宋体" w:hAnsi="宋体" w:eastAsia="宋体" w:cs="宋体"/>
          <w:b/>
          <w:color w:val="FF0000"/>
          <w:sz w:val="28"/>
          <w:szCs w:val="28"/>
        </w:rPr>
      </w:pPr>
      <w:r>
        <w:rPr>
          <w:rFonts w:hint="eastAsia" w:ascii="宋体" w:hAnsi="宋体" w:eastAsia="宋体" w:cs="宋体"/>
          <w:b/>
          <w:color w:val="FF0000"/>
          <w:sz w:val="28"/>
          <w:szCs w:val="28"/>
        </w:rPr>
        <w:t>投标文件附件（信息不公开部分）</w:t>
      </w:r>
    </w:p>
    <w:p w14:paraId="1701C35D">
      <w:pPr>
        <w:pStyle w:val="4"/>
        <w:pageBreakBefore w:val="0"/>
        <w:kinsoku/>
        <w:overflowPunct/>
        <w:topLinePunct w:val="0"/>
        <w:bidi w:val="0"/>
        <w:spacing w:before="0" w:beforeAutospacing="0" w:after="0" w:afterAutospacing="0" w:line="360" w:lineRule="auto"/>
        <w:ind w:left="0" w:leftChars="0" w:right="0" w:firstLine="0" w:firstLineChars="0"/>
        <w:jc w:val="center"/>
        <w:rPr>
          <w:rFonts w:hint="eastAsia" w:ascii="宋体" w:hAnsi="宋体" w:eastAsia="宋体" w:cs="宋体"/>
          <w:b w:val="0"/>
          <w:sz w:val="24"/>
        </w:rPr>
      </w:pPr>
      <w:r>
        <w:rPr>
          <w:rFonts w:hint="eastAsia" w:ascii="宋体" w:hAnsi="宋体" w:eastAsia="宋体" w:cs="宋体"/>
          <w:b w:val="0"/>
          <w:sz w:val="24"/>
        </w:rPr>
        <w:t>一、</w:t>
      </w:r>
      <w:bookmarkStart w:id="34" w:name="_Hlk72092499"/>
      <w:r>
        <w:rPr>
          <w:rFonts w:hint="eastAsia" w:ascii="宋体" w:hAnsi="宋体" w:eastAsia="宋体" w:cs="宋体"/>
          <w:b w:val="0"/>
          <w:sz w:val="24"/>
        </w:rPr>
        <w:t>法定代表人（负责人）证明书</w:t>
      </w:r>
      <w:bookmarkEnd w:id="34"/>
    </w:p>
    <w:p w14:paraId="74D0327E">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 w:val="24"/>
        </w:rPr>
      </w:pPr>
    </w:p>
    <w:p w14:paraId="18036E1D">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u w:val="single"/>
        </w:rPr>
        <w:t xml:space="preserve">         </w:t>
      </w:r>
      <w:r>
        <w:rPr>
          <w:rFonts w:hint="eastAsia" w:ascii="宋体" w:hAnsi="宋体" w:eastAsia="宋体" w:cs="宋体"/>
          <w:szCs w:val="21"/>
        </w:rPr>
        <w:t>同志，现任我单位</w:t>
      </w:r>
      <w:r>
        <w:rPr>
          <w:rFonts w:hint="eastAsia" w:ascii="宋体" w:hAnsi="宋体" w:eastAsia="宋体" w:cs="宋体"/>
          <w:szCs w:val="21"/>
          <w:u w:val="single"/>
        </w:rPr>
        <w:t xml:space="preserve">         </w:t>
      </w:r>
      <w:r>
        <w:rPr>
          <w:rFonts w:hint="eastAsia" w:ascii="宋体" w:hAnsi="宋体" w:eastAsia="宋体" w:cs="宋体"/>
          <w:szCs w:val="21"/>
        </w:rPr>
        <w:t>职务，为法定代表人（负责人），</w:t>
      </w:r>
    </w:p>
    <w:p w14:paraId="7A56424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身份证号：</w:t>
      </w:r>
      <w:r>
        <w:rPr>
          <w:rFonts w:hint="eastAsia" w:ascii="宋体" w:hAnsi="宋体" w:eastAsia="宋体" w:cs="宋体"/>
          <w:szCs w:val="21"/>
          <w:u w:val="single"/>
        </w:rPr>
        <w:t xml:space="preserve">                          </w:t>
      </w:r>
      <w:r>
        <w:rPr>
          <w:rFonts w:hint="eastAsia" w:ascii="宋体" w:hAnsi="宋体" w:eastAsia="宋体" w:cs="宋体"/>
          <w:szCs w:val="21"/>
          <w:u w:val="none"/>
        </w:rPr>
        <w:t xml:space="preserve"> </w:t>
      </w:r>
      <w:r>
        <w:rPr>
          <w:rFonts w:hint="eastAsia" w:ascii="宋体" w:hAnsi="宋体" w:eastAsia="宋体" w:cs="宋体"/>
          <w:szCs w:val="21"/>
          <w:u w:val="none"/>
          <w:lang w:eastAsia="zh-CN"/>
        </w:rPr>
        <w:t>，</w:t>
      </w:r>
      <w:r>
        <w:rPr>
          <w:rFonts w:hint="eastAsia" w:ascii="宋体" w:hAnsi="宋体" w:eastAsia="宋体" w:cs="宋体"/>
          <w:szCs w:val="21"/>
        </w:rPr>
        <w:t>联系电话：</w:t>
      </w:r>
      <w:r>
        <w:rPr>
          <w:rFonts w:hint="eastAsia" w:ascii="宋体" w:hAnsi="宋体" w:eastAsia="宋体" w:cs="宋体"/>
          <w:szCs w:val="21"/>
          <w:u w:val="single"/>
        </w:rPr>
        <w:t xml:space="preserve">        </w:t>
      </w:r>
      <w:r>
        <w:rPr>
          <w:rFonts w:hint="eastAsia" w:ascii="宋体" w:hAnsi="宋体" w:eastAsia="宋体" w:cs="宋体"/>
          <w:szCs w:val="21"/>
          <w:u w:val="none"/>
        </w:rPr>
        <w:t xml:space="preserve"> </w:t>
      </w:r>
      <w:r>
        <w:rPr>
          <w:rFonts w:hint="eastAsia" w:ascii="宋体" w:hAnsi="宋体" w:eastAsia="宋体" w:cs="宋体"/>
          <w:szCs w:val="21"/>
          <w:u w:val="none"/>
          <w:lang w:eastAsia="zh-CN"/>
        </w:rPr>
        <w:t>，</w:t>
      </w:r>
      <w:r>
        <w:rPr>
          <w:rFonts w:hint="eastAsia" w:ascii="宋体" w:hAnsi="宋体" w:eastAsia="宋体" w:cs="宋体"/>
          <w:szCs w:val="21"/>
        </w:rPr>
        <w:t>特此证明。</w:t>
      </w:r>
    </w:p>
    <w:p w14:paraId="6E4BE9A6">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 xml:space="preserve">         </w:t>
      </w:r>
    </w:p>
    <w:p w14:paraId="4431137F">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说明：</w:t>
      </w:r>
    </w:p>
    <w:p w14:paraId="3C06A7A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1、法定代表人为投标人（企业事业单位、国家机关、社会团体）的主要行政负责人。</w:t>
      </w:r>
    </w:p>
    <w:p w14:paraId="54AEAC44">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b/>
          <w:bCs/>
          <w:color w:val="FF0000"/>
          <w:szCs w:val="21"/>
        </w:rPr>
        <w:t xml:space="preserve">2、本证明书要求投标供应商同时提供法定代表人（负责人）的身份证扫描件（正反两面）作为附件方为有效。 </w:t>
      </w:r>
      <w:r>
        <w:rPr>
          <w:rFonts w:hint="eastAsia" w:ascii="宋体" w:hAnsi="宋体" w:eastAsia="宋体" w:cs="宋体"/>
          <w:szCs w:val="21"/>
        </w:rPr>
        <w:t xml:space="preserve">   </w:t>
      </w:r>
    </w:p>
    <w:p w14:paraId="393C8A6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3、本项目投标授权代表为法定代表人（负责人）的，无需提供《投标文件签署授权委托书》。</w:t>
      </w:r>
    </w:p>
    <w:p w14:paraId="68EBF874">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4、内容必须填写真实、清楚，涂改无效，不得转让、买卖。</w:t>
      </w:r>
    </w:p>
    <w:p w14:paraId="5073A682">
      <w:pPr>
        <w:spacing w:line="360" w:lineRule="auto"/>
        <w:rPr>
          <w:rFonts w:hint="eastAsia"/>
          <w:b/>
          <w:color w:val="auto"/>
          <w:sz w:val="32"/>
          <w:szCs w:val="32"/>
        </w:rPr>
      </w:pPr>
      <w:r>
        <w:rPr>
          <w:rFonts w:hint="eastAsia"/>
          <w:b/>
          <w:color w:val="auto"/>
          <w:sz w:val="32"/>
          <w:szCs w:val="32"/>
        </w:rPr>
        <w:t>附：</w:t>
      </w:r>
      <w:r>
        <w:rPr>
          <w:rFonts w:hint="eastAsia" w:eastAsia="宋体"/>
          <w:b/>
          <w:color w:val="auto"/>
          <w:sz w:val="32"/>
          <w:szCs w:val="32"/>
          <w:lang w:val="en-US" w:eastAsia="zh-CN"/>
        </w:rPr>
        <w:t>1.</w:t>
      </w:r>
      <w:r>
        <w:rPr>
          <w:rFonts w:hint="eastAsia"/>
          <w:b/>
          <w:color w:val="auto"/>
          <w:sz w:val="32"/>
          <w:szCs w:val="32"/>
        </w:rPr>
        <w:t>要求必须提供法定代表人（负责人）身份证（境外人员无法提供身份证的，可提供护照）扫描件（正反两面）。</w:t>
      </w:r>
    </w:p>
    <w:p w14:paraId="634292FC">
      <w:pPr>
        <w:numPr>
          <w:ilvl w:val="0"/>
          <w:numId w:val="10"/>
        </w:numPr>
        <w:spacing w:line="360" w:lineRule="auto"/>
        <w:rPr>
          <w:rFonts w:hint="eastAsia"/>
          <w:b/>
          <w:color w:val="auto"/>
          <w:sz w:val="32"/>
          <w:szCs w:val="32"/>
        </w:rPr>
      </w:pPr>
      <w:r>
        <w:rPr>
          <w:rFonts w:hint="eastAsia"/>
          <w:b/>
          <w:color w:val="auto"/>
          <w:sz w:val="32"/>
          <w:szCs w:val="32"/>
        </w:rPr>
        <w:t>提供法定代表人</w:t>
      </w:r>
      <w:r>
        <w:rPr>
          <w:rFonts w:hint="eastAsia" w:eastAsia="宋体"/>
          <w:b/>
          <w:color w:val="auto"/>
          <w:sz w:val="32"/>
          <w:szCs w:val="32"/>
          <w:lang w:eastAsia="zh-CN"/>
        </w:rPr>
        <w:t>（</w:t>
      </w:r>
      <w:r>
        <w:rPr>
          <w:rFonts w:hint="eastAsia" w:eastAsia="宋体"/>
          <w:b/>
          <w:color w:val="auto"/>
          <w:sz w:val="32"/>
          <w:szCs w:val="32"/>
          <w:lang w:val="en-US" w:eastAsia="zh-CN"/>
        </w:rPr>
        <w:t>负责人）</w:t>
      </w:r>
      <w:r>
        <w:rPr>
          <w:rFonts w:hint="eastAsia"/>
          <w:b/>
          <w:color w:val="auto"/>
          <w:sz w:val="32"/>
          <w:szCs w:val="32"/>
        </w:rPr>
        <w:t>缴纳的投标截止前近一个月(由于社保部门原因最近一个月的社保证明无法提供的可往前顺延一个月)的社保证明。如供应商为新成立企业且成立时间不足个月可提供加盖公章的情况说明或者证明材料亦视为符合。</w:t>
      </w:r>
    </w:p>
    <w:p w14:paraId="4075B5FC">
      <w:pPr>
        <w:numPr>
          <w:ilvl w:val="0"/>
          <w:numId w:val="10"/>
        </w:numPr>
        <w:spacing w:line="360" w:lineRule="auto"/>
        <w:rPr>
          <w:rFonts w:hint="eastAsia"/>
          <w:b/>
          <w:color w:val="auto"/>
          <w:sz w:val="32"/>
          <w:szCs w:val="32"/>
        </w:rPr>
      </w:pPr>
      <w:r>
        <w:rPr>
          <w:rFonts w:hint="eastAsia"/>
          <w:b/>
          <w:color w:val="auto"/>
          <w:sz w:val="32"/>
          <w:szCs w:val="32"/>
        </w:rPr>
        <w:t>法定代表人</w:t>
      </w:r>
      <w:r>
        <w:rPr>
          <w:rFonts w:hint="eastAsia" w:eastAsia="宋体"/>
          <w:b/>
          <w:color w:val="auto"/>
          <w:sz w:val="32"/>
          <w:szCs w:val="32"/>
          <w:lang w:eastAsia="zh-CN"/>
        </w:rPr>
        <w:t>（</w:t>
      </w:r>
      <w:r>
        <w:rPr>
          <w:rFonts w:hint="eastAsia" w:eastAsia="宋体"/>
          <w:b/>
          <w:color w:val="auto"/>
          <w:sz w:val="32"/>
          <w:szCs w:val="32"/>
          <w:lang w:val="en-US" w:eastAsia="zh-CN"/>
        </w:rPr>
        <w:t>负责人）</w:t>
      </w:r>
      <w:r>
        <w:rPr>
          <w:rFonts w:hint="eastAsia"/>
          <w:b/>
          <w:color w:val="auto"/>
          <w:sz w:val="32"/>
          <w:szCs w:val="32"/>
        </w:rPr>
        <w:t>已退体的需提供相关证明材料并书面说明情况(加盖投标人公章)。</w:t>
      </w:r>
    </w:p>
    <w:p w14:paraId="4DF35E30">
      <w:pPr>
        <w:rPr>
          <w:rFonts w:hint="eastAsia"/>
        </w:rPr>
      </w:pPr>
      <w:r>
        <w:rPr>
          <w:rFonts w:hint="eastAsia"/>
        </w:rPr>
        <w:br w:type="page"/>
      </w:r>
    </w:p>
    <w:p w14:paraId="4312730C">
      <w:pPr>
        <w:rPr>
          <w:rFonts w:hint="eastAsia"/>
        </w:rPr>
      </w:pPr>
    </w:p>
    <w:p w14:paraId="56FA1F6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 w:val="24"/>
        </w:rPr>
      </w:pPr>
    </w:p>
    <w:p w14:paraId="09DBDE19">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bCs/>
          <w:sz w:val="24"/>
        </w:rPr>
      </w:pPr>
    </w:p>
    <w:p w14:paraId="1D8238EE">
      <w:pPr>
        <w:pStyle w:val="4"/>
        <w:pageBreakBefore w:val="0"/>
        <w:kinsoku/>
        <w:overflowPunct/>
        <w:topLinePunct w:val="0"/>
        <w:bidi w:val="0"/>
        <w:spacing w:before="0" w:beforeAutospacing="0" w:after="0" w:afterAutospacing="0" w:line="360" w:lineRule="auto"/>
        <w:ind w:left="0" w:leftChars="0" w:right="0" w:firstLine="0" w:firstLineChars="0"/>
        <w:jc w:val="center"/>
        <w:rPr>
          <w:rFonts w:hint="eastAsia" w:ascii="宋体" w:hAnsi="宋体" w:eastAsia="宋体" w:cs="宋体"/>
          <w:b w:val="0"/>
          <w:sz w:val="24"/>
        </w:rPr>
      </w:pPr>
      <w:r>
        <w:rPr>
          <w:rFonts w:hint="eastAsia" w:ascii="宋体" w:hAnsi="宋体" w:eastAsia="宋体" w:cs="宋体"/>
          <w:b w:val="0"/>
          <w:sz w:val="24"/>
        </w:rPr>
        <w:t>二、投标文件签署授权委托书</w:t>
      </w:r>
    </w:p>
    <w:p w14:paraId="386472E9">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本授权委托书声明：我</w:t>
      </w:r>
      <w:r>
        <w:rPr>
          <w:rFonts w:hint="eastAsia" w:ascii="宋体" w:hAnsi="宋体" w:eastAsia="宋体" w:cs="宋体"/>
          <w:szCs w:val="21"/>
          <w:u w:val="single"/>
        </w:rPr>
        <w:t xml:space="preserve">           </w:t>
      </w:r>
      <w:r>
        <w:rPr>
          <w:rFonts w:hint="eastAsia" w:ascii="宋体" w:hAnsi="宋体" w:eastAsia="宋体" w:cs="宋体"/>
          <w:szCs w:val="21"/>
        </w:rPr>
        <w:t>（姓名）系</w:t>
      </w:r>
      <w:r>
        <w:rPr>
          <w:rFonts w:hint="eastAsia" w:ascii="宋体" w:hAnsi="宋体" w:eastAsia="宋体" w:cs="宋体"/>
          <w:szCs w:val="21"/>
          <w:u w:val="single"/>
        </w:rPr>
        <w:t xml:space="preserve">             </w:t>
      </w:r>
      <w:r>
        <w:rPr>
          <w:rFonts w:hint="eastAsia" w:ascii="宋体" w:hAnsi="宋体" w:eastAsia="宋体" w:cs="宋体"/>
          <w:szCs w:val="21"/>
        </w:rPr>
        <w:t>（投标人名称）的法定代表人（负责人），现授权委托</w:t>
      </w:r>
      <w:r>
        <w:rPr>
          <w:rFonts w:hint="eastAsia" w:ascii="宋体" w:hAnsi="宋体" w:eastAsia="宋体" w:cs="宋体"/>
          <w:szCs w:val="21"/>
          <w:u w:val="single"/>
        </w:rPr>
        <w:t xml:space="preserve">            </w:t>
      </w:r>
      <w:r>
        <w:rPr>
          <w:rFonts w:hint="eastAsia" w:ascii="宋体" w:hAnsi="宋体" w:eastAsia="宋体" w:cs="宋体"/>
          <w:szCs w:val="21"/>
        </w:rPr>
        <w:t>（姓名）为我单位签署本项目已递交的投标文件的法定代表人（负责人）的授权委托代理人，代理人全权代表我所签署的本项目已递交的投标文件内容我均承认。</w:t>
      </w:r>
    </w:p>
    <w:p w14:paraId="224A11CB">
      <w:pPr>
        <w:pStyle w:val="7"/>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代理人无转委托权，特此委托。</w:t>
      </w:r>
    </w:p>
    <w:p w14:paraId="455895EB">
      <w:pPr>
        <w:pStyle w:val="7"/>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p>
    <w:p w14:paraId="42983CE5">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u w:val="single"/>
        </w:rPr>
      </w:pPr>
      <w:r>
        <w:rPr>
          <w:rFonts w:hint="eastAsia" w:ascii="宋体" w:hAnsi="宋体" w:eastAsia="宋体" w:cs="宋体"/>
          <w:szCs w:val="21"/>
        </w:rPr>
        <w:t>代理人：</w:t>
      </w:r>
      <w:r>
        <w:rPr>
          <w:rFonts w:hint="eastAsia" w:ascii="宋体" w:hAnsi="宋体" w:eastAsia="宋体" w:cs="宋体"/>
          <w:szCs w:val="21"/>
          <w:u w:val="single"/>
        </w:rPr>
        <w:t xml:space="preserve">             </w:t>
      </w:r>
    </w:p>
    <w:p w14:paraId="3E11B778">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联系电话：</w:t>
      </w:r>
      <w:r>
        <w:rPr>
          <w:rFonts w:hint="eastAsia" w:ascii="宋体" w:hAnsi="宋体" w:eastAsia="宋体" w:cs="宋体"/>
          <w:szCs w:val="21"/>
          <w:u w:val="single"/>
        </w:rPr>
        <w:t xml:space="preserve">            </w:t>
      </w:r>
      <w:r>
        <w:rPr>
          <w:rFonts w:hint="eastAsia" w:ascii="宋体" w:hAnsi="宋体" w:eastAsia="宋体" w:cs="宋体"/>
          <w:szCs w:val="21"/>
        </w:rPr>
        <w:t xml:space="preserve">  手机：</w:t>
      </w:r>
      <w:r>
        <w:rPr>
          <w:rFonts w:hint="eastAsia" w:ascii="宋体" w:hAnsi="宋体" w:eastAsia="宋体" w:cs="宋体"/>
          <w:szCs w:val="21"/>
          <w:u w:val="single"/>
        </w:rPr>
        <w:t xml:space="preserve">                   </w:t>
      </w:r>
    </w:p>
    <w:p w14:paraId="1EF089BE">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u w:val="single"/>
        </w:rPr>
      </w:pPr>
      <w:r>
        <w:rPr>
          <w:rFonts w:hint="eastAsia" w:ascii="宋体" w:hAnsi="宋体" w:eastAsia="宋体" w:cs="宋体"/>
          <w:szCs w:val="21"/>
        </w:rPr>
        <w:t>身份证号码：</w:t>
      </w:r>
      <w:r>
        <w:rPr>
          <w:rFonts w:hint="eastAsia" w:ascii="宋体" w:hAnsi="宋体" w:eastAsia="宋体" w:cs="宋体"/>
          <w:szCs w:val="21"/>
          <w:u w:val="single"/>
        </w:rPr>
        <w:t xml:space="preserve">                        </w:t>
      </w:r>
      <w:r>
        <w:rPr>
          <w:rFonts w:hint="eastAsia" w:ascii="宋体" w:hAnsi="宋体" w:eastAsia="宋体" w:cs="宋体"/>
          <w:szCs w:val="21"/>
        </w:rPr>
        <w:t>职务：</w:t>
      </w:r>
      <w:r>
        <w:rPr>
          <w:rFonts w:hint="eastAsia" w:ascii="宋体" w:hAnsi="宋体" w:eastAsia="宋体" w:cs="宋体"/>
          <w:szCs w:val="21"/>
          <w:u w:val="single"/>
        </w:rPr>
        <w:t xml:space="preserve">       </w:t>
      </w:r>
    </w:p>
    <w:p w14:paraId="4403C3C6">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szCs w:val="21"/>
        </w:rPr>
      </w:pPr>
      <w:r>
        <w:rPr>
          <w:rFonts w:hint="eastAsia" w:ascii="宋体" w:hAnsi="宋体" w:eastAsia="宋体" w:cs="宋体"/>
          <w:szCs w:val="21"/>
        </w:rPr>
        <w:t>授权委托日期：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 xml:space="preserve">月 </w:t>
      </w:r>
      <w:r>
        <w:rPr>
          <w:rFonts w:hint="eastAsia" w:ascii="宋体" w:hAnsi="宋体" w:eastAsia="宋体" w:cs="宋体"/>
          <w:szCs w:val="21"/>
          <w:u w:val="single"/>
        </w:rPr>
        <w:t xml:space="preserve">      </w:t>
      </w:r>
      <w:r>
        <w:rPr>
          <w:rFonts w:hint="eastAsia" w:ascii="宋体" w:hAnsi="宋体" w:eastAsia="宋体" w:cs="宋体"/>
          <w:szCs w:val="21"/>
        </w:rPr>
        <w:t>日</w:t>
      </w:r>
    </w:p>
    <w:p w14:paraId="7C7C13C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p>
    <w:p w14:paraId="77CFEEDB">
      <w:pPr>
        <w:spacing w:line="360" w:lineRule="auto"/>
        <w:rPr>
          <w:b/>
          <w:color w:val="auto"/>
          <w:sz w:val="32"/>
          <w:szCs w:val="32"/>
        </w:rPr>
      </w:pPr>
      <w:r>
        <w:rPr>
          <w:rFonts w:hint="eastAsia"/>
          <w:b/>
          <w:sz w:val="32"/>
          <w:szCs w:val="32"/>
        </w:rPr>
        <w:t>附：要求必须提供代理人身份证（境外人员无法提供身份证</w:t>
      </w:r>
      <w:r>
        <w:rPr>
          <w:rFonts w:hint="eastAsia"/>
          <w:b/>
          <w:color w:val="auto"/>
          <w:sz w:val="32"/>
          <w:szCs w:val="32"/>
        </w:rPr>
        <w:t>的，可提供护照）扫描件（正反两面）。</w:t>
      </w:r>
    </w:p>
    <w:p w14:paraId="0F9911BE">
      <w:pPr>
        <w:tabs>
          <w:tab w:val="left" w:pos="651"/>
        </w:tabs>
        <w:snapToGrid w:val="0"/>
        <w:spacing w:after="120"/>
        <w:rPr>
          <w:rFonts w:ascii="宋体" w:hAnsi="宋体" w:eastAsia="宋体"/>
          <w:color w:val="auto"/>
          <w:sz w:val="28"/>
          <w:szCs w:val="28"/>
        </w:rPr>
      </w:pPr>
      <w:r>
        <w:rPr>
          <w:rFonts w:hint="eastAsia" w:ascii="宋体" w:hAnsi="宋体" w:eastAsia="宋体"/>
          <w:color w:val="auto"/>
          <w:sz w:val="28"/>
          <w:szCs w:val="28"/>
        </w:rPr>
        <w:t>备注：</w:t>
      </w:r>
    </w:p>
    <w:p w14:paraId="6EAD5B9C">
      <w:pPr>
        <w:pStyle w:val="16"/>
        <w:rPr>
          <w:rFonts w:hint="eastAsia" w:ascii="宋体" w:hAnsi="宋体" w:cs="宋体"/>
          <w:b/>
          <w:bCs/>
        </w:rPr>
      </w:pPr>
      <w:r>
        <w:rPr>
          <w:rFonts w:hint="eastAsia" w:ascii="宋体" w:hAnsi="宋体" w:cs="宋体"/>
          <w:b/>
          <w:bCs/>
        </w:rPr>
        <w:t>提供授权代表在投标人缴纳的投标截止前近一个月（由于社保部门原因最近一个月的社保证明无法提供的可往前顺延一个月）的社保证明。如供应商为新成立企业且成立时间不足</w:t>
      </w:r>
      <w:r>
        <w:rPr>
          <w:rFonts w:hint="eastAsia" w:ascii="宋体" w:hAnsi="宋体" w:eastAsia="宋体" w:cs="宋体"/>
          <w:b/>
          <w:bCs/>
          <w:lang w:eastAsia="zh-CN"/>
        </w:rPr>
        <w:t>一</w:t>
      </w:r>
      <w:r>
        <w:rPr>
          <w:rFonts w:hint="eastAsia" w:ascii="宋体" w:hAnsi="宋体" w:cs="宋体"/>
          <w:b/>
          <w:bCs/>
        </w:rPr>
        <w:t>个月可提供加盖公章的情况说明或者证明材料亦视为符合。</w:t>
      </w:r>
    </w:p>
    <w:p w14:paraId="304E9DF4">
      <w:pPr>
        <w:rPr>
          <w:rFonts w:hint="eastAsia" w:ascii="宋体" w:hAnsi="宋体" w:cs="宋体"/>
          <w:b/>
          <w:bCs/>
        </w:rPr>
      </w:pPr>
      <w:r>
        <w:rPr>
          <w:rFonts w:hint="eastAsia" w:ascii="宋体" w:hAnsi="宋体" w:cs="宋体"/>
          <w:b/>
          <w:bCs/>
        </w:rPr>
        <w:br w:type="page"/>
      </w:r>
    </w:p>
    <w:p w14:paraId="53A10A23">
      <w:pPr>
        <w:pStyle w:val="16"/>
        <w:rPr>
          <w:rFonts w:hint="eastAsia" w:ascii="宋体" w:hAnsi="宋体" w:cs="宋体"/>
          <w:b/>
          <w:bCs/>
        </w:rPr>
      </w:pPr>
    </w:p>
    <w:p w14:paraId="6680AEE0">
      <w:pPr>
        <w:pStyle w:val="4"/>
        <w:pageBreakBefore w:val="0"/>
        <w:kinsoku/>
        <w:overflowPunct/>
        <w:topLinePunct w:val="0"/>
        <w:bidi w:val="0"/>
        <w:spacing w:before="0" w:beforeAutospacing="0" w:after="0" w:afterAutospacing="0" w:line="360" w:lineRule="auto"/>
        <w:ind w:left="0" w:leftChars="0" w:right="0" w:firstLine="0" w:firstLineChars="0"/>
        <w:jc w:val="center"/>
        <w:rPr>
          <w:rFonts w:hint="eastAsia" w:ascii="宋体" w:hAnsi="宋体" w:eastAsia="宋体" w:cs="宋体"/>
          <w:b w:val="0"/>
          <w:kern w:val="0"/>
          <w:sz w:val="24"/>
          <w:szCs w:val="24"/>
        </w:rPr>
      </w:pPr>
    </w:p>
    <w:p w14:paraId="4BB90921">
      <w:pPr>
        <w:pStyle w:val="4"/>
        <w:pageBreakBefore w:val="0"/>
        <w:kinsoku/>
        <w:overflowPunct/>
        <w:topLinePunct w:val="0"/>
        <w:bidi w:val="0"/>
        <w:spacing w:before="0" w:beforeAutospacing="0" w:after="0" w:afterAutospacing="0" w:line="360" w:lineRule="auto"/>
        <w:ind w:left="0" w:leftChars="0" w:right="0" w:firstLine="0" w:firstLineChars="0"/>
        <w:jc w:val="center"/>
        <w:rPr>
          <w:rFonts w:hint="eastAsia" w:ascii="宋体" w:hAnsi="宋体" w:eastAsia="宋体" w:cs="宋体"/>
          <w:b w:val="0"/>
          <w:kern w:val="0"/>
          <w:sz w:val="24"/>
          <w:szCs w:val="24"/>
        </w:rPr>
      </w:pPr>
      <w:r>
        <w:rPr>
          <w:rFonts w:hint="eastAsia" w:ascii="宋体" w:hAnsi="宋体" w:eastAsia="宋体" w:cs="宋体"/>
          <w:b w:val="0"/>
          <w:kern w:val="0"/>
          <w:sz w:val="24"/>
          <w:szCs w:val="24"/>
        </w:rPr>
        <w:t>三、</w:t>
      </w:r>
      <w:bookmarkStart w:id="35" w:name="_Hlk72092634"/>
      <w:r>
        <w:rPr>
          <w:rFonts w:hint="eastAsia" w:ascii="宋体" w:hAnsi="宋体" w:eastAsia="宋体" w:cs="宋体"/>
          <w:b w:val="0"/>
          <w:kern w:val="0"/>
          <w:sz w:val="24"/>
          <w:szCs w:val="24"/>
        </w:rPr>
        <w:t>实质性条款响应情况表</w:t>
      </w:r>
      <w:bookmarkEnd w:id="35"/>
    </w:p>
    <w:tbl>
      <w:tblPr>
        <w:tblStyle w:val="44"/>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4002"/>
        <w:gridCol w:w="2587"/>
        <w:gridCol w:w="1100"/>
      </w:tblGrid>
      <w:tr w14:paraId="5C64D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705" w:type="dxa"/>
            <w:vAlign w:val="center"/>
          </w:tcPr>
          <w:p w14:paraId="2446A369">
            <w:pPr>
              <w:pageBreakBefore w:val="0"/>
              <w:kinsoku/>
              <w:overflowPunct/>
              <w:topLinePunct w:val="0"/>
              <w:bidi w:val="0"/>
              <w:adjustRightInd w:val="0"/>
              <w:snapToGrid w:val="0"/>
              <w:spacing w:beforeAutospacing="0" w:afterAutospacing="0" w:line="360" w:lineRule="auto"/>
              <w:ind w:left="0" w:leftChars="0" w:right="0" w:firstLine="0" w:firstLineChars="0"/>
              <w:jc w:val="center"/>
              <w:rPr>
                <w:rFonts w:hint="eastAsia" w:ascii="宋体" w:hAnsi="宋体" w:eastAsia="宋体" w:cs="宋体"/>
                <w:b/>
                <w:bCs/>
                <w:kern w:val="0"/>
                <w:szCs w:val="21"/>
              </w:rPr>
            </w:pPr>
            <w:bookmarkStart w:id="36" w:name="_Hlk72092651"/>
            <w:r>
              <w:rPr>
                <w:rFonts w:hint="eastAsia" w:ascii="宋体" w:hAnsi="宋体" w:eastAsia="宋体" w:cs="宋体"/>
                <w:b/>
                <w:bCs/>
                <w:kern w:val="0"/>
                <w:szCs w:val="21"/>
              </w:rPr>
              <w:t>序号</w:t>
            </w:r>
          </w:p>
        </w:tc>
        <w:tc>
          <w:tcPr>
            <w:tcW w:w="4002" w:type="dxa"/>
            <w:vAlign w:val="center"/>
          </w:tcPr>
          <w:p w14:paraId="2E8524B0">
            <w:pPr>
              <w:pageBreakBefore w:val="0"/>
              <w:kinsoku/>
              <w:overflowPunct/>
              <w:topLinePunct w:val="0"/>
              <w:bidi w:val="0"/>
              <w:adjustRightInd w:val="0"/>
              <w:snapToGrid w:val="0"/>
              <w:spacing w:beforeAutospacing="0" w:afterAutospacing="0" w:line="360" w:lineRule="auto"/>
              <w:ind w:left="0" w:leftChars="0" w:right="0" w:firstLine="0" w:firstLineChars="0"/>
              <w:jc w:val="center"/>
              <w:rPr>
                <w:rFonts w:hint="eastAsia" w:ascii="宋体" w:hAnsi="宋体" w:eastAsia="宋体" w:cs="宋体"/>
                <w:b/>
                <w:bCs/>
                <w:kern w:val="0"/>
                <w:szCs w:val="21"/>
              </w:rPr>
            </w:pPr>
            <w:r>
              <w:rPr>
                <w:rFonts w:hint="eastAsia" w:ascii="宋体" w:hAnsi="宋体" w:eastAsia="宋体" w:cs="宋体"/>
                <w:b/>
                <w:bCs/>
                <w:kern w:val="0"/>
                <w:szCs w:val="21"/>
              </w:rPr>
              <w:t>实质性条款具体内容</w:t>
            </w:r>
          </w:p>
        </w:tc>
        <w:tc>
          <w:tcPr>
            <w:tcW w:w="2587" w:type="dxa"/>
            <w:vAlign w:val="center"/>
          </w:tcPr>
          <w:p w14:paraId="43B2AD1E">
            <w:pPr>
              <w:pageBreakBefore w:val="0"/>
              <w:kinsoku/>
              <w:overflowPunct/>
              <w:topLinePunct w:val="0"/>
              <w:bidi w:val="0"/>
              <w:adjustRightInd w:val="0"/>
              <w:snapToGrid w:val="0"/>
              <w:spacing w:beforeAutospacing="0" w:afterAutospacing="0" w:line="360" w:lineRule="auto"/>
              <w:ind w:left="0" w:leftChars="0" w:right="0" w:firstLine="0" w:firstLineChars="0"/>
              <w:jc w:val="center"/>
              <w:rPr>
                <w:rFonts w:hint="eastAsia" w:ascii="宋体" w:hAnsi="宋体" w:eastAsia="宋体" w:cs="宋体"/>
                <w:b/>
                <w:bCs/>
                <w:kern w:val="0"/>
                <w:szCs w:val="21"/>
              </w:rPr>
            </w:pPr>
            <w:r>
              <w:rPr>
                <w:rFonts w:hint="eastAsia" w:ascii="宋体" w:hAnsi="宋体" w:eastAsia="宋体" w:cs="宋体"/>
                <w:b/>
                <w:bCs/>
                <w:kern w:val="0"/>
                <w:szCs w:val="21"/>
              </w:rPr>
              <w:t>投标人响应情况</w:t>
            </w:r>
          </w:p>
        </w:tc>
        <w:tc>
          <w:tcPr>
            <w:tcW w:w="1100" w:type="dxa"/>
            <w:vAlign w:val="center"/>
          </w:tcPr>
          <w:p w14:paraId="50703C04">
            <w:pPr>
              <w:pageBreakBefore w:val="0"/>
              <w:kinsoku/>
              <w:overflowPunct/>
              <w:topLinePunct w:val="0"/>
              <w:bidi w:val="0"/>
              <w:adjustRightInd w:val="0"/>
              <w:snapToGrid w:val="0"/>
              <w:spacing w:beforeAutospacing="0" w:afterAutospacing="0" w:line="360" w:lineRule="auto"/>
              <w:ind w:left="0" w:leftChars="0" w:right="0" w:firstLine="0" w:firstLineChars="0"/>
              <w:jc w:val="center"/>
              <w:rPr>
                <w:rFonts w:hint="eastAsia" w:ascii="宋体" w:hAnsi="宋体" w:eastAsia="宋体" w:cs="宋体"/>
                <w:b/>
                <w:bCs/>
                <w:kern w:val="0"/>
                <w:szCs w:val="21"/>
              </w:rPr>
            </w:pPr>
            <w:r>
              <w:rPr>
                <w:rFonts w:hint="eastAsia" w:ascii="宋体" w:hAnsi="宋体" w:eastAsia="宋体" w:cs="宋体"/>
                <w:b/>
                <w:bCs/>
                <w:kern w:val="0"/>
                <w:szCs w:val="21"/>
              </w:rPr>
              <w:t>说明</w:t>
            </w:r>
          </w:p>
        </w:tc>
      </w:tr>
      <w:bookmarkEnd w:id="36"/>
      <w:tr w14:paraId="6D86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5" w:type="dxa"/>
          </w:tcPr>
          <w:p w14:paraId="4FBB1A66">
            <w:pPr>
              <w:pageBreakBefore w:val="0"/>
              <w:kinsoku/>
              <w:overflowPunct/>
              <w:topLinePunct w:val="0"/>
              <w:bidi w:val="0"/>
              <w:adjustRightInd w:val="0"/>
              <w:snapToGrid w:val="0"/>
              <w:spacing w:beforeAutospacing="0" w:afterAutospacing="0" w:line="360" w:lineRule="auto"/>
              <w:ind w:left="0" w:leftChars="0" w:right="0" w:firstLine="0" w:firstLineChars="0"/>
              <w:rPr>
                <w:rFonts w:hint="eastAsia" w:ascii="宋体" w:hAnsi="宋体" w:eastAsia="宋体" w:cs="宋体"/>
                <w:kern w:val="0"/>
                <w:szCs w:val="21"/>
              </w:rPr>
            </w:pPr>
            <w:r>
              <w:rPr>
                <w:rFonts w:hint="eastAsia" w:ascii="宋体" w:hAnsi="宋体" w:eastAsia="宋体" w:cs="宋体"/>
                <w:kern w:val="0"/>
                <w:szCs w:val="21"/>
              </w:rPr>
              <w:t>1</w:t>
            </w:r>
          </w:p>
        </w:tc>
        <w:tc>
          <w:tcPr>
            <w:tcW w:w="4002" w:type="dxa"/>
            <w:vAlign w:val="center"/>
          </w:tcPr>
          <w:p w14:paraId="365C749E">
            <w:pPr>
              <w:pageBreakBefore w:val="0"/>
              <w:kinsoku/>
              <w:overflowPunct/>
              <w:topLinePunct w:val="0"/>
              <w:autoSpaceDE/>
              <w:autoSpaceDN/>
              <w:bidi w:val="0"/>
              <w:adjustRightInd w:val="0"/>
              <w:snapToGrid w:val="0"/>
              <w:spacing w:beforeAutospacing="0" w:afterAutospacing="0" w:line="360" w:lineRule="auto"/>
              <w:ind w:left="0" w:leftChars="0" w:right="0" w:rightChars="0" w:firstLine="0" w:firstLineChars="0"/>
              <w:jc w:val="center"/>
              <w:rPr>
                <w:rFonts w:hint="eastAsia" w:ascii="宋体" w:hAnsi="宋体" w:eastAsia="宋体" w:cs="宋体"/>
                <w:kern w:val="0"/>
                <w:szCs w:val="21"/>
              </w:rPr>
            </w:pPr>
            <w:r>
              <w:rPr>
                <w:rFonts w:hint="eastAsia" w:ascii="Times New Roman" w:hAnsi="Times New Roman" w:eastAsia="宋体" w:cs="Times New Roman"/>
                <w:b w:val="0"/>
                <w:bCs/>
                <w:kern w:val="0"/>
                <w:sz w:val="22"/>
                <w:szCs w:val="22"/>
              </w:rPr>
              <w:t>带“★”指标项</w:t>
            </w:r>
            <w:r>
              <w:rPr>
                <w:rFonts w:ascii="Times New Roman" w:hAnsi="Times New Roman" w:eastAsia="宋体" w:cs="Times New Roman"/>
                <w:b w:val="0"/>
                <w:bCs/>
                <w:kern w:val="0"/>
                <w:sz w:val="22"/>
                <w:szCs w:val="22"/>
              </w:rPr>
              <w:t>完全满足本项目的要求</w:t>
            </w:r>
          </w:p>
        </w:tc>
        <w:tc>
          <w:tcPr>
            <w:tcW w:w="2587" w:type="dxa"/>
            <w:vAlign w:val="center"/>
          </w:tcPr>
          <w:p w14:paraId="7C691DA3">
            <w:pPr>
              <w:pageBreakBefore w:val="0"/>
              <w:kinsoku/>
              <w:overflowPunct/>
              <w:topLinePunct w:val="0"/>
              <w:autoSpaceDE/>
              <w:autoSpaceDN/>
              <w:bidi w:val="0"/>
              <w:adjustRightInd w:val="0"/>
              <w:snapToGrid w:val="0"/>
              <w:spacing w:beforeAutospacing="0" w:afterAutospacing="0" w:line="360" w:lineRule="auto"/>
              <w:ind w:left="0" w:leftChars="0" w:right="0" w:rightChars="0" w:firstLine="0" w:firstLineChars="0"/>
              <w:jc w:val="center"/>
              <w:rPr>
                <w:rFonts w:hint="eastAsia" w:ascii="宋体" w:hAnsi="宋体" w:eastAsia="宋体" w:cs="宋体"/>
                <w:kern w:val="0"/>
                <w:szCs w:val="21"/>
              </w:rPr>
            </w:pPr>
          </w:p>
        </w:tc>
        <w:tc>
          <w:tcPr>
            <w:tcW w:w="1100" w:type="dxa"/>
          </w:tcPr>
          <w:p w14:paraId="15E4F7B9">
            <w:pPr>
              <w:pageBreakBefore w:val="0"/>
              <w:kinsoku/>
              <w:overflowPunct/>
              <w:topLinePunct w:val="0"/>
              <w:bidi w:val="0"/>
              <w:adjustRightInd w:val="0"/>
              <w:snapToGrid w:val="0"/>
              <w:spacing w:beforeAutospacing="0" w:afterAutospacing="0" w:line="360" w:lineRule="auto"/>
              <w:ind w:left="0" w:leftChars="0" w:right="0" w:firstLine="0" w:firstLineChars="0"/>
              <w:rPr>
                <w:rFonts w:hint="eastAsia" w:ascii="宋体" w:hAnsi="宋体" w:eastAsia="宋体" w:cs="宋体"/>
                <w:kern w:val="0"/>
                <w:szCs w:val="21"/>
              </w:rPr>
            </w:pPr>
          </w:p>
        </w:tc>
      </w:tr>
    </w:tbl>
    <w:p w14:paraId="410C6CD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sz w:val="24"/>
          <w:szCs w:val="22"/>
        </w:rPr>
      </w:pPr>
    </w:p>
    <w:p w14:paraId="6011750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sz w:val="24"/>
          <w:szCs w:val="22"/>
        </w:rPr>
      </w:pPr>
      <w:r>
        <w:rPr>
          <w:rFonts w:hint="eastAsia" w:ascii="宋体" w:hAnsi="宋体" w:eastAsia="宋体" w:cs="宋体"/>
          <w:b/>
          <w:sz w:val="24"/>
          <w:szCs w:val="22"/>
        </w:rPr>
        <w:t>注：1. 上表所列各项均为不可负偏离条款。</w:t>
      </w:r>
    </w:p>
    <w:p w14:paraId="19A50960">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sz w:val="24"/>
          <w:szCs w:val="22"/>
        </w:rPr>
      </w:pPr>
      <w:r>
        <w:rPr>
          <w:rFonts w:hint="eastAsia" w:ascii="宋体" w:hAnsi="宋体" w:eastAsia="宋体" w:cs="宋体"/>
          <w:b/>
          <w:sz w:val="24"/>
          <w:szCs w:val="22"/>
        </w:rPr>
        <w:t>2.“投标人响应情况”一栏应如实填写“响应”或“不响应”。</w:t>
      </w:r>
    </w:p>
    <w:p w14:paraId="0DCD4294">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sz w:val="24"/>
        </w:rPr>
      </w:pPr>
      <w:r>
        <w:rPr>
          <w:rFonts w:hint="eastAsia" w:ascii="宋体" w:hAnsi="宋体" w:eastAsia="宋体" w:cs="宋体"/>
          <w:b/>
          <w:sz w:val="24"/>
          <w:lang w:val="en-US" w:eastAsia="zh-CN"/>
        </w:rPr>
        <w:t>3</w:t>
      </w:r>
      <w:r>
        <w:rPr>
          <w:rFonts w:hint="eastAsia" w:ascii="宋体" w:hAnsi="宋体" w:eastAsia="宋体" w:cs="宋体"/>
          <w:b/>
          <w:sz w:val="24"/>
        </w:rPr>
        <w:t>.评审委员会有权对投标响应情况作出判断（作出评审结论）。</w:t>
      </w:r>
    </w:p>
    <w:p w14:paraId="34CA69A6">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b/>
          <w:sz w:val="24"/>
          <w:szCs w:val="22"/>
          <w:lang w:val="en-US" w:eastAsia="zh-CN"/>
        </w:rPr>
        <w:t>4</w:t>
      </w:r>
      <w:r>
        <w:rPr>
          <w:rFonts w:hint="eastAsia" w:ascii="宋体" w:hAnsi="宋体" w:eastAsia="宋体" w:cs="宋体"/>
          <w:b/>
          <w:sz w:val="24"/>
          <w:szCs w:val="22"/>
        </w:rPr>
        <w:t>.实质性条款响应情况表“投标人响应情况”与投标文件其它内容冲突的，以实质性条款响应情况表“投标人响应情况”为准。</w:t>
      </w:r>
    </w:p>
    <w:p w14:paraId="6214B65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b/>
          <w:sz w:val="24"/>
          <w:szCs w:val="22"/>
          <w:lang w:val="en-US" w:eastAsia="zh-CN"/>
        </w:rPr>
        <w:t>5</w:t>
      </w:r>
      <w:r>
        <w:rPr>
          <w:rFonts w:hint="eastAsia" w:ascii="宋体" w:hAnsi="宋体" w:eastAsia="宋体" w:cs="宋体"/>
          <w:b/>
          <w:sz w:val="24"/>
          <w:szCs w:val="22"/>
        </w:rPr>
        <w:t>.</w:t>
      </w:r>
      <w:r>
        <w:rPr>
          <w:rFonts w:hint="eastAsia" w:ascii="宋体" w:hAnsi="宋体" w:eastAsia="宋体" w:cs="宋体"/>
        </w:rPr>
        <w:t xml:space="preserve"> </w:t>
      </w:r>
      <w:r>
        <w:rPr>
          <w:rFonts w:hint="eastAsia" w:ascii="宋体" w:hAnsi="宋体" w:eastAsia="宋体" w:cs="宋体"/>
          <w:b/>
          <w:sz w:val="24"/>
          <w:szCs w:val="22"/>
          <w:lang w:val="en-US" w:eastAsia="zh-CN"/>
        </w:rPr>
        <w:t>如</w:t>
      </w:r>
      <w:r>
        <w:rPr>
          <w:rFonts w:hint="eastAsia" w:ascii="宋体" w:hAnsi="宋体" w:eastAsia="宋体" w:cs="宋体"/>
          <w:b/>
          <w:sz w:val="24"/>
          <w:szCs w:val="22"/>
        </w:rPr>
        <w:t>要求提供证明资料</w:t>
      </w:r>
      <w:r>
        <w:rPr>
          <w:rFonts w:hint="eastAsia" w:ascii="宋体" w:hAnsi="宋体" w:eastAsia="宋体" w:cs="宋体"/>
          <w:b/>
          <w:sz w:val="24"/>
          <w:szCs w:val="22"/>
          <w:lang w:val="en-US" w:eastAsia="zh-CN"/>
        </w:rPr>
        <w:t>或承诺函的</w:t>
      </w:r>
      <w:r>
        <w:rPr>
          <w:rFonts w:hint="eastAsia" w:ascii="宋体" w:hAnsi="宋体" w:eastAsia="宋体" w:cs="宋体"/>
          <w:b/>
          <w:sz w:val="24"/>
          <w:szCs w:val="22"/>
        </w:rPr>
        <w:t>，在“说明”一栏中列明证明资料</w:t>
      </w:r>
      <w:r>
        <w:rPr>
          <w:rFonts w:hint="eastAsia" w:ascii="宋体" w:hAnsi="宋体" w:eastAsia="宋体" w:cs="宋体"/>
          <w:b/>
          <w:sz w:val="24"/>
          <w:szCs w:val="22"/>
          <w:lang w:val="en-US" w:eastAsia="zh-CN"/>
        </w:rPr>
        <w:t>或承诺函</w:t>
      </w:r>
      <w:r>
        <w:rPr>
          <w:rFonts w:hint="eastAsia" w:ascii="宋体" w:hAnsi="宋体" w:eastAsia="宋体" w:cs="宋体"/>
          <w:b/>
          <w:sz w:val="24"/>
          <w:szCs w:val="22"/>
        </w:rPr>
        <w:t>的位置,以便评审；未要求提供证明材料的，投标人可以不提供。</w:t>
      </w:r>
    </w:p>
    <w:p w14:paraId="13B33436">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bCs w:val="0"/>
          <w:kern w:val="2"/>
          <w:sz w:val="24"/>
          <w:szCs w:val="20"/>
          <w:lang w:val="en-US" w:eastAsia="zh-CN" w:bidi="ar-SA"/>
        </w:rPr>
      </w:pPr>
      <w:r>
        <w:rPr>
          <w:rFonts w:hint="eastAsia" w:ascii="宋体" w:hAnsi="宋体" w:cs="宋体"/>
          <w:b w:val="0"/>
          <w:bCs w:val="0"/>
          <w:kern w:val="2"/>
          <w:sz w:val="24"/>
          <w:szCs w:val="20"/>
          <w:lang w:val="en-US" w:eastAsia="zh-CN" w:bidi="ar-SA"/>
        </w:rPr>
        <w:t>四、</w:t>
      </w:r>
      <w:r>
        <w:rPr>
          <w:rFonts w:hint="eastAsia" w:ascii="宋体" w:hAnsi="宋体" w:eastAsia="宋体" w:cs="宋体"/>
          <w:b w:val="0"/>
          <w:bCs w:val="0"/>
          <w:kern w:val="2"/>
          <w:sz w:val="24"/>
          <w:szCs w:val="20"/>
          <w:lang w:val="en-US" w:eastAsia="zh-CN" w:bidi="ar-SA"/>
        </w:rPr>
        <w:t>项目整体设想及规划方案</w:t>
      </w:r>
    </w:p>
    <w:p w14:paraId="3F0398D2">
      <w:pPr>
        <w:pStyle w:val="18"/>
        <w:jc w:val="center"/>
        <w:rPr>
          <w:rFonts w:hint="eastAsia"/>
          <w:lang w:val="en-US" w:eastAsia="zh-CN"/>
        </w:rPr>
      </w:pPr>
      <w:r>
        <w:rPr>
          <w:rFonts w:hint="eastAsia"/>
          <w:color w:val="FF0000"/>
          <w:lang w:val="en-US" w:eastAsia="zh-CN"/>
        </w:rPr>
        <w:t>（格式自拟）</w:t>
      </w:r>
    </w:p>
    <w:p w14:paraId="082FCF3D">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bCs w:val="0"/>
          <w:kern w:val="2"/>
          <w:sz w:val="24"/>
          <w:szCs w:val="20"/>
          <w:lang w:val="zh-CN" w:eastAsia="zh-CN" w:bidi="ar-SA"/>
        </w:rPr>
      </w:pPr>
      <w:r>
        <w:rPr>
          <w:rFonts w:hint="eastAsia" w:ascii="宋体" w:hAnsi="宋体" w:cs="宋体"/>
          <w:b w:val="0"/>
          <w:bCs w:val="0"/>
          <w:kern w:val="2"/>
          <w:sz w:val="24"/>
          <w:szCs w:val="20"/>
          <w:lang w:val="zh-CN" w:eastAsia="zh-CN" w:bidi="ar-SA"/>
        </w:rPr>
        <w:t>五、</w:t>
      </w:r>
      <w:r>
        <w:rPr>
          <w:rFonts w:hint="eastAsia" w:ascii="宋体" w:hAnsi="宋体" w:eastAsia="宋体" w:cs="宋体"/>
          <w:b w:val="0"/>
          <w:bCs w:val="0"/>
          <w:kern w:val="2"/>
          <w:sz w:val="24"/>
          <w:szCs w:val="20"/>
          <w:lang w:val="zh-CN" w:eastAsia="zh-CN" w:bidi="ar-SA"/>
        </w:rPr>
        <w:t>规章管理制度、工作流程等</w:t>
      </w:r>
    </w:p>
    <w:p w14:paraId="3E42D706">
      <w:pPr>
        <w:pStyle w:val="18"/>
        <w:jc w:val="center"/>
        <w:rPr>
          <w:rFonts w:hint="eastAsia"/>
          <w:lang w:val="en-US" w:eastAsia="zh-CN"/>
        </w:rPr>
      </w:pPr>
      <w:r>
        <w:rPr>
          <w:rFonts w:hint="eastAsia"/>
          <w:color w:val="FF0000"/>
          <w:lang w:val="en-US" w:eastAsia="zh-CN"/>
        </w:rPr>
        <w:t>（格式自拟）</w:t>
      </w:r>
    </w:p>
    <w:p w14:paraId="567DE1D2">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bCs w:val="0"/>
          <w:kern w:val="2"/>
          <w:sz w:val="24"/>
          <w:szCs w:val="20"/>
          <w:lang w:val="zh-CN" w:eastAsia="zh-CN" w:bidi="ar-SA"/>
        </w:rPr>
      </w:pPr>
      <w:r>
        <w:rPr>
          <w:rFonts w:hint="eastAsia" w:ascii="宋体" w:hAnsi="宋体" w:cs="宋体"/>
          <w:b w:val="0"/>
          <w:bCs w:val="0"/>
          <w:kern w:val="2"/>
          <w:sz w:val="24"/>
          <w:szCs w:val="20"/>
          <w:lang w:val="zh-CN" w:eastAsia="zh-CN" w:bidi="ar-SA"/>
        </w:rPr>
        <w:t>六、</w:t>
      </w:r>
      <w:r>
        <w:rPr>
          <w:rFonts w:hint="eastAsia" w:ascii="宋体" w:hAnsi="宋体" w:eastAsia="宋体" w:cs="宋体"/>
          <w:b w:val="0"/>
          <w:bCs w:val="0"/>
          <w:kern w:val="2"/>
          <w:sz w:val="24"/>
          <w:szCs w:val="20"/>
          <w:lang w:val="zh-CN" w:eastAsia="zh-CN" w:bidi="ar-SA"/>
        </w:rPr>
        <w:t>应急方案</w:t>
      </w:r>
    </w:p>
    <w:p w14:paraId="1BE466A7">
      <w:pPr>
        <w:pStyle w:val="18"/>
        <w:jc w:val="center"/>
        <w:rPr>
          <w:rFonts w:hint="eastAsia"/>
          <w:lang w:val="en-US" w:eastAsia="zh-CN"/>
        </w:rPr>
      </w:pPr>
      <w:r>
        <w:rPr>
          <w:rFonts w:hint="eastAsia"/>
          <w:color w:val="FF0000"/>
          <w:lang w:val="en-US" w:eastAsia="zh-CN"/>
        </w:rPr>
        <w:t>（格式自拟）</w:t>
      </w:r>
    </w:p>
    <w:p w14:paraId="78F9E1D7">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bCs w:val="0"/>
          <w:kern w:val="2"/>
          <w:sz w:val="24"/>
          <w:szCs w:val="20"/>
          <w:lang w:val="en-US" w:eastAsia="zh-CN" w:bidi="ar-SA"/>
        </w:rPr>
      </w:pPr>
      <w:r>
        <w:rPr>
          <w:rFonts w:hint="eastAsia" w:ascii="宋体" w:hAnsi="宋体" w:cs="宋体"/>
          <w:b w:val="0"/>
          <w:bCs w:val="0"/>
          <w:kern w:val="2"/>
          <w:sz w:val="24"/>
          <w:szCs w:val="20"/>
          <w:lang w:val="en-US" w:eastAsia="zh-CN" w:bidi="ar-SA"/>
        </w:rPr>
        <w:t>七、</w:t>
      </w:r>
      <w:r>
        <w:rPr>
          <w:rFonts w:hint="eastAsia" w:ascii="宋体" w:hAnsi="宋体" w:eastAsia="宋体" w:cs="宋体"/>
          <w:b w:val="0"/>
          <w:bCs w:val="0"/>
          <w:kern w:val="2"/>
          <w:sz w:val="24"/>
          <w:szCs w:val="20"/>
          <w:lang w:val="en-US" w:eastAsia="zh-CN" w:bidi="ar-SA"/>
        </w:rPr>
        <w:t>拟安排项目服务团队情况</w:t>
      </w:r>
    </w:p>
    <w:p w14:paraId="3EC86E20">
      <w:pPr>
        <w:pStyle w:val="18"/>
        <w:jc w:val="center"/>
        <w:rPr>
          <w:rFonts w:hint="eastAsia"/>
          <w:lang w:val="en-US" w:eastAsia="zh-CN"/>
        </w:rPr>
      </w:pPr>
      <w:r>
        <w:rPr>
          <w:rFonts w:hint="eastAsia"/>
          <w:color w:val="FF0000"/>
          <w:lang w:val="en-US" w:eastAsia="zh-CN"/>
        </w:rPr>
        <w:t>（格式自拟）</w:t>
      </w:r>
    </w:p>
    <w:p w14:paraId="7115EF2D">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bCs w:val="0"/>
          <w:kern w:val="2"/>
          <w:sz w:val="24"/>
          <w:szCs w:val="20"/>
          <w:lang w:val="en-US" w:eastAsia="zh-CN" w:bidi="ar-SA"/>
        </w:rPr>
      </w:pPr>
      <w:r>
        <w:rPr>
          <w:rFonts w:hint="eastAsia" w:ascii="宋体" w:hAnsi="宋体" w:cs="宋体"/>
          <w:b w:val="0"/>
          <w:bCs w:val="0"/>
          <w:kern w:val="2"/>
          <w:sz w:val="24"/>
          <w:szCs w:val="20"/>
          <w:lang w:val="en-US" w:eastAsia="zh-CN" w:bidi="ar-SA"/>
        </w:rPr>
        <w:t>八、</w:t>
      </w:r>
      <w:r>
        <w:rPr>
          <w:rFonts w:hint="eastAsia" w:ascii="宋体" w:hAnsi="宋体" w:eastAsia="宋体" w:cs="宋体"/>
          <w:b w:val="0"/>
          <w:bCs w:val="0"/>
          <w:kern w:val="2"/>
          <w:sz w:val="24"/>
          <w:szCs w:val="20"/>
          <w:lang w:val="en-US" w:eastAsia="zh-CN" w:bidi="ar-SA"/>
        </w:rPr>
        <w:t>拟投入本项目冷库（含冷冻库及冷藏库）情况</w:t>
      </w:r>
    </w:p>
    <w:p w14:paraId="43C6F3B9">
      <w:pPr>
        <w:pStyle w:val="18"/>
        <w:jc w:val="center"/>
        <w:rPr>
          <w:rFonts w:hint="eastAsia"/>
          <w:lang w:val="en-US" w:eastAsia="zh-CN"/>
        </w:rPr>
      </w:pPr>
      <w:r>
        <w:rPr>
          <w:rFonts w:hint="eastAsia"/>
          <w:color w:val="FF0000"/>
          <w:lang w:val="en-US" w:eastAsia="zh-CN"/>
        </w:rPr>
        <w:t>（格式自拟）</w:t>
      </w:r>
    </w:p>
    <w:p w14:paraId="758BA0A5">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bCs w:val="0"/>
          <w:kern w:val="2"/>
          <w:sz w:val="24"/>
          <w:szCs w:val="20"/>
          <w:lang w:val="en-US" w:eastAsia="zh-CN" w:bidi="ar-SA"/>
        </w:rPr>
      </w:pPr>
      <w:r>
        <w:rPr>
          <w:rFonts w:hint="eastAsia" w:ascii="宋体" w:hAnsi="宋体" w:cs="宋体"/>
          <w:b w:val="0"/>
          <w:bCs w:val="0"/>
          <w:kern w:val="2"/>
          <w:sz w:val="24"/>
          <w:szCs w:val="20"/>
          <w:lang w:val="en-US" w:eastAsia="zh-CN" w:bidi="ar-SA"/>
        </w:rPr>
        <w:t>九、</w:t>
      </w:r>
      <w:r>
        <w:rPr>
          <w:rFonts w:hint="eastAsia" w:ascii="宋体" w:hAnsi="宋体" w:eastAsia="宋体" w:cs="宋体"/>
          <w:b w:val="0"/>
          <w:bCs w:val="0"/>
          <w:kern w:val="2"/>
          <w:sz w:val="24"/>
          <w:szCs w:val="20"/>
          <w:lang w:val="en-US" w:eastAsia="zh-CN" w:bidi="ar-SA"/>
        </w:rPr>
        <w:t>拟用于本项目生产基地情况</w:t>
      </w:r>
    </w:p>
    <w:p w14:paraId="7B4ACEFC">
      <w:pPr>
        <w:pStyle w:val="18"/>
        <w:jc w:val="center"/>
        <w:rPr>
          <w:rFonts w:hint="eastAsia"/>
          <w:lang w:val="en-US" w:eastAsia="zh-CN"/>
        </w:rPr>
      </w:pPr>
      <w:r>
        <w:rPr>
          <w:rFonts w:hint="eastAsia"/>
          <w:color w:val="FF0000"/>
          <w:lang w:val="en-US" w:eastAsia="zh-CN"/>
        </w:rPr>
        <w:t>（格式自拟）</w:t>
      </w:r>
    </w:p>
    <w:p w14:paraId="36F1904D">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bCs w:val="0"/>
          <w:kern w:val="2"/>
          <w:sz w:val="24"/>
          <w:szCs w:val="20"/>
          <w:lang w:val="en-US" w:eastAsia="zh-CN" w:bidi="ar-SA"/>
        </w:rPr>
      </w:pPr>
      <w:r>
        <w:rPr>
          <w:rFonts w:hint="eastAsia" w:ascii="宋体" w:hAnsi="宋体" w:cs="宋体"/>
          <w:b w:val="0"/>
          <w:bCs w:val="0"/>
          <w:kern w:val="2"/>
          <w:sz w:val="24"/>
          <w:szCs w:val="20"/>
          <w:lang w:val="en-US" w:eastAsia="zh-CN" w:bidi="ar-SA"/>
        </w:rPr>
        <w:t>十、</w:t>
      </w:r>
      <w:r>
        <w:rPr>
          <w:rFonts w:hint="eastAsia" w:ascii="宋体" w:hAnsi="宋体" w:eastAsia="宋体" w:cs="宋体"/>
          <w:b w:val="0"/>
          <w:bCs w:val="0"/>
          <w:kern w:val="2"/>
          <w:sz w:val="24"/>
          <w:szCs w:val="20"/>
          <w:lang w:val="en-US" w:eastAsia="zh-CN" w:bidi="ar-SA"/>
        </w:rPr>
        <w:t>拟投入本项目的配送场所面积</w:t>
      </w:r>
    </w:p>
    <w:p w14:paraId="707FB649">
      <w:pPr>
        <w:pStyle w:val="18"/>
        <w:jc w:val="center"/>
        <w:rPr>
          <w:rFonts w:hint="eastAsia"/>
          <w:lang w:val="en-US" w:eastAsia="zh-CN"/>
        </w:rPr>
      </w:pPr>
      <w:r>
        <w:rPr>
          <w:rFonts w:hint="eastAsia"/>
          <w:color w:val="FF0000"/>
          <w:lang w:val="en-US" w:eastAsia="zh-CN"/>
        </w:rPr>
        <w:t>（格式自拟）</w:t>
      </w:r>
    </w:p>
    <w:p w14:paraId="61A2C76B">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bCs w:val="0"/>
          <w:kern w:val="2"/>
          <w:sz w:val="24"/>
          <w:szCs w:val="20"/>
          <w:lang w:val="en-US" w:eastAsia="zh-CN" w:bidi="ar-SA"/>
        </w:rPr>
      </w:pPr>
      <w:r>
        <w:rPr>
          <w:rFonts w:hint="eastAsia" w:ascii="宋体" w:hAnsi="宋体" w:cs="宋体"/>
          <w:b w:val="0"/>
          <w:bCs w:val="0"/>
          <w:kern w:val="2"/>
          <w:sz w:val="24"/>
          <w:szCs w:val="20"/>
          <w:lang w:val="en-US" w:eastAsia="zh-CN" w:bidi="ar-SA"/>
        </w:rPr>
        <w:t>十一、</w:t>
      </w:r>
      <w:r>
        <w:rPr>
          <w:rFonts w:hint="eastAsia" w:ascii="宋体" w:hAnsi="宋体" w:eastAsia="宋体" w:cs="宋体"/>
          <w:b w:val="0"/>
          <w:bCs w:val="0"/>
          <w:kern w:val="2"/>
          <w:sz w:val="24"/>
          <w:szCs w:val="20"/>
          <w:lang w:val="en-US" w:eastAsia="zh-CN" w:bidi="ar-SA"/>
        </w:rPr>
        <w:t>拟投入本项目的车辆</w:t>
      </w:r>
    </w:p>
    <w:p w14:paraId="2B9A7458">
      <w:pPr>
        <w:pStyle w:val="18"/>
        <w:jc w:val="center"/>
        <w:rPr>
          <w:rFonts w:hint="eastAsia"/>
          <w:lang w:val="en-US" w:eastAsia="zh-CN"/>
        </w:rPr>
      </w:pPr>
      <w:r>
        <w:rPr>
          <w:rFonts w:hint="eastAsia"/>
          <w:color w:val="FF0000"/>
          <w:lang w:val="en-US" w:eastAsia="zh-CN"/>
        </w:rPr>
        <w:t>（格式自拟）</w:t>
      </w:r>
    </w:p>
    <w:p w14:paraId="720989C6">
      <w:pPr>
        <w:pageBreakBefore w:val="0"/>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b w:val="0"/>
          <w:bCs w:val="0"/>
          <w:kern w:val="2"/>
          <w:sz w:val="24"/>
          <w:szCs w:val="20"/>
          <w:lang w:val="en-US" w:eastAsia="zh-CN" w:bidi="ar-SA"/>
        </w:rPr>
      </w:pPr>
      <w:r>
        <w:rPr>
          <w:rFonts w:hint="eastAsia" w:ascii="宋体" w:hAnsi="宋体" w:cs="宋体"/>
          <w:b w:val="0"/>
          <w:bCs w:val="0"/>
          <w:kern w:val="2"/>
          <w:sz w:val="24"/>
          <w:szCs w:val="20"/>
          <w:lang w:val="en-US" w:eastAsia="zh-CN" w:bidi="ar-SA"/>
        </w:rPr>
        <w:t>十二、</w:t>
      </w:r>
      <w:r>
        <w:rPr>
          <w:rFonts w:hint="eastAsia" w:ascii="宋体" w:hAnsi="宋体" w:eastAsia="宋体" w:cs="宋体"/>
          <w:b w:val="0"/>
          <w:bCs w:val="0"/>
          <w:kern w:val="2"/>
          <w:sz w:val="24"/>
          <w:szCs w:val="20"/>
          <w:lang w:val="en-US" w:eastAsia="zh-CN" w:bidi="ar-SA"/>
        </w:rPr>
        <w:t>拟投入食品安全检测设备情况</w:t>
      </w:r>
    </w:p>
    <w:p w14:paraId="6BAB16B3">
      <w:pPr>
        <w:pStyle w:val="18"/>
        <w:jc w:val="center"/>
        <w:rPr>
          <w:rFonts w:hint="eastAsia"/>
          <w:lang w:val="en-US" w:eastAsia="zh-CN"/>
        </w:rPr>
      </w:pPr>
      <w:r>
        <w:rPr>
          <w:rFonts w:hint="eastAsia"/>
          <w:color w:val="FF0000"/>
          <w:lang w:val="en-US" w:eastAsia="zh-CN"/>
        </w:rPr>
        <w:t>（格式自拟）</w:t>
      </w:r>
    </w:p>
    <w:p w14:paraId="106E9C85">
      <w:pPr>
        <w:pStyle w:val="4"/>
        <w:pageBreakBefore w:val="0"/>
        <w:kinsoku/>
        <w:overflowPunct/>
        <w:topLinePunct w:val="0"/>
        <w:bidi w:val="0"/>
        <w:spacing w:before="0" w:beforeAutospacing="0" w:after="0" w:afterAutospacing="0" w:line="360" w:lineRule="auto"/>
        <w:ind w:left="0" w:leftChars="0" w:right="0" w:firstLine="0" w:firstLineChars="0"/>
        <w:jc w:val="center"/>
        <w:rPr>
          <w:rFonts w:hint="eastAsia" w:ascii="宋体" w:hAnsi="宋体" w:eastAsia="宋体" w:cs="宋体"/>
          <w:b w:val="0"/>
          <w:bCs w:val="0"/>
          <w:kern w:val="2"/>
          <w:sz w:val="24"/>
          <w:szCs w:val="20"/>
          <w:lang w:val="en-US" w:eastAsia="zh-CN" w:bidi="ar-SA"/>
        </w:rPr>
      </w:pPr>
      <w:r>
        <w:rPr>
          <w:rFonts w:hint="eastAsia" w:ascii="宋体" w:hAnsi="宋体" w:cs="宋体"/>
          <w:b w:val="0"/>
          <w:bCs w:val="0"/>
          <w:kern w:val="2"/>
          <w:sz w:val="24"/>
          <w:szCs w:val="20"/>
          <w:lang w:val="en-US" w:eastAsia="zh-CN" w:bidi="ar-SA"/>
        </w:rPr>
        <w:t>十三、</w:t>
      </w:r>
      <w:bookmarkStart w:id="37" w:name="_Hlk72062872"/>
      <w:r>
        <w:rPr>
          <w:rFonts w:hint="eastAsia" w:ascii="宋体" w:hAnsi="宋体" w:eastAsia="宋体" w:cs="宋体"/>
          <w:b w:val="0"/>
          <w:bCs w:val="0"/>
          <w:kern w:val="2"/>
          <w:sz w:val="24"/>
          <w:szCs w:val="20"/>
          <w:lang w:val="en-US" w:eastAsia="zh-CN" w:bidi="ar-SA"/>
        </w:rPr>
        <w:t>投标人认为需要加以说明的其他内容</w:t>
      </w:r>
      <w:bookmarkEnd w:id="37"/>
    </w:p>
    <w:p w14:paraId="653D62FA">
      <w:pPr>
        <w:pageBreakBefore w:val="0"/>
        <w:widowControl/>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kern w:val="0"/>
          <w:sz w:val="24"/>
          <w:szCs w:val="20"/>
        </w:rPr>
      </w:pPr>
      <w:r>
        <w:rPr>
          <w:rFonts w:hint="eastAsia" w:ascii="宋体" w:hAnsi="宋体" w:eastAsia="宋体" w:cs="宋体"/>
          <w:kern w:val="0"/>
          <w:sz w:val="24"/>
          <w:szCs w:val="20"/>
        </w:rPr>
        <w:t>（一</w:t>
      </w:r>
      <w:r>
        <w:rPr>
          <w:rFonts w:hint="eastAsia" w:ascii="宋体" w:hAnsi="宋体" w:eastAsia="宋体" w:cs="宋体"/>
          <w:kern w:val="0"/>
          <w:sz w:val="24"/>
          <w:szCs w:val="20"/>
          <w:highlight w:val="none"/>
        </w:rPr>
        <w:t>）政府采购违法行为风险知悉确认书</w:t>
      </w:r>
    </w:p>
    <w:p w14:paraId="363360A4">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本公司在投标前已充分知悉以下情形为参与政府采购活动时的重大风险事项，并承诺已对下述风险提示事项重点排查，做到严谨、诚信、依法依规参与政府采购活动。</w:t>
      </w:r>
    </w:p>
    <w:p w14:paraId="7F279A97">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rPr>
      </w:pPr>
      <w:r>
        <w:rPr>
          <w:rFonts w:hint="eastAsia" w:ascii="宋体" w:hAnsi="宋体" w:eastAsia="宋体" w:cs="宋体"/>
          <w:b/>
        </w:rPr>
        <w:t>一、本公司已充分知悉“隐瞒真实情况，提供虚假资料”的法定情形，相关情形包括但不限于：</w:t>
      </w:r>
    </w:p>
    <w:p w14:paraId="020A35B1">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（一）通过转让或者租借等方式从其他单位获取资格或者资质证书投标的。</w:t>
      </w:r>
    </w:p>
    <w:p w14:paraId="535FC749">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（二）由其他单位或者其他单位负责人在投标供应商编制的投标文件上加盖印章或者签字的。</w:t>
      </w:r>
    </w:p>
    <w:p w14:paraId="0D07C66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（三）项目负责人或者主要技术人员不是本单位人员的。</w:t>
      </w:r>
    </w:p>
    <w:p w14:paraId="6E3B05B4">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（四）投标保证金不是从投标供应商基本账户转出的。</w:t>
      </w:r>
    </w:p>
    <w:p w14:paraId="05590F6E">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（五）其他隐瞒真实情况、提供虚假资料的行为。</w:t>
      </w:r>
    </w:p>
    <w:p w14:paraId="20A56704">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rPr>
      </w:pPr>
      <w:r>
        <w:rPr>
          <w:rFonts w:hint="eastAsia" w:ascii="宋体" w:hAnsi="宋体" w:eastAsia="宋体" w:cs="宋体"/>
          <w:b/>
        </w:rPr>
        <w:t>二、本公司已充分知悉“与其他采购参加人串通投标”的法定情形，相关情形包括但不限于：</w:t>
      </w:r>
    </w:p>
    <w:p w14:paraId="59D6CD59">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（一）投标供应商之间相互约定给予未中标的供应商利益补偿。</w:t>
      </w:r>
    </w:p>
    <w:p w14:paraId="317C2DA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（二）不同投标供应商的法定代表人、主要经营负责人、项目投标授权代表人、项目负责人、主要技术人员为同一人、属同一单位或者在同一单位缴纳社会保险。</w:t>
      </w:r>
    </w:p>
    <w:p w14:paraId="16A93B04">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（三）不同投标供应商的投标文件由同一单位或者同一人编制，或者由同一人分阶段参与编制的。</w:t>
      </w:r>
    </w:p>
    <w:p w14:paraId="75004446">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（四）不同投标供应商的投标文件或部分投标文件相互混装。</w:t>
      </w:r>
    </w:p>
    <w:p w14:paraId="00910797">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（五）不同投标供应商的投标文件内容存在非正常一致。</w:t>
      </w:r>
    </w:p>
    <w:p w14:paraId="19F7FC3D">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（六）由同一单位工作人员为两家以上（含两家）供应商进行同一项投标活动的。</w:t>
      </w:r>
    </w:p>
    <w:p w14:paraId="73E9875F">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（七）不同投标人的投标报价呈规律性差异。</w:t>
      </w:r>
    </w:p>
    <w:p w14:paraId="4FD0A44A">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（八）不同投标人的投标保证金从同一单位或者个人的账户转出。</w:t>
      </w:r>
    </w:p>
    <w:p w14:paraId="0A91F216">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（九）主管部门依照法律、法规认定的其他情形。</w:t>
      </w:r>
    </w:p>
    <w:p w14:paraId="43B459C5">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rPr>
      </w:pPr>
      <w:r>
        <w:rPr>
          <w:rFonts w:hint="eastAsia" w:ascii="宋体" w:hAnsi="宋体" w:eastAsia="宋体" w:cs="宋体"/>
          <w:b/>
        </w:rPr>
        <w:t>三、本公司已充分知悉下列情形所对应的法律风险，并在投标前已对相关风险事项进行排查。</w:t>
      </w:r>
    </w:p>
    <w:p w14:paraId="2B8E5095">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rPr>
      </w:pPr>
      <w:r>
        <w:rPr>
          <w:rFonts w:hint="eastAsia" w:ascii="宋体" w:hAnsi="宋体" w:eastAsia="宋体" w:cs="宋体"/>
        </w:rPr>
        <w:t>（一）对于从其他主体获取的投标资料，供应商应审慎核查，确保投标资料的真实性。</w:t>
      </w:r>
      <w:r>
        <w:rPr>
          <w:rFonts w:hint="eastAsia" w:ascii="宋体" w:hAnsi="宋体" w:eastAsia="宋体" w:cs="宋体"/>
          <w:b/>
        </w:rPr>
        <w:t>如主管部门查实投标文件中存在虚假资料的，无论相关资料是否由第三方或本公司员工提供，均不影响主管部门对供应商存在“隐瞒真实情况，提供虚假资料”违法行为的认定。</w:t>
      </w:r>
    </w:p>
    <w:p w14:paraId="677FE60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（二）对于涉及国家机关出具的公文、证件、证明材料等文件，一旦涉嫌虚假，经查实，主管部门将依法从严处理，并移送有关部门追究法律责任；涉嫌犯罪的，主管部门将一并移送司法机关追究法律责任。</w:t>
      </w:r>
    </w:p>
    <w:p w14:paraId="3642F851">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（三）对于涉及安全生产、特种作业、抢险救灾、防疫等政府采购项目，供应商实施提供虚假资料、串通投标等违法行为的，主管部门将依法从严处理。</w:t>
      </w:r>
    </w:p>
    <w:p w14:paraId="38AC34D2">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四）供应商应严格规范项目授权代表、员工参与招标投标的行为，加强对投标文件的审核。项目授权代表、员工编制、上传投标文件等行为违反政府采购法律法规或招标文件要求的，投标供应商应当依法承担相应法律责任。</w:t>
      </w:r>
    </w:p>
    <w:p w14:paraId="1C1CD7F8">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五）供应商对投标电子密钥负有妥善保管、及时变更和续期等主体责任。供应商使用电子密钥在深圳政府采购网站进行的活动，均具有法律效力，须承担相应的法律后果。供应商擅自将投标密钥出借他人使用所造成的法律后果，由供应商自行承担。</w:t>
      </w:r>
    </w:p>
    <w:p w14:paraId="304547DC">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（六）单位负责人为同一人或者存在直接控股、管理关系的不同供应商，不得参加同一合同项下的政府采购活动。相关情形如查实，依法作投标无效处理；涉嫌串通投标等违法行为的，主管部门将依法调查处理。</w:t>
      </w:r>
    </w:p>
    <w:p w14:paraId="0F3DEABB">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b/>
        </w:rPr>
      </w:pPr>
      <w:r>
        <w:rPr>
          <w:rFonts w:hint="eastAsia" w:ascii="宋体" w:hAnsi="宋体" w:eastAsia="宋体" w:cs="宋体"/>
          <w:b/>
        </w:rPr>
        <w:t>四、本公司已充分知悉政府采购违法、违规行为的法律后果。</w:t>
      </w:r>
    </w:p>
    <w:p w14:paraId="75B70406">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rPr>
      </w:pPr>
      <w:r>
        <w:rPr>
          <w:rFonts w:hint="eastAsia" w:ascii="宋体" w:hAnsi="宋体" w:eastAsia="宋体" w:cs="宋体"/>
        </w:rPr>
        <w:t>经查实，若投标供应商存在政府采购违法、违规行为，主管部门将依据《深圳经济特区政府采购条例》第五十七条的规定，处以一至三年内禁止参与本市政府采购，并由主管部门记入供应商诚信档案，处采购金额千分之十以上千分之二十以下罚款；情节严重的，取消参与本市政府采购资格，处采购金额千分之二十以上千分之三十以下罚款，并由市场监管部门依法吊销营业执照。</w:t>
      </w:r>
    </w:p>
    <w:p w14:paraId="187B1AC2">
      <w:pPr>
        <w:pageBreakBefore w:val="0"/>
        <w:kinsoku/>
        <w:overflowPunct/>
        <w:topLinePunct w:val="0"/>
        <w:bidi w:val="0"/>
        <w:spacing w:beforeAutospacing="0" w:afterAutospacing="0" w:line="360" w:lineRule="auto"/>
        <w:ind w:left="0" w:leftChars="0" w:right="0" w:firstLine="0" w:firstLineChars="0"/>
        <w:rPr>
          <w:rFonts w:hint="eastAsia" w:ascii="宋体" w:hAnsi="宋体" w:eastAsia="宋体" w:cs="宋体"/>
          <w:highlight w:val="none"/>
        </w:rPr>
      </w:pPr>
      <w:r>
        <w:rPr>
          <w:rFonts w:hint="eastAsia" w:ascii="宋体" w:hAnsi="宋体" w:eastAsia="宋体" w:cs="宋体"/>
          <w:highlight w:val="none"/>
        </w:rPr>
        <w:t>以下文字请投标供应商抄写并确认：“本公司已仔细阅读《政府采购违法行为风险知悉确认书》，充分知悉违法行为的法律后果，并承诺将严谨、诚信、依法依规参与政府采购活动”。</w:t>
      </w:r>
    </w:p>
    <w:tbl>
      <w:tblPr>
        <w:tblStyle w:val="489"/>
        <w:tblW w:w="8529" w:type="dxa"/>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29"/>
      </w:tblGrid>
      <w:tr w14:paraId="62FA717C">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8529" w:type="dxa"/>
            <w:tcBorders>
              <w:top w:val="nil"/>
              <w:left w:val="nil"/>
              <w:bottom w:val="single" w:color="000000" w:sz="8" w:space="0"/>
              <w:right w:val="nil"/>
            </w:tcBorders>
          </w:tcPr>
          <w:p w14:paraId="302BF7A0">
            <w:pPr>
              <w:pageBreakBefore w:val="0"/>
              <w:kinsoku/>
              <w:overflowPunct/>
              <w:topLinePunct w:val="0"/>
              <w:autoSpaceDE w:val="0"/>
              <w:autoSpaceDN w:val="0"/>
              <w:bidi w:val="0"/>
              <w:spacing w:beforeAutospacing="0" w:afterAutospacing="0" w:line="360" w:lineRule="auto"/>
              <w:ind w:left="0" w:leftChars="0" w:right="0" w:firstLine="0" w:firstLineChars="0"/>
              <w:rPr>
                <w:rFonts w:hint="eastAsia" w:ascii="宋体" w:hAnsi="宋体" w:eastAsia="宋体" w:cs="宋体"/>
                <w:spacing w:val="-4"/>
                <w:kern w:val="0"/>
                <w:szCs w:val="21"/>
              </w:rPr>
            </w:pPr>
          </w:p>
        </w:tc>
      </w:tr>
      <w:tr w14:paraId="50ABB2A6">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PrEx>
        <w:tc>
          <w:tcPr>
            <w:tcW w:w="8529" w:type="dxa"/>
            <w:tcBorders>
              <w:top w:val="single" w:color="000000" w:sz="8" w:space="0"/>
              <w:left w:val="nil"/>
              <w:bottom w:val="single" w:color="000000" w:sz="8" w:space="0"/>
              <w:right w:val="nil"/>
            </w:tcBorders>
          </w:tcPr>
          <w:p w14:paraId="0F1DA5A8">
            <w:pPr>
              <w:pageBreakBefore w:val="0"/>
              <w:kinsoku/>
              <w:overflowPunct/>
              <w:topLinePunct w:val="0"/>
              <w:autoSpaceDE w:val="0"/>
              <w:autoSpaceDN w:val="0"/>
              <w:bidi w:val="0"/>
              <w:spacing w:beforeAutospacing="0" w:afterAutospacing="0" w:line="360" w:lineRule="auto"/>
              <w:ind w:left="0" w:leftChars="0" w:right="0" w:firstLine="0" w:firstLineChars="0"/>
              <w:rPr>
                <w:rFonts w:hint="eastAsia" w:ascii="宋体" w:hAnsi="宋体" w:eastAsia="宋体" w:cs="宋体"/>
                <w:spacing w:val="-4"/>
                <w:kern w:val="0"/>
                <w:szCs w:val="21"/>
              </w:rPr>
            </w:pPr>
          </w:p>
        </w:tc>
      </w:tr>
      <w:tr w14:paraId="7A159BFF">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PrEx>
        <w:tc>
          <w:tcPr>
            <w:tcW w:w="8529" w:type="dxa"/>
            <w:tcBorders>
              <w:top w:val="single" w:color="000000" w:sz="8" w:space="0"/>
              <w:left w:val="nil"/>
              <w:bottom w:val="single" w:color="000000" w:sz="8" w:space="0"/>
              <w:right w:val="nil"/>
            </w:tcBorders>
          </w:tcPr>
          <w:p w14:paraId="3E872B13">
            <w:pPr>
              <w:pageBreakBefore w:val="0"/>
              <w:kinsoku/>
              <w:overflowPunct/>
              <w:topLinePunct w:val="0"/>
              <w:autoSpaceDE w:val="0"/>
              <w:autoSpaceDN w:val="0"/>
              <w:bidi w:val="0"/>
              <w:spacing w:beforeAutospacing="0" w:afterAutospacing="0" w:line="360" w:lineRule="auto"/>
              <w:ind w:left="0" w:leftChars="0" w:right="0" w:firstLine="0" w:firstLineChars="0"/>
              <w:rPr>
                <w:rFonts w:hint="eastAsia" w:ascii="宋体" w:hAnsi="宋体" w:eastAsia="宋体" w:cs="宋体"/>
                <w:spacing w:val="-4"/>
                <w:kern w:val="0"/>
                <w:szCs w:val="21"/>
              </w:rPr>
            </w:pPr>
          </w:p>
        </w:tc>
      </w:tr>
      <w:tr w14:paraId="09F148BE">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PrEx>
        <w:tc>
          <w:tcPr>
            <w:tcW w:w="8529" w:type="dxa"/>
            <w:tcBorders>
              <w:top w:val="single" w:color="000000" w:sz="8" w:space="0"/>
              <w:left w:val="nil"/>
              <w:bottom w:val="single" w:color="auto" w:sz="8" w:space="0"/>
              <w:right w:val="nil"/>
            </w:tcBorders>
          </w:tcPr>
          <w:p w14:paraId="19BA3A88">
            <w:pPr>
              <w:pageBreakBefore w:val="0"/>
              <w:kinsoku/>
              <w:overflowPunct/>
              <w:topLinePunct w:val="0"/>
              <w:autoSpaceDE w:val="0"/>
              <w:autoSpaceDN w:val="0"/>
              <w:bidi w:val="0"/>
              <w:spacing w:beforeAutospacing="0" w:afterAutospacing="0" w:line="360" w:lineRule="auto"/>
              <w:ind w:left="0" w:leftChars="0" w:right="0" w:firstLine="0" w:firstLineChars="0"/>
              <w:rPr>
                <w:rFonts w:hint="eastAsia" w:ascii="宋体" w:hAnsi="宋体" w:eastAsia="宋体" w:cs="宋体"/>
                <w:spacing w:val="-4"/>
                <w:kern w:val="0"/>
                <w:szCs w:val="21"/>
              </w:rPr>
            </w:pPr>
          </w:p>
        </w:tc>
      </w:tr>
    </w:tbl>
    <w:p w14:paraId="10F58515">
      <w:pPr>
        <w:pageBreakBefore w:val="0"/>
        <w:widowControl/>
        <w:kinsoku/>
        <w:wordWrap w:val="0"/>
        <w:overflowPunct/>
        <w:topLinePunct w:val="0"/>
        <w:autoSpaceDE w:val="0"/>
        <w:autoSpaceDN w:val="0"/>
        <w:bidi w:val="0"/>
        <w:spacing w:beforeAutospacing="0" w:afterAutospacing="0" w:line="360" w:lineRule="auto"/>
        <w:ind w:left="0" w:leftChars="0" w:right="0" w:firstLine="0" w:firstLineChars="0"/>
        <w:jc w:val="right"/>
        <w:rPr>
          <w:rFonts w:hint="eastAsia" w:ascii="宋体" w:hAnsi="宋体" w:eastAsia="宋体" w:cs="宋体"/>
          <w:spacing w:val="-4"/>
          <w:kern w:val="0"/>
          <w:szCs w:val="21"/>
          <w:u w:val="single"/>
        </w:rPr>
      </w:pPr>
      <w:r>
        <w:rPr>
          <w:rFonts w:hint="eastAsia" w:ascii="宋体" w:hAnsi="宋体" w:eastAsia="宋体" w:cs="宋体"/>
          <w:spacing w:val="-4"/>
          <w:kern w:val="0"/>
          <w:szCs w:val="21"/>
        </w:rPr>
        <w:t>负责人/投标授权代表签名：</w:t>
      </w:r>
      <w:r>
        <w:rPr>
          <w:rFonts w:hint="eastAsia" w:ascii="宋体" w:hAnsi="宋体" w:eastAsia="宋体" w:cs="宋体"/>
          <w:spacing w:val="-4"/>
          <w:kern w:val="0"/>
          <w:szCs w:val="21"/>
          <w:u w:val="single"/>
        </w:rPr>
        <w:t xml:space="preserve">              </w:t>
      </w:r>
    </w:p>
    <w:p w14:paraId="034206E3">
      <w:pPr>
        <w:pageBreakBefore w:val="0"/>
        <w:widowControl/>
        <w:kinsoku/>
        <w:wordWrap w:val="0"/>
        <w:overflowPunct/>
        <w:topLinePunct w:val="0"/>
        <w:autoSpaceDE w:val="0"/>
        <w:autoSpaceDN w:val="0"/>
        <w:bidi w:val="0"/>
        <w:spacing w:beforeAutospacing="0" w:afterAutospacing="0" w:line="360" w:lineRule="auto"/>
        <w:ind w:left="0" w:leftChars="0" w:right="0" w:firstLine="0" w:firstLineChars="0"/>
        <w:jc w:val="right"/>
        <w:rPr>
          <w:rFonts w:hint="eastAsia" w:ascii="宋体" w:hAnsi="宋体" w:eastAsia="宋体" w:cs="宋体"/>
          <w:spacing w:val="-4"/>
          <w:kern w:val="0"/>
          <w:szCs w:val="21"/>
          <w:u w:val="single"/>
        </w:rPr>
      </w:pPr>
      <w:r>
        <w:rPr>
          <w:rFonts w:hint="eastAsia" w:ascii="宋体" w:hAnsi="宋体" w:eastAsia="宋体" w:cs="宋体"/>
          <w:spacing w:val="-4"/>
          <w:kern w:val="0"/>
          <w:szCs w:val="21"/>
        </w:rPr>
        <w:t>知悉人（公章）：</w:t>
      </w:r>
      <w:r>
        <w:rPr>
          <w:rFonts w:hint="eastAsia" w:ascii="宋体" w:hAnsi="宋体" w:eastAsia="宋体" w:cs="宋体"/>
          <w:spacing w:val="-4"/>
          <w:kern w:val="0"/>
          <w:szCs w:val="21"/>
          <w:u w:val="single"/>
        </w:rPr>
        <w:t xml:space="preserve">              </w:t>
      </w:r>
    </w:p>
    <w:p w14:paraId="768AC0DC">
      <w:pPr>
        <w:pageBreakBefore w:val="0"/>
        <w:widowControl/>
        <w:kinsoku/>
        <w:wordWrap w:val="0"/>
        <w:overflowPunct/>
        <w:topLinePunct w:val="0"/>
        <w:autoSpaceDE w:val="0"/>
        <w:autoSpaceDN w:val="0"/>
        <w:bidi w:val="0"/>
        <w:spacing w:beforeAutospacing="0" w:afterAutospacing="0" w:line="360" w:lineRule="auto"/>
        <w:ind w:left="0" w:leftChars="0" w:right="0" w:firstLine="0" w:firstLineChars="0"/>
        <w:jc w:val="right"/>
        <w:rPr>
          <w:rFonts w:hint="eastAsia" w:ascii="宋体" w:hAnsi="宋体" w:eastAsia="宋体" w:cs="宋体"/>
          <w:spacing w:val="-4"/>
          <w:kern w:val="0"/>
          <w:szCs w:val="21"/>
          <w:u w:val="single"/>
        </w:rPr>
      </w:pPr>
      <w:r>
        <w:rPr>
          <w:rFonts w:hint="eastAsia" w:ascii="宋体" w:hAnsi="宋体" w:eastAsia="宋体" w:cs="宋体"/>
          <w:spacing w:val="-4"/>
          <w:kern w:val="0"/>
          <w:szCs w:val="21"/>
        </w:rPr>
        <w:t xml:space="preserve">     日期：</w:t>
      </w:r>
      <w:r>
        <w:rPr>
          <w:rFonts w:hint="eastAsia" w:ascii="宋体" w:hAnsi="宋体" w:eastAsia="宋体" w:cs="宋体"/>
          <w:spacing w:val="-4"/>
          <w:kern w:val="0"/>
          <w:szCs w:val="21"/>
          <w:u w:val="single"/>
        </w:rPr>
        <w:t xml:space="preserve">              </w:t>
      </w:r>
    </w:p>
    <w:p w14:paraId="77BAD181">
      <w:pPr>
        <w:pageBreakBefore w:val="0"/>
        <w:widowControl/>
        <w:kinsoku/>
        <w:wordWrap w:val="0"/>
        <w:overflowPunct/>
        <w:topLinePunct w:val="0"/>
        <w:autoSpaceDE w:val="0"/>
        <w:autoSpaceDN w:val="0"/>
        <w:bidi w:val="0"/>
        <w:spacing w:beforeAutospacing="0" w:afterAutospacing="0" w:line="360" w:lineRule="auto"/>
        <w:ind w:left="0" w:leftChars="0" w:right="0" w:firstLine="0" w:firstLineChars="0"/>
        <w:jc w:val="right"/>
        <w:rPr>
          <w:rFonts w:hint="eastAsia" w:ascii="宋体" w:hAnsi="宋体" w:eastAsia="宋体" w:cs="宋体"/>
          <w:spacing w:val="-4"/>
          <w:kern w:val="0"/>
          <w:szCs w:val="21"/>
        </w:rPr>
      </w:pPr>
      <w:r>
        <w:rPr>
          <w:rFonts w:hint="eastAsia" w:ascii="宋体" w:hAnsi="宋体" w:eastAsia="宋体" w:cs="宋体"/>
          <w:spacing w:val="-4"/>
          <w:kern w:val="0"/>
          <w:szCs w:val="21"/>
        </w:rPr>
        <w:t xml:space="preserve">     </w:t>
      </w:r>
    </w:p>
    <w:p w14:paraId="1B8E6980">
      <w:pPr>
        <w:pageBreakBefore w:val="0"/>
        <w:widowControl/>
        <w:kinsoku/>
        <w:overflowPunct/>
        <w:topLinePunct w:val="0"/>
        <w:autoSpaceDE w:val="0"/>
        <w:autoSpaceDN w:val="0"/>
        <w:bidi w:val="0"/>
        <w:spacing w:beforeAutospacing="0" w:afterAutospacing="0" w:line="360" w:lineRule="auto"/>
        <w:ind w:left="0" w:leftChars="0" w:right="0" w:firstLine="0" w:firstLineChars="0"/>
        <w:jc w:val="left"/>
        <w:rPr>
          <w:rFonts w:hint="eastAsia" w:ascii="宋体" w:hAnsi="宋体" w:eastAsia="宋体" w:cs="宋体"/>
          <w:b/>
          <w:bCs/>
          <w:color w:val="FF0000"/>
          <w:spacing w:val="-4"/>
          <w:kern w:val="0"/>
          <w:szCs w:val="21"/>
        </w:rPr>
      </w:pPr>
      <w:r>
        <w:rPr>
          <w:rFonts w:hint="eastAsia" w:ascii="宋体" w:hAnsi="宋体" w:eastAsia="宋体" w:cs="宋体"/>
          <w:b/>
          <w:bCs/>
          <w:color w:val="FF0000"/>
          <w:spacing w:val="-4"/>
          <w:kern w:val="0"/>
          <w:szCs w:val="21"/>
        </w:rPr>
        <w:t>注：</w:t>
      </w:r>
    </w:p>
    <w:p w14:paraId="75B69BC4">
      <w:pPr>
        <w:pageBreakBefore w:val="0"/>
        <w:widowControl/>
        <w:kinsoku/>
        <w:overflowPunct/>
        <w:topLinePunct w:val="0"/>
        <w:autoSpaceDE w:val="0"/>
        <w:autoSpaceDN w:val="0"/>
        <w:bidi w:val="0"/>
        <w:spacing w:beforeAutospacing="0" w:afterAutospacing="0" w:line="360" w:lineRule="auto"/>
        <w:ind w:left="0" w:leftChars="0" w:right="0" w:firstLine="0" w:firstLineChars="0"/>
        <w:jc w:val="left"/>
        <w:rPr>
          <w:rFonts w:hint="eastAsia" w:ascii="宋体" w:hAnsi="宋体" w:eastAsia="宋体" w:cs="宋体"/>
          <w:b/>
          <w:bCs/>
          <w:color w:val="FF0000"/>
          <w:spacing w:val="-4"/>
          <w:kern w:val="0"/>
          <w:szCs w:val="21"/>
        </w:rPr>
      </w:pPr>
      <w:r>
        <w:rPr>
          <w:rFonts w:hint="eastAsia" w:ascii="宋体" w:hAnsi="宋体" w:eastAsia="宋体" w:cs="宋体"/>
          <w:b/>
          <w:bCs/>
          <w:color w:val="FF0000"/>
          <w:spacing w:val="-4"/>
          <w:kern w:val="0"/>
          <w:szCs w:val="21"/>
        </w:rPr>
        <w:t>1.</w:t>
      </w:r>
      <w:r>
        <w:rPr>
          <w:rFonts w:hint="eastAsia" w:ascii="宋体" w:hAnsi="宋体" w:eastAsia="宋体" w:cs="宋体"/>
        </w:rPr>
        <w:t xml:space="preserve"> </w:t>
      </w:r>
      <w:r>
        <w:rPr>
          <w:rFonts w:hint="eastAsia" w:ascii="宋体" w:hAnsi="宋体" w:eastAsia="宋体" w:cs="宋体"/>
          <w:b/>
          <w:bCs/>
          <w:color w:val="FF0000"/>
          <w:spacing w:val="-4"/>
          <w:kern w:val="0"/>
          <w:szCs w:val="21"/>
        </w:rPr>
        <w:t>根据《深圳市财政局关于采购文件增加风险告知有关事项的通知》（深财购〔2022〕22 号），该风险知悉确认书用于对供应商违法行为的警示，不作为供应商资格性审查及符合性审查条件。</w:t>
      </w:r>
    </w:p>
    <w:p w14:paraId="2E207E5D">
      <w:pPr>
        <w:pageBreakBefore w:val="0"/>
        <w:widowControl/>
        <w:kinsoku/>
        <w:overflowPunct/>
        <w:topLinePunct w:val="0"/>
        <w:autoSpaceDE w:val="0"/>
        <w:autoSpaceDN w:val="0"/>
        <w:bidi w:val="0"/>
        <w:spacing w:beforeAutospacing="0" w:afterAutospacing="0" w:line="360" w:lineRule="auto"/>
        <w:ind w:left="0" w:leftChars="0" w:right="0" w:firstLine="0" w:firstLineChars="0"/>
        <w:jc w:val="left"/>
        <w:rPr>
          <w:rFonts w:hint="eastAsia" w:ascii="宋体" w:hAnsi="宋体" w:eastAsia="宋体" w:cs="宋体"/>
          <w:color w:val="FF0000"/>
          <w:spacing w:val="-4"/>
          <w:kern w:val="0"/>
          <w:szCs w:val="21"/>
        </w:rPr>
      </w:pPr>
      <w:r>
        <w:rPr>
          <w:rFonts w:hint="eastAsia" w:ascii="宋体" w:hAnsi="宋体" w:eastAsia="宋体" w:cs="宋体"/>
          <w:b/>
          <w:bCs/>
          <w:color w:val="FF0000"/>
          <w:spacing w:val="-4"/>
          <w:kern w:val="0"/>
          <w:szCs w:val="21"/>
        </w:rPr>
        <w:t>2.投标供应商负责人或投标授权代表签字</w:t>
      </w:r>
      <w:r>
        <w:rPr>
          <w:rFonts w:hint="eastAsia" w:ascii="宋体" w:hAnsi="宋体" w:eastAsia="宋体" w:cs="宋体"/>
          <w:b/>
          <w:bCs/>
          <w:color w:val="FF0000"/>
          <w:spacing w:val="-4"/>
          <w:kern w:val="0"/>
          <w:szCs w:val="21"/>
          <w:highlight w:val="yellow"/>
        </w:rPr>
        <w:t>并加盖单位公章</w:t>
      </w:r>
      <w:r>
        <w:rPr>
          <w:rFonts w:hint="eastAsia" w:ascii="宋体" w:hAnsi="宋体" w:eastAsia="宋体" w:cs="宋体"/>
          <w:b/>
          <w:bCs/>
          <w:color w:val="FF0000"/>
          <w:spacing w:val="-4"/>
          <w:kern w:val="0"/>
          <w:szCs w:val="21"/>
        </w:rPr>
        <w:t>后，扫描上传至投标文件一并提交。</w:t>
      </w:r>
    </w:p>
    <w:p w14:paraId="27EFE9D2">
      <w:pPr>
        <w:pageBreakBefore w:val="0"/>
        <w:widowControl/>
        <w:kinsoku/>
        <w:overflowPunct/>
        <w:topLinePunct w:val="0"/>
        <w:bidi w:val="0"/>
        <w:spacing w:beforeAutospacing="0" w:afterAutospacing="0" w:line="360" w:lineRule="auto"/>
        <w:ind w:left="0" w:leftChars="0" w:right="0" w:firstLine="0" w:firstLineChars="0"/>
        <w:jc w:val="center"/>
        <w:rPr>
          <w:rFonts w:hint="eastAsia" w:ascii="宋体" w:hAnsi="宋体" w:eastAsia="宋体" w:cs="宋体"/>
          <w:kern w:val="0"/>
          <w:sz w:val="24"/>
          <w:szCs w:val="20"/>
        </w:rPr>
      </w:pPr>
      <w:r>
        <w:rPr>
          <w:rFonts w:hint="eastAsia" w:ascii="宋体" w:hAnsi="宋体" w:eastAsia="宋体" w:cs="宋体"/>
          <w:kern w:val="0"/>
          <w:sz w:val="24"/>
          <w:szCs w:val="20"/>
        </w:rPr>
        <w:t>（二）投标人认为需要加以说明的其他内容</w:t>
      </w:r>
    </w:p>
    <w:p w14:paraId="52515902">
      <w:pPr>
        <w:pStyle w:val="18"/>
        <w:jc w:val="center"/>
        <w:rPr>
          <w:rFonts w:hint="eastAsia" w:ascii="宋体" w:hAnsi="宋体" w:eastAsia="宋体" w:cs="宋体"/>
          <w:bCs/>
          <w:kern w:val="0"/>
          <w:sz w:val="24"/>
        </w:rPr>
      </w:pPr>
      <w:r>
        <w:rPr>
          <w:rFonts w:hint="eastAsia"/>
          <w:color w:val="FF0000"/>
          <w:lang w:val="en-US" w:eastAsia="zh-CN"/>
        </w:rPr>
        <w:t>（格式自拟）</w:t>
      </w:r>
    </w:p>
    <w:p w14:paraId="64F447AD"/>
    <w:p w14:paraId="04674F6A"/>
    <w:p w14:paraId="663674E6"/>
    <w:p w14:paraId="6B4FD38F">
      <w:pPr>
        <w:adjustRightInd w:val="0"/>
        <w:jc w:val="center"/>
        <w:textAlignment w:val="baseline"/>
        <w:outlineLvl w:val="1"/>
        <w:rPr>
          <w:kern w:val="0"/>
          <w:sz w:val="24"/>
          <w:szCs w:val="20"/>
        </w:rPr>
      </w:pPr>
      <w:r>
        <w:rPr>
          <w:rFonts w:hint="eastAsia"/>
          <w:kern w:val="0"/>
          <w:sz w:val="24"/>
          <w:szCs w:val="20"/>
        </w:rPr>
        <w:br w:type="page"/>
      </w:r>
      <w:r>
        <w:rPr>
          <w:rFonts w:hint="eastAsia"/>
          <w:b/>
          <w:bCs/>
          <w:kern w:val="0"/>
          <w:sz w:val="24"/>
          <w:szCs w:val="20"/>
        </w:rPr>
        <w:t>第四章合同及履约情况反馈格式</w:t>
      </w:r>
    </w:p>
    <w:p w14:paraId="3748FADA">
      <w:pPr>
        <w:keepNext/>
        <w:keepLines/>
        <w:spacing w:before="260" w:after="260"/>
        <w:jc w:val="center"/>
        <w:outlineLvl w:val="2"/>
        <w:rPr>
          <w:sz w:val="24"/>
        </w:rPr>
      </w:pPr>
      <w:r>
        <w:rPr>
          <w:rFonts w:hint="eastAsia" w:ascii="黑体" w:hAnsi="宋体" w:eastAsia="黑体"/>
          <w:bCs/>
          <w:kern w:val="0"/>
          <w:sz w:val="24"/>
        </w:rPr>
        <w:t>一、合同条款及格式（仅供参考）</w:t>
      </w:r>
    </w:p>
    <w:p w14:paraId="442B79EF">
      <w:pPr>
        <w:jc w:val="center"/>
        <w:rPr>
          <w:b/>
          <w:sz w:val="24"/>
        </w:rPr>
      </w:pPr>
      <w:r>
        <w:rPr>
          <w:rFonts w:hint="eastAsia"/>
          <w:b/>
          <w:sz w:val="24"/>
        </w:rPr>
        <w:t>合同条款</w:t>
      </w:r>
    </w:p>
    <w:p w14:paraId="5F2825C0">
      <w:pPr>
        <w:jc w:val="center"/>
      </w:pPr>
      <w:r>
        <w:rPr>
          <w:rFonts w:hint="eastAsia"/>
          <w:b/>
          <w:sz w:val="24"/>
        </w:rPr>
        <w:t>（仅供参考，项目具体要求以招标项目需求为准）</w:t>
      </w:r>
    </w:p>
    <w:p w14:paraId="2EE2A85B">
      <w:pPr>
        <w:pageBreakBefore w:val="0"/>
        <w:kinsoku/>
        <w:overflowPunct/>
        <w:topLinePunct w:val="0"/>
        <w:bidi w:val="0"/>
        <w:spacing w:line="360" w:lineRule="auto"/>
        <w:ind w:firstLine="0" w:firstLineChars="0"/>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深圳市公安局龙华分局20XX-20XX年</w:t>
      </w:r>
    </w:p>
    <w:p w14:paraId="7641B024">
      <w:pPr>
        <w:pageBreakBefore w:val="0"/>
        <w:kinsoku/>
        <w:overflowPunct/>
        <w:topLinePunct w:val="0"/>
        <w:bidi w:val="0"/>
        <w:spacing w:line="360" w:lineRule="auto"/>
        <w:ind w:firstLine="0" w:firstLineChars="0"/>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食堂物资配送服务合同</w:t>
      </w:r>
    </w:p>
    <w:p w14:paraId="118E47ED">
      <w:pPr>
        <w:pageBreakBefore w:val="0"/>
        <w:kinsoku/>
        <w:overflowPunct/>
        <w:topLinePunct w:val="0"/>
        <w:bidi w:val="0"/>
        <w:spacing w:line="360" w:lineRule="auto"/>
        <w:ind w:firstLine="0" w:firstLineChars="0"/>
        <w:rPr>
          <w:rFonts w:hint="eastAsia" w:ascii="仿宋_GB2312" w:hAnsi="仿宋_GB2312" w:eastAsia="仿宋_GB2312" w:cs="仿宋_GB2312"/>
          <w:sz w:val="32"/>
          <w:szCs w:val="32"/>
        </w:rPr>
      </w:pPr>
    </w:p>
    <w:p w14:paraId="44FEF45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甲方：（采购方）：深圳市公安局龙华分局</w:t>
      </w:r>
    </w:p>
    <w:p w14:paraId="50473F7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地址：</w:t>
      </w:r>
    </w:p>
    <w:p w14:paraId="6971DBF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乙方：（配送方）： </w:t>
      </w:r>
    </w:p>
    <w:p w14:paraId="48FB4EB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地址：</w:t>
      </w:r>
    </w:p>
    <w:p w14:paraId="6D9207D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根据深圳市公安局龙华分局委托</w:t>
      </w:r>
      <w:r>
        <w:rPr>
          <w:rFonts w:hint="eastAsia" w:ascii="宋体" w:hAnsi="宋体" w:cs="宋体"/>
          <w:sz w:val="21"/>
          <w:szCs w:val="21"/>
          <w:lang w:eastAsia="zh-CN"/>
        </w:rPr>
        <w:t xml:space="preserve">                                   </w:t>
      </w:r>
      <w:r>
        <w:rPr>
          <w:rFonts w:hint="eastAsia" w:ascii="宋体" w:hAnsi="宋体" w:eastAsia="宋体" w:cs="宋体"/>
          <w:sz w:val="21"/>
          <w:szCs w:val="21"/>
        </w:rPr>
        <w:t>开展的“</w:t>
      </w:r>
      <w:r>
        <w:rPr>
          <w:rFonts w:hint="eastAsia" w:ascii="宋体" w:hAnsi="宋体" w:cs="宋体"/>
          <w:sz w:val="21"/>
          <w:szCs w:val="21"/>
          <w:lang w:eastAsia="zh-CN"/>
        </w:rPr>
        <w:t>深圳市公安局龙华分局民治等5个派出所食堂物资配送</w:t>
      </w:r>
      <w:r>
        <w:rPr>
          <w:rFonts w:hint="eastAsia" w:ascii="宋体" w:hAnsi="宋体" w:eastAsia="宋体" w:cs="宋体"/>
          <w:sz w:val="21"/>
          <w:szCs w:val="21"/>
        </w:rPr>
        <w:t>项目（项目编号：</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）的招标结果，依照《中华人民共和国</w:t>
      </w:r>
      <w:r>
        <w:rPr>
          <w:rFonts w:hint="eastAsia" w:ascii="宋体" w:hAnsi="宋体" w:eastAsia="宋体" w:cs="宋体"/>
          <w:sz w:val="21"/>
          <w:szCs w:val="21"/>
          <w:lang w:eastAsia="zh-CN"/>
        </w:rPr>
        <w:t>民法典</w:t>
      </w:r>
      <w:r>
        <w:rPr>
          <w:rFonts w:hint="eastAsia" w:ascii="宋体" w:hAnsi="宋体" w:eastAsia="宋体" w:cs="宋体"/>
          <w:sz w:val="21"/>
          <w:szCs w:val="21"/>
        </w:rPr>
        <w:t>》、《深圳经济特区政府采购条例》及其他有关法律、法规、规章的规定，甲乙双方遵循平等、自愿、公平和诚实信用原则，双方就本项目（项目编号：</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）协商一致，签订本合同。</w:t>
      </w:r>
    </w:p>
    <w:p w14:paraId="626E118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一、配送品种</w:t>
      </w:r>
    </w:p>
    <w:p w14:paraId="2EA0B71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sz w:val="21"/>
          <w:szCs w:val="21"/>
        </w:rPr>
        <w:t>甲方向乙方订购的食材品种包括：蔬菜类、粮油类</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冻品类、饮料类、水产类、鲜肉类、禽类、腌制品类、调味品类、蛋品类、水果类、干货类、豆制品类、乳制品类、</w:t>
      </w:r>
      <w:r>
        <w:rPr>
          <w:rFonts w:hint="eastAsia" w:ascii="宋体" w:hAnsi="宋体" w:eastAsia="宋体" w:cs="宋体"/>
          <w:sz w:val="21"/>
          <w:szCs w:val="21"/>
        </w:rPr>
        <w:t>辅料、佐料、副食等食堂食材配送服务。</w:t>
      </w:r>
    </w:p>
    <w:p w14:paraId="5A82E21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b/>
          <w:sz w:val="21"/>
          <w:szCs w:val="21"/>
        </w:rPr>
        <w:t>二、配送单位及位置</w:t>
      </w:r>
    </w:p>
    <w:p w14:paraId="749F01F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根据招标文件要求，乙方向甲方</w:t>
      </w:r>
      <w:r>
        <w:rPr>
          <w:rFonts w:hint="eastAsia" w:ascii="宋体" w:hAnsi="宋体" w:eastAsia="宋体" w:cs="宋体"/>
          <w:color w:val="auto"/>
          <w:sz w:val="21"/>
          <w:szCs w:val="21"/>
        </w:rPr>
        <w:t>深圳市公安局龙华分局XX食堂提供配送服务，甲方有权变更或调整</w:t>
      </w:r>
      <w:r>
        <w:rPr>
          <w:rFonts w:hint="eastAsia" w:ascii="宋体" w:hAnsi="宋体" w:eastAsia="宋体" w:cs="宋体"/>
          <w:sz w:val="21"/>
          <w:szCs w:val="21"/>
        </w:rPr>
        <w:t>配送地址（限深圳市行政区范围），乙方须及时配合甲方完成配送工作，具体内容以每天甲方提供的采购清单为准。</w:t>
      </w:r>
    </w:p>
    <w:p w14:paraId="7C89C22E">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b/>
          <w:sz w:val="21"/>
          <w:szCs w:val="21"/>
        </w:rPr>
        <w:t>订单方式及确认</w:t>
      </w:r>
    </w:p>
    <w:p w14:paraId="504FBD1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甲方送货前一天19时之前，以书面（或传真、电邮、微信）等方式向乙方下订单，订单内容应包括但不限于品名、规格、数量、配送的时间和其他要求等，乙方须按甲方要求准时将货送到指定地点。</w:t>
      </w:r>
    </w:p>
    <w:p w14:paraId="0D1F3780">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bCs/>
          <w:sz w:val="21"/>
          <w:szCs w:val="21"/>
        </w:rPr>
      </w:pPr>
      <w:r>
        <w:rPr>
          <w:rFonts w:hint="eastAsia" w:ascii="宋体" w:hAnsi="宋体" w:eastAsia="宋体" w:cs="宋体"/>
          <w:b/>
          <w:bCs/>
          <w:sz w:val="21"/>
          <w:szCs w:val="21"/>
        </w:rPr>
        <w:t>配送价格和折扣</w:t>
      </w:r>
    </w:p>
    <w:p w14:paraId="67DF866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1</w:t>
      </w:r>
      <w:r>
        <w:rPr>
          <w:rFonts w:hint="eastAsia" w:ascii="宋体" w:hAnsi="宋体" w:cs="宋体"/>
          <w:b w:val="0"/>
          <w:bCs/>
          <w:sz w:val="21"/>
          <w:szCs w:val="21"/>
          <w:highlight w:val="none"/>
          <w:lang w:val="en-US" w:eastAsia="zh-CN"/>
        </w:rPr>
        <w:t>、</w:t>
      </w:r>
      <w:r>
        <w:rPr>
          <w:rFonts w:hint="eastAsia" w:ascii="宋体" w:hAnsi="宋体" w:eastAsia="宋体" w:cs="宋体"/>
          <w:b w:val="0"/>
          <w:bCs/>
          <w:sz w:val="21"/>
          <w:szCs w:val="21"/>
          <w:highlight w:val="none"/>
          <w:lang w:val="en-US" w:eastAsia="zh-CN"/>
        </w:rPr>
        <w:t>深圳市中农数据有限公司（天天采配服务平台）中有价格的产品，以深圳市中农数据有限公司（天天采配服务平台）（网址：www.chinaap.com）下单日前三天（遇法定节假日顺延）公布的价格（非含费价）取平均值为该项物资的基准价，投标人结合企业自己的实力报出折扣率。</w:t>
      </w:r>
    </w:p>
    <w:p w14:paraId="06B626F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2</w:t>
      </w:r>
      <w:r>
        <w:rPr>
          <w:rFonts w:hint="eastAsia" w:ascii="宋体" w:hAnsi="宋体" w:cs="宋体"/>
          <w:b w:val="0"/>
          <w:bCs/>
          <w:sz w:val="21"/>
          <w:szCs w:val="21"/>
          <w:highlight w:val="none"/>
          <w:lang w:val="en-US" w:eastAsia="zh-CN"/>
        </w:rPr>
        <w:t>、</w:t>
      </w:r>
      <w:r>
        <w:rPr>
          <w:rFonts w:hint="eastAsia" w:ascii="宋体" w:hAnsi="宋体" w:eastAsia="宋体" w:cs="宋体"/>
          <w:b w:val="0"/>
          <w:bCs/>
          <w:sz w:val="21"/>
          <w:szCs w:val="21"/>
          <w:highlight w:val="none"/>
          <w:lang w:val="en-US" w:eastAsia="zh-CN"/>
        </w:rPr>
        <w:t>深圳市中农数据有限公司（天天采配服务平台）中鲜肉类、一级蔬菜按深圳市中农数据有限公司（天天采配服务平台）下单日前三天公布的价格[以采购人下单产品“品名”（别名）的价格（非含费价）]取平均值（平均值精确到分，即小数点后两位）确定该品类的基准价，投标人结合企业自己的实力报出折扣率，结算时价格=基准价*折扣率。</w:t>
      </w:r>
    </w:p>
    <w:p w14:paraId="3AB994C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3</w:t>
      </w:r>
      <w:r>
        <w:rPr>
          <w:rFonts w:hint="eastAsia" w:ascii="宋体" w:hAnsi="宋体" w:cs="宋体"/>
          <w:b w:val="0"/>
          <w:bCs/>
          <w:sz w:val="21"/>
          <w:szCs w:val="21"/>
          <w:highlight w:val="none"/>
          <w:lang w:val="en-US" w:eastAsia="zh-CN"/>
        </w:rPr>
        <w:t>、</w:t>
      </w:r>
      <w:r>
        <w:rPr>
          <w:rFonts w:hint="eastAsia" w:ascii="宋体" w:hAnsi="宋体" w:eastAsia="宋体" w:cs="宋体"/>
          <w:b w:val="0"/>
          <w:bCs/>
          <w:sz w:val="21"/>
          <w:szCs w:val="21"/>
          <w:highlight w:val="none"/>
          <w:lang w:val="en-US" w:eastAsia="zh-CN"/>
        </w:rPr>
        <w:t>深圳市中农数据有限公司（天天采配服务平台）中除鲜肉类、一级蔬菜以外的所有品类按深圳市中农数据有限公司（天天采配服务平台）下单日前三天公布的价格[以采购人下单产品“品名”（别名）的价格（非含费价）]取平均值（平均值精确到分，即小数点后两位）确定该品类价格为结算价。</w:t>
      </w:r>
    </w:p>
    <w:p w14:paraId="7EEA2C8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4</w:t>
      </w:r>
      <w:r>
        <w:rPr>
          <w:rFonts w:hint="eastAsia" w:ascii="宋体" w:hAnsi="宋体" w:cs="宋体"/>
          <w:b w:val="0"/>
          <w:bCs/>
          <w:sz w:val="21"/>
          <w:szCs w:val="21"/>
          <w:highlight w:val="none"/>
          <w:lang w:val="en-US" w:eastAsia="zh-CN"/>
        </w:rPr>
        <w:t>、</w:t>
      </w:r>
      <w:r>
        <w:rPr>
          <w:rFonts w:hint="eastAsia" w:ascii="宋体" w:hAnsi="宋体" w:eastAsia="宋体" w:cs="宋体"/>
          <w:b w:val="0"/>
          <w:bCs/>
          <w:sz w:val="21"/>
          <w:szCs w:val="21"/>
          <w:highlight w:val="none"/>
          <w:lang w:val="en-US" w:eastAsia="zh-CN"/>
        </w:rPr>
        <w:t>深圳市中农数据有限公司（天天采购平台）中无价格的产品，则结算时价格=折扣率*市场价（市场价由采购人考察调研决定）。</w:t>
      </w:r>
    </w:p>
    <w:p w14:paraId="0266885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5</w:t>
      </w:r>
      <w:r>
        <w:rPr>
          <w:rFonts w:hint="eastAsia" w:ascii="宋体" w:hAnsi="宋体" w:cs="宋体"/>
          <w:b w:val="0"/>
          <w:bCs/>
          <w:sz w:val="21"/>
          <w:szCs w:val="21"/>
          <w:highlight w:val="none"/>
          <w:lang w:val="en-US" w:eastAsia="zh-CN"/>
        </w:rPr>
        <w:t>、</w:t>
      </w:r>
      <w:r>
        <w:rPr>
          <w:rFonts w:hint="eastAsia" w:ascii="宋体" w:hAnsi="宋体" w:eastAsia="宋体" w:cs="宋体"/>
          <w:b w:val="0"/>
          <w:bCs/>
          <w:sz w:val="21"/>
          <w:szCs w:val="21"/>
          <w:highlight w:val="none"/>
          <w:lang w:val="en-US" w:eastAsia="zh-CN"/>
        </w:rPr>
        <w:t>报价包括供应货物和货物运输到采购单位的服务费、运费、装卸费、检测费、人工费、管理费、保险、税金等一切将可能发生的费用。以人民币为报价和结算单位，并开具国家正规发票。</w:t>
      </w:r>
    </w:p>
    <w:p w14:paraId="00EDBAF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五、质量和数量要求</w:t>
      </w:r>
    </w:p>
    <w:p w14:paraId="66257FA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1肉类要求（含生鲜、冻品、鱼类、熟食等）</w:t>
      </w:r>
    </w:p>
    <w:p w14:paraId="493D8B4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1.1供应产品质量要求:</w:t>
      </w:r>
    </w:p>
    <w:p w14:paraId="2E8613E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所供货物应保持较好的外观和质量等级，符合国家食品部门的有关标准，保证无异味、无霉烂变质，肉类保证来源于深圳市正规肉屠宰场，供货时须提交屠宰场的验收单及当批次有效的动物检疫合格证复印件（原件备查），新鲜肉确保每日新鲜，为当天深圳市正规屠宰场宰杀的新鲜肉；冷冻肉要求肉体冻实而坚硬，无化冻现象，肉质紧密而有弹性，色泽均匀，不粘手，交货时干净、新鲜、无异味；冷冻鱼类要求鱼眼睛清亮，角膜透明，鳞片上覆有冻结的透明黏液层，皮肤天然色泽明显。</w:t>
      </w:r>
    </w:p>
    <w:p w14:paraId="4DCEFB2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（2）所有货物规格符合</w:t>
      </w:r>
      <w:r>
        <w:rPr>
          <w:rFonts w:hint="eastAsia" w:ascii="宋体" w:hAnsi="宋体" w:eastAsia="宋体" w:cs="宋体"/>
          <w:sz w:val="21"/>
          <w:szCs w:val="21"/>
          <w:lang w:eastAsia="zh-CN"/>
        </w:rPr>
        <w:t>甲方</w:t>
      </w:r>
      <w:r>
        <w:rPr>
          <w:rFonts w:hint="eastAsia" w:ascii="宋体" w:hAnsi="宋体" w:eastAsia="宋体" w:cs="宋体"/>
          <w:sz w:val="21"/>
          <w:szCs w:val="21"/>
        </w:rPr>
        <w:t>提交的日采购计划中明确的具体需求。</w:t>
      </w:r>
    </w:p>
    <w:p w14:paraId="3B5B34F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（3）冷冻禽类食品解冻后净重量不少于 90％，冷冻肉类食品解冻后净重量不少于92%，冷冻水产类食品解冻后净重量不少于 82%，解冻时间为 4 小时以内（室温20℃）。所有冷冻食品要求清晰列出产品品牌、规格、类型、包装方式、包装净重、含冰量等相关参数。</w:t>
      </w:r>
    </w:p>
    <w:p w14:paraId="53FB8A4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（4）熟食包括烧鸡、烧鸭、烧鹅等。熟食（特别是鲜制熟食）保质期较短，保鲜要求高，供应的熟食需保证产品的品质。</w:t>
      </w:r>
    </w:p>
    <w:p w14:paraId="1C54C56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（5）如</w:t>
      </w:r>
      <w:r>
        <w:rPr>
          <w:rFonts w:hint="eastAsia" w:ascii="宋体" w:hAnsi="宋体" w:eastAsia="宋体" w:cs="宋体"/>
          <w:sz w:val="21"/>
          <w:szCs w:val="21"/>
          <w:lang w:eastAsia="zh-CN"/>
        </w:rPr>
        <w:t>乙方</w:t>
      </w:r>
      <w:r>
        <w:rPr>
          <w:rFonts w:hint="eastAsia" w:ascii="宋体" w:hAnsi="宋体" w:eastAsia="宋体" w:cs="宋体"/>
          <w:sz w:val="21"/>
          <w:szCs w:val="21"/>
        </w:rPr>
        <w:t>不能按时、保质、保量供货，由</w:t>
      </w:r>
      <w:r>
        <w:rPr>
          <w:rFonts w:hint="eastAsia" w:ascii="宋体" w:hAnsi="宋体" w:eastAsia="宋体" w:cs="宋体"/>
          <w:sz w:val="21"/>
          <w:szCs w:val="21"/>
          <w:lang w:eastAsia="zh-CN"/>
        </w:rPr>
        <w:t>甲方</w:t>
      </w:r>
      <w:r>
        <w:rPr>
          <w:rFonts w:hint="eastAsia" w:ascii="宋体" w:hAnsi="宋体" w:eastAsia="宋体" w:cs="宋体"/>
          <w:sz w:val="21"/>
          <w:szCs w:val="21"/>
        </w:rPr>
        <w:t>自行采购，并承担</w:t>
      </w:r>
      <w:r>
        <w:rPr>
          <w:rFonts w:hint="eastAsia" w:ascii="宋体" w:hAnsi="宋体" w:eastAsia="宋体" w:cs="宋体"/>
          <w:sz w:val="21"/>
          <w:szCs w:val="21"/>
          <w:lang w:eastAsia="zh-CN"/>
        </w:rPr>
        <w:t>甲方</w:t>
      </w:r>
      <w:r>
        <w:rPr>
          <w:rFonts w:hint="eastAsia" w:ascii="宋体" w:hAnsi="宋体" w:eastAsia="宋体" w:cs="宋体"/>
          <w:sz w:val="21"/>
          <w:szCs w:val="21"/>
        </w:rPr>
        <w:t>由此造成的经济损失和接受违约处罚。</w:t>
      </w:r>
    </w:p>
    <w:p w14:paraId="67ACD95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（6）各</w:t>
      </w:r>
      <w:r>
        <w:rPr>
          <w:rFonts w:hint="eastAsia" w:ascii="宋体" w:hAnsi="宋体" w:eastAsia="宋体" w:cs="宋体"/>
          <w:sz w:val="21"/>
          <w:szCs w:val="21"/>
          <w:lang w:eastAsia="zh-CN"/>
        </w:rPr>
        <w:t>乙方</w:t>
      </w:r>
      <w:r>
        <w:rPr>
          <w:rFonts w:hint="eastAsia" w:ascii="宋体" w:hAnsi="宋体" w:eastAsia="宋体" w:cs="宋体"/>
          <w:sz w:val="21"/>
          <w:szCs w:val="21"/>
        </w:rPr>
        <w:t>提供猪、牛、羊等肉类、家禽类及肉制品应有《卫生检疫报告》、《产品合格证》资质证明。</w:t>
      </w:r>
    </w:p>
    <w:p w14:paraId="7136442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（7）产品配送要求：</w:t>
      </w:r>
    </w:p>
    <w:p w14:paraId="7AAD0B3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食品运输必须采用符合卫生要求的外包装和运载工具，并且要保持清洁和定期消毒。运输车厢的内仓，包括地面、墙面和顶，应为抗腐蚀、防潮，防虫、防鼠的设计，车厢内无不良气味、异味。</w:t>
      </w:r>
    </w:p>
    <w:p w14:paraId="41A812B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冷藏、冷冻食品必须用专用冷藏、冷冻载具运输，应当有必要的保温设备并在整个运输过程中保持安全的冷藏、冷冻温度。特别是对于长途运输的食品，保证食品在运输全过程处于合适的温度范围。</w:t>
      </w:r>
    </w:p>
    <w:p w14:paraId="7E922E5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整个运输过程应科学合理，运输车辆应定期清洁，保持性能稳定，符合规定的温度要求，使运输食品处于恒定的环境中。</w:t>
      </w:r>
    </w:p>
    <w:p w14:paraId="502E8FB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送货车辆实行1小时配送圈运作，在1小时内的用保温车配送，1小时以外的用制冷车配送，保证肉类中心温度控制在-2-7℃的范围之内，保证运输过程冷链不中断。商品到达目的地时外包装箱干爽,无软化现象。</w:t>
      </w:r>
    </w:p>
    <w:p w14:paraId="17A2F2C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（8）卸货要求：</w:t>
      </w:r>
    </w:p>
    <w:p w14:paraId="22B3A05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送货车辆应保持清洁；食品堆放科学合理，避免造成食品的交叉污染；如对温度有要求的食品应确定食品的温度，记录送货车辆温度，并记录存档。</w:t>
      </w:r>
    </w:p>
    <w:p w14:paraId="27305CF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在本环节中应保证冷藏食品脱离冷链时间不得超过20分钟，冷冻食品脱离冷链时间不得超过30分钟。</w:t>
      </w:r>
    </w:p>
    <w:p w14:paraId="5C38650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（9）冻肉质量的基本检查：</w:t>
      </w:r>
    </w:p>
    <w:p w14:paraId="31DDBFD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（10）对冻肉类检查如下：</w:t>
      </w:r>
    </w:p>
    <w:p w14:paraId="40938F6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10.1采购的冻肉必须符合食品卫生要求及国家有关标准和行业规范。采购生产、经营证明文件齐备，明确来源，并具有检验合格证明。严禁含有毒有害物质、虫及混有异物，严禁有腐烂变质、酸败、霉变情况，禁止采购超过保质期限的冻肉类食品。</w:t>
      </w:r>
    </w:p>
    <w:p w14:paraId="75A1D69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10.2冻肉类食品包装必须符合国家规范，采购的食品不得存放在有毒、有害的容器和承载物内。食品包装上必须使用原产地标识，应注明：制造商名称和厂址、食品名称和重（容）量、生产日期和保质期限以及规格和QS认证等。</w:t>
      </w:r>
    </w:p>
    <w:p w14:paraId="500CE10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10.3对不符合采购要求的冻肉类食品由验收人员提出清退，如双方对质量争议的退货前应实行留板备案，可送深圳市或用户所在地地级市以上质监部门检测，对缺斤短两（或含冰量超标）的应按实际重量扣减。</w:t>
      </w:r>
    </w:p>
    <w:p w14:paraId="2074BA8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（11）冻肉类食品验收发现问题时的处理办法：</w:t>
      </w:r>
    </w:p>
    <w:p w14:paraId="15C7A92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11.1按产品质量描述对货物质量进行抽查。</w:t>
      </w:r>
    </w:p>
    <w:p w14:paraId="0516A5D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11.2抽查发现食品安全质量问题的处理：</w:t>
      </w:r>
    </w:p>
    <w:p w14:paraId="6512B07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对危及人身安全的食品质量问题采取零容忍措施，一经发现，当日所送同批次产品全部退货，同时有权依法解除合同。如水产品中发现河豚鱼，发现腐败变质肉类等。</w:t>
      </w:r>
    </w:p>
    <w:p w14:paraId="7CE1780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若抽查未发现问题，而在加工食用前发现部分产品质量问题，应立即通知物资验收小组及</w:t>
      </w:r>
      <w:r>
        <w:rPr>
          <w:rFonts w:hint="eastAsia" w:ascii="宋体" w:hAnsi="宋体" w:eastAsia="宋体" w:cs="宋体"/>
          <w:sz w:val="21"/>
          <w:szCs w:val="21"/>
          <w:lang w:eastAsia="zh-CN"/>
        </w:rPr>
        <w:t>乙方</w:t>
      </w:r>
      <w:r>
        <w:rPr>
          <w:rFonts w:hint="eastAsia" w:ascii="宋体" w:hAnsi="宋体" w:eastAsia="宋体" w:cs="宋体"/>
          <w:sz w:val="21"/>
          <w:szCs w:val="21"/>
        </w:rPr>
        <w:t>，将问题产品退货处理。</w:t>
      </w:r>
    </w:p>
    <w:p w14:paraId="1603A05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11.3抽查发现资质证照不全问题的处理：</w:t>
      </w:r>
    </w:p>
    <w:p w14:paraId="16A97A3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11.3.1整批产品无政府部门出具的动植物检疫合格证明的全部退货；</w:t>
      </w:r>
    </w:p>
    <w:p w14:paraId="59768E5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11.3.2抽查发现部分产品无政府部门出具的动植物检疫合格证明，加抽15%，两次抽查数50%以上没有动植物检疫合格证明的，全部退货；50%以下没有动植物检疫合格证明的，将无动植物检疫合格证明的货物退货；</w:t>
      </w:r>
    </w:p>
    <w:p w14:paraId="7EFC3DD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11.3.3整批产品有省地市出具的动植物检疫合格证明，随箱产品合格证不齐全的，加抽15%，两次抽查数50%以上没有产品合格证的，全部退货；50%以下没有产品合格证明的，将无产品合格证明的货物退货；</w:t>
      </w:r>
    </w:p>
    <w:p w14:paraId="6EC8A4E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11.3.4肉制品无疾病控制或质量技术监督部门出具的同类产品半年内有效检验报告，作退货处理；随箱产品合格证不齐全的，加抽15%，两次抽查数50%以上没有产品合格证的，全部退货；50%以下没有产品合格证明的，将无产品合格证明的货物退货。</w:t>
      </w:r>
    </w:p>
    <w:p w14:paraId="1018511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（12）货物重量验收：</w:t>
      </w:r>
    </w:p>
    <w:p w14:paraId="5C7E441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12.1冻肉类：双方各随机抽取每品种货物一箱，去包装，在流动的10-25℃清水中浸泡解冻至表面冰层融化，个体能够分离为止，充分摊开货物沥水三分钟后称重，取双方抽取样本均值为该产品本批次种货物的验收重量。</w:t>
      </w:r>
    </w:p>
    <w:p w14:paraId="380FD2C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12.2水产类：双方各随机抽取每品种货物两箱，去包装，在流动的10-25℃清水中浸泡解冻至表面冰层融化，个体能够分离为止，充分摊开货物沥水三分钟后称重，取双方抽取样本均值为该产品本批次种货物的验收重量。</w:t>
      </w:r>
    </w:p>
    <w:p w14:paraId="46AB386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12.3 新鲜肉类、丸类、火腿、腊肠类等不含冰货物直接称重验收。</w:t>
      </w:r>
    </w:p>
    <w:p w14:paraId="03EBF14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2.蔬菜类要求：</w:t>
      </w:r>
    </w:p>
    <w:p w14:paraId="40CAA95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lang w:eastAsia="zh-CN"/>
        </w:rPr>
        <w:t>乙方</w:t>
      </w:r>
      <w:r>
        <w:rPr>
          <w:rFonts w:hint="eastAsia" w:ascii="宋体" w:hAnsi="宋体" w:eastAsia="宋体" w:cs="宋体"/>
          <w:sz w:val="21"/>
          <w:szCs w:val="21"/>
        </w:rPr>
        <w:t>每天的供应按</w:t>
      </w:r>
      <w:r>
        <w:rPr>
          <w:rFonts w:hint="eastAsia" w:ascii="宋体" w:hAnsi="宋体" w:eastAsia="宋体" w:cs="宋体"/>
          <w:sz w:val="21"/>
          <w:szCs w:val="21"/>
          <w:lang w:eastAsia="zh-CN"/>
        </w:rPr>
        <w:t>甲方</w:t>
      </w:r>
      <w:r>
        <w:rPr>
          <w:rFonts w:hint="eastAsia" w:ascii="宋体" w:hAnsi="宋体" w:eastAsia="宋体" w:cs="宋体"/>
          <w:sz w:val="21"/>
          <w:szCs w:val="21"/>
        </w:rPr>
        <w:t>提出的品种要求和计划数量进行供应。</w:t>
      </w:r>
    </w:p>
    <w:p w14:paraId="0CC2EEB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属季节问题，若出现品种不能满足</w:t>
      </w:r>
      <w:r>
        <w:rPr>
          <w:rFonts w:hint="eastAsia" w:ascii="宋体" w:hAnsi="宋体" w:eastAsia="宋体" w:cs="宋体"/>
          <w:sz w:val="21"/>
          <w:szCs w:val="21"/>
          <w:lang w:eastAsia="zh-CN"/>
        </w:rPr>
        <w:t>甲方</w:t>
      </w:r>
      <w:r>
        <w:rPr>
          <w:rFonts w:hint="eastAsia" w:ascii="宋体" w:hAnsi="宋体" w:eastAsia="宋体" w:cs="宋体"/>
          <w:sz w:val="21"/>
          <w:szCs w:val="21"/>
        </w:rPr>
        <w:t>需求的情况，可与</w:t>
      </w:r>
      <w:r>
        <w:rPr>
          <w:rFonts w:hint="eastAsia" w:ascii="宋体" w:hAnsi="宋体" w:eastAsia="宋体" w:cs="宋体"/>
          <w:sz w:val="21"/>
          <w:szCs w:val="21"/>
          <w:lang w:eastAsia="zh-CN"/>
        </w:rPr>
        <w:t>甲方</w:t>
      </w:r>
      <w:r>
        <w:rPr>
          <w:rFonts w:hint="eastAsia" w:ascii="宋体" w:hAnsi="宋体" w:eastAsia="宋体" w:cs="宋体"/>
          <w:sz w:val="21"/>
          <w:szCs w:val="21"/>
        </w:rPr>
        <w:t>协商调换相应类别的品种（按叶菜、瓜菜等进行分类）。</w:t>
      </w:r>
    </w:p>
    <w:p w14:paraId="294F8FD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（1）货物质量要求：</w:t>
      </w:r>
    </w:p>
    <w:p w14:paraId="172F52D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从蔬菜色泽看，各种蔬菜都应具有本品种固有的颜色，大多数有发亮的光泽，以此显示蔬菜的成熟度及鲜嫩程度；</w:t>
      </w:r>
    </w:p>
    <w:p w14:paraId="46BD28D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从蔬菜气味看，多数蔬菜具有清馨、甘辛香、甜酸香等气味，可凭嗅觉识别不同品种的质量，不允许有腐烂变质的亚硝酸盐味和其他异常气味；</w:t>
      </w:r>
    </w:p>
    <w:p w14:paraId="70B90A9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从蔬菜滋味看，因品种不同而各异，多数蔬菜滋味甘淡、甜酸、清爽鲜美，少数具有辛酸、苦涩等特殊风味以刺激食欲，如失去本品种原有的滋即为异常；</w:t>
      </w:r>
    </w:p>
    <w:p w14:paraId="78FB68C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从蔬菜形态看，应尽量避免由于客观因素而造成的各种非正常、不新鲜的蔬菜，例如萎蔫、枯塌、损伤、病变、虫害侵蚀等引起的形态异常等。</w:t>
      </w:r>
    </w:p>
    <w:p w14:paraId="5B90D1B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（2）供应和管理要求</w:t>
      </w:r>
    </w:p>
    <w:p w14:paraId="4482B1F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2.1蔬菜供应的品种安排（分主菜和配菜）。</w:t>
      </w:r>
    </w:p>
    <w:p w14:paraId="7A3A407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2.1.1 配菜品种按</w:t>
      </w:r>
      <w:r>
        <w:rPr>
          <w:rFonts w:hint="eastAsia" w:ascii="宋体" w:hAnsi="宋体" w:eastAsia="宋体" w:cs="宋体"/>
          <w:sz w:val="21"/>
          <w:szCs w:val="21"/>
          <w:lang w:eastAsia="zh-CN"/>
        </w:rPr>
        <w:t>甲方</w:t>
      </w:r>
      <w:r>
        <w:rPr>
          <w:rFonts w:hint="eastAsia" w:ascii="宋体" w:hAnsi="宋体" w:eastAsia="宋体" w:cs="宋体"/>
          <w:sz w:val="21"/>
          <w:szCs w:val="21"/>
        </w:rPr>
        <w:t>计划和要求的品种供应；</w:t>
      </w:r>
    </w:p>
    <w:p w14:paraId="3083E8E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2.1.2主菜品种由供求双方根据季节安排，但要确保每周有5个品种以上，每个品种不少于2次，6-9月叶菜类不少于30％，其余时间叶菜类不少于50％。</w:t>
      </w:r>
    </w:p>
    <w:p w14:paraId="67B94FD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2.2蔬菜包装与标志要求：包装。容器(框、箱、袋)要求清洁、干燥、牢固、透气，无污染、无异味、无霉变现象。标志。每件包装必须按《农产品包装和标识管理办法》贴标签，并标明产地、品种、净含量、生产单位及地址和采收日期。</w:t>
      </w:r>
    </w:p>
    <w:p w14:paraId="2C26F5D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2.3食品供应链要求：所有食品的来源必须清晰。蔬菜来源须为深圳市范围内的自有基地、商品菜基地或蔬菜专业流通市场，严禁收购散户农民的蔬菜供应。</w:t>
      </w:r>
    </w:p>
    <w:p w14:paraId="63DFF67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2.4运输要求：运输工具应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蔬菜应小心轻卸，严防机械损伤。食品堆放科学合理，避免造成食品的交叉污染；如对温度有要求的食品应确定食品的温度，记录送货车辆温度，并记录存档。</w:t>
      </w:r>
    </w:p>
    <w:p w14:paraId="5D840D3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2.5管理要求：菜地设有固定的农资存放场所，配有专用的农药喷洒用具及其他农用器具，施用农药有详尽记录，规定施药间隔期后采收；蔬菜采收后需用清洁、无污染的运输工具运抵加工地点。</w:t>
      </w:r>
    </w:p>
    <w:p w14:paraId="38F41D9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2.6环境要求：菜地周围需设有隔离网、隔离带或其他有效的隔离措施，确保不受临近农田施肥和用药污染；菜地周围无养殖场、化工厂、垃圾处理场、医院以及污水排放管道等污染源。</w:t>
      </w:r>
    </w:p>
    <w:p w14:paraId="3E11E0C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2.7水源要求：菜地应有清洁无污染的灌溉水源；灌溉水井设有防护设施。灌溉水源需经检测验证符合规定要求，并一年内在蔬菜种植过程对水源进行2次监测。</w:t>
      </w:r>
    </w:p>
    <w:p w14:paraId="762AB2D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2.8农药要求：种植使用的农药必须符合食品安全管理部门的规定，严禁使用违禁药物；农药的采购、保管、发放、使用必须建立记录；蔬菜生产使用农药的间隔期必须符合行业规定，并且采收前</w:t>
      </w:r>
      <w:r>
        <w:rPr>
          <w:rFonts w:hint="eastAsia" w:ascii="宋体" w:hAnsi="宋体" w:eastAsia="宋体" w:cs="宋体"/>
          <w:sz w:val="21"/>
          <w:szCs w:val="21"/>
          <w:lang w:eastAsia="zh-CN"/>
        </w:rPr>
        <w:t>乙方</w:t>
      </w:r>
      <w:r>
        <w:rPr>
          <w:rFonts w:hint="eastAsia" w:ascii="宋体" w:hAnsi="宋体" w:eastAsia="宋体" w:cs="宋体"/>
          <w:sz w:val="21"/>
          <w:szCs w:val="21"/>
        </w:rPr>
        <w:t>应从种植地取样检测农残项目，合格后方可供应。</w:t>
      </w:r>
    </w:p>
    <w:p w14:paraId="6248E7F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（3）蔬菜验收时发现问题的处理方法：</w:t>
      </w:r>
    </w:p>
    <w:p w14:paraId="692E3A6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3.1按后附产品质量描述对货物质量进行抽查。</w:t>
      </w:r>
    </w:p>
    <w:p w14:paraId="5F8220E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3.2抽查发现食品安全质量问题的处理：</w:t>
      </w:r>
    </w:p>
    <w:p w14:paraId="2E0E503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对危及人身安全的食品质量问题采取零容忍措施，一经发现，当日所送同批次产品全部退货，同时有权依法解除合同。如水产品中发现农药残留超标，发现腐败变质蔬菜等。</w:t>
      </w:r>
    </w:p>
    <w:p w14:paraId="4C74FAF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若抽查未发现问题，而在加工食用前发现部分产品质量问题，应立即通知物资验收小组及</w:t>
      </w:r>
      <w:r>
        <w:rPr>
          <w:rFonts w:hint="eastAsia" w:ascii="宋体" w:hAnsi="宋体" w:eastAsia="宋体" w:cs="宋体"/>
          <w:sz w:val="21"/>
          <w:szCs w:val="21"/>
          <w:lang w:eastAsia="zh-CN"/>
        </w:rPr>
        <w:t>乙方</w:t>
      </w:r>
      <w:r>
        <w:rPr>
          <w:rFonts w:hint="eastAsia" w:ascii="宋体" w:hAnsi="宋体" w:eastAsia="宋体" w:cs="宋体"/>
          <w:sz w:val="21"/>
          <w:szCs w:val="21"/>
        </w:rPr>
        <w:t>，将问题产品退货处理。</w:t>
      </w:r>
    </w:p>
    <w:p w14:paraId="505FC62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3.干货类要求</w:t>
      </w:r>
    </w:p>
    <w:p w14:paraId="29AF627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（1）供应产品质量要求：</w:t>
      </w:r>
    </w:p>
    <w:p w14:paraId="6585F00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w:t>
      </w:r>
      <w:r>
        <w:rPr>
          <w:rFonts w:hint="eastAsia" w:ascii="宋体" w:hAnsi="宋体" w:eastAsia="宋体" w:cs="宋体"/>
          <w:sz w:val="21"/>
          <w:szCs w:val="21"/>
          <w:lang w:eastAsia="zh-CN"/>
        </w:rPr>
        <w:t>乙方</w:t>
      </w:r>
      <w:r>
        <w:rPr>
          <w:rFonts w:hint="eastAsia" w:ascii="宋体" w:hAnsi="宋体" w:eastAsia="宋体" w:cs="宋体"/>
          <w:sz w:val="21"/>
          <w:szCs w:val="21"/>
        </w:rPr>
        <w:t>所提供产品质量必须要符合行业标准要求，不得有掺假、变质、变味、过期等现象出现，严禁伪劣、假冒、无证不合格物品进入仓库。</w:t>
      </w:r>
    </w:p>
    <w:p w14:paraId="2313C35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1.2</w:t>
      </w:r>
      <w:r>
        <w:rPr>
          <w:rFonts w:hint="eastAsia" w:ascii="宋体" w:hAnsi="宋体" w:eastAsia="宋体" w:cs="宋体"/>
          <w:sz w:val="21"/>
          <w:szCs w:val="21"/>
          <w:lang w:eastAsia="zh-CN"/>
        </w:rPr>
        <w:t>乙方</w:t>
      </w:r>
      <w:r>
        <w:rPr>
          <w:rFonts w:hint="eastAsia" w:ascii="宋体" w:hAnsi="宋体" w:eastAsia="宋体" w:cs="宋体"/>
          <w:sz w:val="21"/>
          <w:szCs w:val="21"/>
        </w:rPr>
        <w:t>所提供产品必须价格合理，不得虚高报价，否则</w:t>
      </w:r>
      <w:r>
        <w:rPr>
          <w:rFonts w:hint="eastAsia" w:ascii="宋体" w:hAnsi="宋体" w:eastAsia="宋体" w:cs="宋体"/>
          <w:sz w:val="21"/>
          <w:szCs w:val="21"/>
          <w:lang w:eastAsia="zh-CN"/>
        </w:rPr>
        <w:t>甲方</w:t>
      </w:r>
      <w:r>
        <w:rPr>
          <w:rFonts w:hint="eastAsia" w:ascii="宋体" w:hAnsi="宋体" w:eastAsia="宋体" w:cs="宋体"/>
          <w:sz w:val="21"/>
          <w:szCs w:val="21"/>
        </w:rPr>
        <w:t>有权不用。</w:t>
      </w:r>
    </w:p>
    <w:p w14:paraId="7E502CA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1.3</w:t>
      </w:r>
      <w:r>
        <w:rPr>
          <w:rFonts w:hint="eastAsia" w:ascii="宋体" w:hAnsi="宋体" w:eastAsia="宋体" w:cs="宋体"/>
          <w:sz w:val="21"/>
          <w:szCs w:val="21"/>
          <w:lang w:eastAsia="zh-CN"/>
        </w:rPr>
        <w:t>乙方</w:t>
      </w:r>
      <w:r>
        <w:rPr>
          <w:rFonts w:hint="eastAsia" w:ascii="宋体" w:hAnsi="宋体" w:eastAsia="宋体" w:cs="宋体"/>
          <w:sz w:val="21"/>
          <w:szCs w:val="21"/>
        </w:rPr>
        <w:t>在供应过程中，如果发生出现质量问题或造成食物中毒,如变质等情况，经查实后确属供货方责任，</w:t>
      </w:r>
      <w:r>
        <w:rPr>
          <w:rFonts w:hint="eastAsia" w:ascii="宋体" w:hAnsi="宋体" w:eastAsia="宋体" w:cs="宋体"/>
          <w:sz w:val="21"/>
          <w:szCs w:val="21"/>
          <w:lang w:eastAsia="zh-CN"/>
        </w:rPr>
        <w:t>乙方</w:t>
      </w:r>
      <w:r>
        <w:rPr>
          <w:rFonts w:hint="eastAsia" w:ascii="宋体" w:hAnsi="宋体" w:eastAsia="宋体" w:cs="宋体"/>
          <w:sz w:val="21"/>
          <w:szCs w:val="21"/>
        </w:rPr>
        <w:t>应承担全部责任，主要包括食物中毒人员医疗费、误工费、事故处理费等，直至追究刑事责任。同时依法解除合同。</w:t>
      </w:r>
    </w:p>
    <w:p w14:paraId="5E9F985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（2）干货类质量要求：</w:t>
      </w:r>
    </w:p>
    <w:p w14:paraId="7E0E84F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2.1干货制品的质量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尤其是二氧化硫残留量、总砷含量不超过国家卫生标准；木耳类的水分含量不能超过国家标准要求，</w:t>
      </w:r>
      <w:r>
        <w:rPr>
          <w:rFonts w:hint="eastAsia" w:ascii="宋体" w:hAnsi="宋体" w:eastAsia="宋体" w:cs="宋体"/>
          <w:sz w:val="21"/>
          <w:szCs w:val="21"/>
          <w:lang w:eastAsia="zh-CN"/>
        </w:rPr>
        <w:t>甲方</w:t>
      </w:r>
      <w:r>
        <w:rPr>
          <w:rFonts w:hint="eastAsia" w:ascii="宋体" w:hAnsi="宋体" w:eastAsia="宋体" w:cs="宋体"/>
          <w:sz w:val="21"/>
          <w:szCs w:val="21"/>
        </w:rPr>
        <w:t>可根据实际情况对需要的干货制品进行品质抽检，对质量未达到国家标准的干货制品</w:t>
      </w:r>
      <w:r>
        <w:rPr>
          <w:rFonts w:hint="eastAsia" w:ascii="宋体" w:hAnsi="宋体" w:eastAsia="宋体" w:cs="宋体"/>
          <w:sz w:val="21"/>
          <w:szCs w:val="21"/>
          <w:lang w:eastAsia="zh-CN"/>
        </w:rPr>
        <w:t>甲方</w:t>
      </w:r>
      <w:r>
        <w:rPr>
          <w:rFonts w:hint="eastAsia" w:ascii="宋体" w:hAnsi="宋体" w:eastAsia="宋体" w:cs="宋体"/>
          <w:sz w:val="21"/>
          <w:szCs w:val="21"/>
        </w:rPr>
        <w:t>有权拒绝接受。</w:t>
      </w:r>
    </w:p>
    <w:p w14:paraId="2C772F5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2.2几种主要干货制品的质量标准：</w:t>
      </w:r>
    </w:p>
    <w:p w14:paraId="4963996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肉皮：作为干肉皮，无论什么部位，体表洁净无毛，白亮无残余肥膘，无虫蛀，干爽，敲击时响声清脆，质量均匀为好，反之则为次之，如已发霉，并有哈喇味，即已变质。</w:t>
      </w:r>
    </w:p>
    <w:p w14:paraId="324941F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玉兰片：玉兰片以色泽黄白、洁净、肉厚、纤维少、节较密、体长不超过 10~17cm 的为最好，肉薄节疏、纤维多而粗老的质量较差。</w:t>
      </w:r>
    </w:p>
    <w:p w14:paraId="3A50A3D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黄花菜：又名金针菜，干燥、有清香味，菜色黄亮、身条长而粗壮、条杆粗细均匀者为佳。</w:t>
      </w:r>
    </w:p>
    <w:p w14:paraId="6251072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黑木耳：黑木耳的质量一般以条形大而完整，耳瓣舒展少卷曲，内厚黑，富于光泽，体干不霉，无杂质和碎者为优，反之则差。</w:t>
      </w:r>
    </w:p>
    <w:p w14:paraId="28F48BF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银耳：银耳又称白木耳，以朵大、色洁白、有光泽、无杂质，根小、干度足，完整者为佳品， 朵小、色黄、根大、无光泽，散碎者次之；黄黑色者质量最次，依上述标准可将银耳分为上中下三等。质量好的银耳，根部易稣烂，食之柔软，质量次则根部大而发硬。</w:t>
      </w:r>
    </w:p>
    <w:p w14:paraId="10C9DAA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香菇：根据采收季节和形状不同，香菇又分为花菇、厚菇、薄菇和菇丁四类，其中以花菇质量 最好，厚菇次之，薄菇更差，菇丁质量最差。</w:t>
      </w:r>
    </w:p>
    <w:p w14:paraId="25D4B57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A、花菇：朵小柄短，呈半球状，菇伞顶面有似菊花似的白色裂纹，肉厚、菌盖色泽淡黑，菇底 褶，通过加工呈淡黄色，身干、质嫩、有芳香气味者为质好好香菇。 </w:t>
      </w:r>
    </w:p>
    <w:p w14:paraId="6831E02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B、厚菇：形状如伞，顶面无花纹，呈黑色并略有光泽，质嫩、肉厚、朵稍大，质量稍次。 </w:t>
      </w:r>
    </w:p>
    <w:p w14:paraId="7C86506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C、薄菇：形状扁平、开伞、朵大、肉薄、菌盖表面浅褐色，菌褐白色，菌柄稍高，浅咖啡色， 基部稍带红色或红褐色，质量比花菇厚，菇差，味淡。 </w:t>
      </w:r>
    </w:p>
    <w:p w14:paraId="3C0E483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D、菇丁：是指未充分发育的香菇，个小，直径在2cm以下，味淡质差。</w:t>
      </w:r>
    </w:p>
    <w:p w14:paraId="6E71744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腐竹：腐竹又名豆腐皮和油皮，有一、二、三级品之分。一级品：色泽黄亮、干燥筋韧、耐贮、无碎块。二级品：颜色较一极品灰黄、干燥无碎块。三级品：颜色更灰黄、无光泽、易碎、筋韧性差。</w:t>
      </w:r>
    </w:p>
    <w:p w14:paraId="0E598B2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粉丝：质量好的粉丝，粉条细长、白净、晶莹透明、丝条均匀、整齐、干燥，不易折断，无斑点、黑迹，无霉变，有粉丝特有的光泽。</w:t>
      </w:r>
    </w:p>
    <w:p w14:paraId="3F4F4FA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蹄筋：猪蹄筋的质量首先从蹄筋抽取的部位区别，后蹄筋体长而圆、粗状、光滑的品质好。前蹄筋体短而扁细、品质较差、保管完好的蹄筋应呈白色、无杂质，干、硬度高。</w:t>
      </w:r>
    </w:p>
    <w:p w14:paraId="1E42E68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干贝：上等干贝粒大完整、黄亮干燥、肉质饱满，肉丝清晰、粗且有特殊香气。粒小、碎破、色淡无光泽者较次。破碎、发黑发霉的为变质品。</w:t>
      </w:r>
    </w:p>
    <w:p w14:paraId="2838692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鱿鱼：市场上常见的鱿鱼有椭圆形和长方形，选购时应注意：体干、体形完整、光亮洁净、淡粉红色、片大头小、肉厚者为优。体形部分卷曲，尾部和背部红中透暗，两侧有微红点、体小而宽、肉薄者为次品。</w:t>
      </w:r>
    </w:p>
    <w:p w14:paraId="1DE9B9A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海蛰：海蛰是由水母加工制成，选购时应注意色泽，以乳白色或淡黄色、气味清新、质厚均匀、个体完整、块大、无血黑（体肉红皮）有光泽的为上品，带有膜状血衣的为次品。</w:t>
      </w:r>
    </w:p>
    <w:p w14:paraId="21185E0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紫菜：属海产红藻类植物，因鲜紫菜叶较宽大，经干制成长方块形，散片状卷筒，其中以卷筒形柔嫩微脆、叶薄、色紫清香鲜美的为品质优。</w:t>
      </w:r>
    </w:p>
    <w:p w14:paraId="60D706B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发菜：发菜是陆生褐色藻类，以藻体细长、绿黑色、柔软爽滑、干燥、无杂质的质量为优，反之则劣。</w:t>
      </w:r>
    </w:p>
    <w:p w14:paraId="131E14D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鱼肚：其标准一般为体大整齐、肚厚、身干、光洁明亮、无虫蛀腐者好；灰暗、肉薄、体小则次之，有虫蛀、颜色发黑、变霉则为变质品。</w:t>
      </w:r>
    </w:p>
    <w:p w14:paraId="7139F00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4.牛奶要求</w:t>
      </w:r>
    </w:p>
    <w:p w14:paraId="53E0CC3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提供最近日期生产出品的鲜奶和酸奶；外包装完整无损，有详细的生产日期、保质期、生产厂家等信息。</w:t>
      </w:r>
    </w:p>
    <w:p w14:paraId="514A188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鲜奶要求</w:t>
      </w:r>
    </w:p>
    <w:p w14:paraId="0319C3E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1.1颜色：色泽为乳白色或稍带微黄色。</w:t>
      </w:r>
    </w:p>
    <w:p w14:paraId="46105E8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1.2组织状态：呈均匀的流体，无沉淀、凝块和机械杂质，无粘稠和浓厚现象。</w:t>
      </w:r>
    </w:p>
    <w:p w14:paraId="21A8D66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1.3气味: 具有乳特有的乳香味，无其他任何异味。不能发出显著的酸味、苦味、臭味、霉味、涩味、腥味等异常气味。</w:t>
      </w:r>
    </w:p>
    <w:p w14:paraId="60F43ED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1.4味道：具有鲜乳独具的纯香味，滋味可口而稍甜，无其他任何异常滋味。不能有有酸味、咸味、苦味等。</w:t>
      </w:r>
    </w:p>
    <w:p w14:paraId="3A0CB91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酸奶要求</w:t>
      </w:r>
    </w:p>
    <w:p w14:paraId="3E07F82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2.1颜色：色泽均匀一致，呈乳白色或稍带微黄色。不得出现色泽不匀、灰暗或出现其他异常颜色。</w:t>
      </w:r>
    </w:p>
    <w:p w14:paraId="1C095A0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2.2组织状态：凝乳均匀细腻，无气泡，允许有少量黄色脂膜和少量乳清。不能出现气泡、霉斑或乳清析出严重、乳清分离等异常状态。</w:t>
      </w:r>
    </w:p>
    <w:p w14:paraId="00B8F98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2.3气味：有清香、纯正的酸奶味。不能有腐败味，霉变味、酒精发酵及其他不良气味。</w:t>
      </w:r>
    </w:p>
    <w:p w14:paraId="7EAA295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2.4味道：有纯正的酸牛奶味，酸甜适口。不能酸味过度、有苦味、涩味或其他不良滋味。</w:t>
      </w:r>
    </w:p>
    <w:p w14:paraId="022BFBB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5.水果要求</w:t>
      </w:r>
    </w:p>
    <w:p w14:paraId="5D825A2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（1）总体要求</w:t>
      </w:r>
    </w:p>
    <w:p w14:paraId="7ABCDC2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1.1色泽：具有该品种成熟果品应有的色泽及形态特征；颜色鲜艳、外型端正、细腻光滑、富有光泽的水果质量一般较好；</w:t>
      </w:r>
    </w:p>
    <w:p w14:paraId="04FED3F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1.2外形：果型端正，个头大小基本一致；果品表面清洁新鲜，无腐烂变质、病虫害和机械损伤等。</w:t>
      </w:r>
    </w:p>
    <w:p w14:paraId="230B7B7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1.3气味：多数成熟的果品有较浓郁的芳香；</w:t>
      </w:r>
    </w:p>
    <w:p w14:paraId="49A3FDC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1.4口感：具有较好的甜度和口感。</w:t>
      </w:r>
    </w:p>
    <w:p w14:paraId="048DEEE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（2）几种常见水果的质量标准</w:t>
      </w:r>
    </w:p>
    <w:p w14:paraId="074D086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苹果：色泽均匀而鲜艳，表面洁净光亮，红者艳如珊瑚、玛瑙，青者黄里透出微红；气味清香；肉质香甜鲜脆，美味可口。</w:t>
      </w:r>
    </w:p>
    <w:p w14:paraId="523C8DC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梨：果实新鲜饱满，果形端正，因各品种不同而呈青、黄、月白等颜色，成熟适度，肉质细，质地脆而鲜嫩，石细胞少，汁多，味甜或酸甜，无霉烂、冻伤、病灾害和机械伤。</w:t>
      </w:r>
    </w:p>
    <w:p w14:paraId="524459E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柑橘类：果形中等，呈圆形或呈长圆形，皮稍厚而光滑润泽，果心无实，核与种均呈白色，果肉汁多，瓤瓣界限不分明，味酸甜适口。</w:t>
      </w:r>
    </w:p>
    <w:p w14:paraId="3D0AB89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香蕉：体形大而均匀；色泽新鲜、光亮。果皮呈鲜黄或青黄色；果面光滑，无病斑，无虫疤，无霉菌，无创伤；果皮易剥离，果肉稍硬而不摊浆；果肉柔软糯滑，香甜适口，不涩口，无怪味，不软烂。</w:t>
      </w:r>
    </w:p>
    <w:p w14:paraId="14A6ADC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西瓜：基本端正，具有本品种的基本形状和特征；表面光亮清晰，条纹清晰。无机械伤，无病虫害和干疤；果肉结构松紧适度，呈均匀一致的鲜红色；有清香爽的滋味，无异味。</w:t>
      </w:r>
    </w:p>
    <w:p w14:paraId="4033305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葡萄：新鲜并且成熟适度的葡萄，果粒饱满，大小均匀，果粒牢固，落子较少，果浆多而浓，味甜。</w:t>
      </w:r>
    </w:p>
    <w:p w14:paraId="1654278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6.调味品要求</w:t>
      </w:r>
    </w:p>
    <w:p w14:paraId="4F868DE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（1）总体要求</w:t>
      </w:r>
    </w:p>
    <w:p w14:paraId="7B38EA1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产品外包装上明确标准产品名称、规格、生产日期、保质期、生产厂家、生产地点等。拥有“QS”食品质量安全认证，符合《食品安全法》的基本要求。</w:t>
      </w:r>
    </w:p>
    <w:p w14:paraId="489875D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（2）几种主要调味品的质量标准：</w:t>
      </w:r>
    </w:p>
    <w:p w14:paraId="6D1A579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酱油：氨基酸态氮含量要求每百毫升≥0.55；澄清，浓厚，稀稠适度，挂壁，无沉淀。</w:t>
      </w:r>
    </w:p>
    <w:p w14:paraId="7C5C267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醋： 颜色黑紫、过夏不霉、过冬不冻，气味甘甜异酸；食醋的总酸含量要≥3.5g/100ml；具有琥珀色或红棕色，有光泽者为佳品。体态澄清、浓度适当，无悬浮物、沉淀。</w:t>
      </w:r>
    </w:p>
    <w:p w14:paraId="0642248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味精：味精颗粒形状一致，色洁白有光泽，颗粒间呈散粒状态；味精溶液透明无色，无泡沫，无杂质。</w:t>
      </w:r>
    </w:p>
    <w:p w14:paraId="46AFFE7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鸡精：谷氨酸钠，g/100g≥35.0 氯化物g/100g≤40.0，呈味核苷酸二钠g/100g≥1.10，干燥失重g/100g≤3.0，总氮g/100g≥3.00，其他氮g/100g≥0.20。</w:t>
      </w:r>
    </w:p>
    <w:p w14:paraId="21B5B8F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豆瓣酱：色泽：红褐色、油润光亮；香气：无不良气味；滋味：鲜美、咸淡可口；体态：松散、质地柔软。</w:t>
      </w:r>
    </w:p>
    <w:p w14:paraId="02CCDFD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白砂糖：结晶体、质地均匀、甜味纯正；干燥松散、洁白、有光泽、无明显黑点。</w:t>
      </w:r>
    </w:p>
    <w:p w14:paraId="72CDA8A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料酒：酒精含量在15 度以下；由小米或糯米酿造而成。</w:t>
      </w:r>
    </w:p>
    <w:p w14:paraId="202E482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7.食用油要求</w:t>
      </w:r>
    </w:p>
    <w:p w14:paraId="536E70E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（1）须为一年内新油；</w:t>
      </w:r>
    </w:p>
    <w:p w14:paraId="471F925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大豆油符合GB/T1535—2017《大豆油》一级标准；符合食品安全国家标准：GB 2761-2017、GB 2762-2017、GB 2760-2014、GB 5009.271-2016；包装应符合GB/T 17374-2008 食用植物油销售包装、Q/7645776C-0.1-2017 食品包装瓶；</w:t>
      </w:r>
    </w:p>
    <w:p w14:paraId="23AFFDA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（2）菜籽油符合GB/T 1536—2004《菜籽油》一级标准；符合食品安全国家标准：GB 2761-2017、GB 2762-2017、GB 2760-2014、GB 5009.271-2016；包装应符合GB/T 17374-2008 食用植物油销售包装、Q/7645776C-0.1-2017 食品包装瓶。</w:t>
      </w:r>
    </w:p>
    <w:p w14:paraId="27BBCB6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8.大米要求</w:t>
      </w:r>
    </w:p>
    <w:p w14:paraId="7A6D5E8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（1）须为一年内新米；</w:t>
      </w:r>
    </w:p>
    <w:p w14:paraId="4922471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（2）须达到国家质量标准；GB1354-2009 三级以上（含三级）籼米，其中铬、镉、无机砷、黄曲霉毒素B1 等项目应符合相应的食品安全国家标准要求；</w:t>
      </w:r>
    </w:p>
    <w:p w14:paraId="46583AB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（3）包装要求：用纤维袋或塑料袋定量包装。包装上有生产许可证的编号，包装标识清楚，如印有重量、生产日期、保质期、生产厂家、电话等；</w:t>
      </w:r>
    </w:p>
    <w:p w14:paraId="369D9C5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（4）大米色泽呈透明玉色状，“米眼睛”（胚芽部）的颜色呈乳白色，有自然清香味，脂肪酸值[（mg/100g)≤30]符合GB/T20569-2006《稻谷储存品质判定规则》；</w:t>
      </w:r>
    </w:p>
    <w:p w14:paraId="2431243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（5）需提供生产加工方国家认可的质量检测部门出具的检测报告（GB 1354-2009），每季度提供生产加工方所在地质量检测部门的检测报告。。</w:t>
      </w:r>
    </w:p>
    <w:p w14:paraId="5A42EFB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六、配送及加货处理</w:t>
      </w:r>
    </w:p>
    <w:p w14:paraId="7957BE9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乙方须严格按照甲方每天制定的采购清单进行配送，如有缺货须在收到采购单2个小时内通知甲方。极个别产品因质量太差或没有货源时，乙方须及时反馈到甲方并协商调整，保证所需货物准时到达。对于甲方临时有客餐任务或临时增加员工用餐时，乙方须在接到甲方口头或书面通知后2小时内将货物送到甲方的指定地点，并派专人负责跟踪服务，保证用餐正常。</w:t>
      </w:r>
    </w:p>
    <w:p w14:paraId="475EE20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七、配送运输要求</w:t>
      </w:r>
    </w:p>
    <w:p w14:paraId="1493522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1、配送运输车辆须保证产品在运输过程符合产品保鲜冷藏要求。  </w:t>
      </w:r>
    </w:p>
    <w:p w14:paraId="2775786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2、各种肉制品必须使用专门的器皿盛装，不同产品做好隔离，防止交叉污染。</w:t>
      </w:r>
    </w:p>
    <w:p w14:paraId="1A90C92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bCs/>
          <w:sz w:val="21"/>
          <w:szCs w:val="21"/>
        </w:rPr>
      </w:pPr>
      <w:r>
        <w:rPr>
          <w:rFonts w:hint="eastAsia" w:ascii="宋体" w:hAnsi="宋体" w:eastAsia="宋体" w:cs="宋体"/>
          <w:b/>
          <w:bCs/>
          <w:sz w:val="21"/>
          <w:szCs w:val="21"/>
        </w:rPr>
        <w:t>八、结算</w:t>
      </w:r>
    </w:p>
    <w:p w14:paraId="41C971C0">
      <w:pPr>
        <w:pStyle w:val="18"/>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color w:val="auto"/>
          <w:sz w:val="21"/>
          <w:szCs w:val="21"/>
          <w:highlight w:val="none"/>
        </w:rPr>
      </w:pPr>
      <w:r>
        <w:rPr>
          <w:rFonts w:hint="eastAsia" w:ascii="宋体" w:hAnsi="宋体" w:eastAsia="宋体" w:cs="宋体"/>
          <w:sz w:val="21"/>
          <w:szCs w:val="21"/>
        </w:rPr>
        <w:t>1、</w:t>
      </w:r>
      <w:r>
        <w:rPr>
          <w:rFonts w:hint="eastAsia" w:ascii="宋体" w:hAnsi="宋体" w:eastAsia="宋体" w:cs="宋体"/>
          <w:b w:val="0"/>
          <w:bCs w:val="0"/>
          <w:sz w:val="21"/>
          <w:szCs w:val="21"/>
        </w:rPr>
        <w:t>乙方结算货款时，应由甲方财务人员严格审核送货清单，按双方事先确定的执行价格（即当期价格表上的价格含折扣率）予以结算</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highlight w:val="none"/>
          <w:lang w:eastAsia="zh-CN"/>
        </w:rPr>
        <w:t>甲方</w:t>
      </w:r>
      <w:r>
        <w:rPr>
          <w:rFonts w:hint="eastAsia" w:ascii="宋体" w:hAnsi="宋体" w:eastAsia="宋体" w:cs="宋体"/>
          <w:b w:val="0"/>
          <w:bCs w:val="0"/>
          <w:sz w:val="21"/>
          <w:szCs w:val="21"/>
          <w:highlight w:val="none"/>
        </w:rPr>
        <w:t>凭采购合同、发票按需结算款项</w:t>
      </w:r>
      <w:r>
        <w:rPr>
          <w:rFonts w:hint="eastAsia" w:ascii="宋体" w:hAnsi="宋体" w:eastAsia="宋体" w:cs="宋体"/>
          <w:b w:val="0"/>
          <w:bCs w:val="0"/>
          <w:sz w:val="21"/>
          <w:szCs w:val="21"/>
          <w:highlight w:val="none"/>
          <w:lang w:eastAsia="zh-CN"/>
        </w:rPr>
        <w:t>，</w:t>
      </w:r>
      <w:r>
        <w:rPr>
          <w:rFonts w:hint="eastAsia" w:ascii="宋体" w:hAnsi="宋体" w:eastAsia="宋体" w:cs="宋体"/>
          <w:b w:val="0"/>
          <w:bCs w:val="0"/>
          <w:sz w:val="21"/>
          <w:szCs w:val="21"/>
        </w:rPr>
        <w:t>乙方在向甲方提供国家正式税务发票后，甲方以转账方式将货款转入乙方帐户。</w:t>
      </w:r>
      <w:r>
        <w:rPr>
          <w:rFonts w:hint="eastAsia" w:ascii="宋体" w:hAnsi="宋体" w:eastAsia="宋体" w:cs="宋体"/>
          <w:b w:val="0"/>
          <w:bCs w:val="0"/>
          <w:color w:val="auto"/>
          <w:sz w:val="21"/>
          <w:szCs w:val="21"/>
          <w:highlight w:val="none"/>
        </w:rPr>
        <w:t>合同期内总费用控制在本项目</w:t>
      </w:r>
      <w:r>
        <w:rPr>
          <w:rFonts w:hint="eastAsia" w:ascii="宋体" w:hAnsi="宋体" w:eastAsia="宋体" w:cs="宋体"/>
          <w:b w:val="0"/>
          <w:bCs w:val="0"/>
          <w:color w:val="auto"/>
          <w:sz w:val="21"/>
          <w:szCs w:val="21"/>
          <w:highlight w:val="none"/>
          <w:lang w:eastAsia="zh-CN"/>
        </w:rPr>
        <w:t>中标</w:t>
      </w:r>
      <w:r>
        <w:rPr>
          <w:rFonts w:hint="eastAsia" w:ascii="宋体" w:hAnsi="宋体" w:eastAsia="宋体" w:cs="宋体"/>
          <w:b w:val="0"/>
          <w:bCs w:val="0"/>
          <w:color w:val="auto"/>
          <w:sz w:val="21"/>
          <w:szCs w:val="21"/>
          <w:highlight w:val="none"/>
        </w:rPr>
        <w:t>金额以内。总费用超出本项目</w:t>
      </w:r>
      <w:r>
        <w:rPr>
          <w:rFonts w:hint="eastAsia" w:ascii="宋体" w:hAnsi="宋体" w:eastAsia="宋体" w:cs="宋体"/>
          <w:b w:val="0"/>
          <w:bCs w:val="0"/>
          <w:color w:val="auto"/>
          <w:sz w:val="21"/>
          <w:szCs w:val="21"/>
          <w:highlight w:val="none"/>
          <w:lang w:eastAsia="zh-CN"/>
        </w:rPr>
        <w:t>中标</w:t>
      </w:r>
      <w:r>
        <w:rPr>
          <w:rFonts w:hint="eastAsia" w:ascii="宋体" w:hAnsi="宋体" w:eastAsia="宋体" w:cs="宋体"/>
          <w:b w:val="0"/>
          <w:bCs w:val="0"/>
          <w:color w:val="auto"/>
          <w:sz w:val="21"/>
          <w:szCs w:val="21"/>
          <w:highlight w:val="none"/>
        </w:rPr>
        <w:t>金额部分，</w:t>
      </w:r>
      <w:r>
        <w:rPr>
          <w:rFonts w:hint="eastAsia" w:ascii="宋体" w:hAnsi="宋体" w:eastAsia="宋体" w:cs="宋体"/>
          <w:b w:val="0"/>
          <w:bCs w:val="0"/>
          <w:color w:val="auto"/>
          <w:sz w:val="21"/>
          <w:szCs w:val="21"/>
          <w:highlight w:val="none"/>
          <w:lang w:val="en-US" w:eastAsia="zh-CN"/>
        </w:rPr>
        <w:t>或</w:t>
      </w:r>
      <w:r>
        <w:rPr>
          <w:rFonts w:hint="eastAsia" w:ascii="宋体" w:hAnsi="宋体" w:eastAsia="宋体" w:cs="宋体"/>
          <w:b w:val="0"/>
          <w:bCs w:val="0"/>
          <w:color w:val="auto"/>
          <w:sz w:val="21"/>
          <w:szCs w:val="21"/>
          <w:highlight w:val="none"/>
        </w:rPr>
        <w:t>配送本项目服务内容规定范围之外的产品或服务（与食材配送无关的产品或服务）的，甲方有权拒绝支付且不承担任何责任。</w:t>
      </w:r>
    </w:p>
    <w:p w14:paraId="6B72D10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2、由于甲方为政府机关，经费使用受到财政审批手续限制，因财政审批手续造成甲方未能按约定时间支付合同费用的，不视为甲方违约。</w:t>
      </w:r>
    </w:p>
    <w:p w14:paraId="512FFC4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九、项目监督管理</w:t>
      </w:r>
    </w:p>
    <w:p w14:paraId="704DE0E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本合同履约考核管理按照《</w:t>
      </w:r>
      <w:r>
        <w:rPr>
          <w:rFonts w:hint="eastAsia" w:ascii="宋体" w:hAnsi="宋体" w:cs="宋体"/>
          <w:b w:val="0"/>
          <w:bCs w:val="0"/>
          <w:sz w:val="21"/>
          <w:szCs w:val="21"/>
          <w:lang w:val="en-US" w:eastAsia="zh-CN"/>
        </w:rPr>
        <w:t>深圳市公安局龙华分局民治等5个派出所食堂物资配送</w:t>
      </w:r>
      <w:r>
        <w:rPr>
          <w:rFonts w:hint="eastAsia" w:ascii="宋体" w:hAnsi="宋体" w:eastAsia="宋体" w:cs="宋体"/>
          <w:b w:val="0"/>
          <w:bCs w:val="0"/>
          <w:sz w:val="21"/>
          <w:szCs w:val="21"/>
          <w:lang w:val="en-US" w:eastAsia="zh-CN"/>
        </w:rPr>
        <w:t>供应商考核管理办法》执行。</w:t>
      </w:r>
    </w:p>
    <w:p w14:paraId="61BC4D7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使用单位将每月根据</w:t>
      </w: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的服务情况进行综合考核，主要考察</w:t>
      </w: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的货物质量、价格、服务、信誉等方面。由所服务食堂单位填写《服务供应商月度考核评价表》，于次月</w:t>
      </w:r>
      <w:r>
        <w:rPr>
          <w:rFonts w:hint="eastAsia" w:ascii="宋体" w:hAnsi="宋体" w:eastAsia="宋体" w:cs="宋体"/>
          <w:b w:val="0"/>
          <w:bCs w:val="0"/>
          <w:sz w:val="21"/>
          <w:szCs w:val="21"/>
          <w:lang w:val="en-US" w:eastAsia="zh-CN"/>
        </w:rPr>
        <w:t>5</w:t>
      </w:r>
      <w:r>
        <w:rPr>
          <w:rFonts w:hint="eastAsia" w:ascii="宋体" w:hAnsi="宋体" w:eastAsia="宋体" w:cs="宋体"/>
          <w:b w:val="0"/>
          <w:bCs w:val="0"/>
          <w:sz w:val="21"/>
          <w:szCs w:val="21"/>
        </w:rPr>
        <w:t>日前报至</w:t>
      </w:r>
      <w:r>
        <w:rPr>
          <w:rFonts w:hint="eastAsia" w:ascii="宋体" w:hAnsi="宋体" w:eastAsia="宋体" w:cs="宋体"/>
          <w:b w:val="0"/>
          <w:bCs w:val="0"/>
          <w:sz w:val="21"/>
          <w:szCs w:val="21"/>
          <w:lang w:eastAsia="zh-CN"/>
        </w:rPr>
        <w:t>甲方</w:t>
      </w:r>
      <w:r>
        <w:rPr>
          <w:rFonts w:hint="eastAsia" w:ascii="宋体" w:hAnsi="宋体" w:eastAsia="宋体" w:cs="宋体"/>
          <w:b w:val="0"/>
          <w:bCs w:val="0"/>
          <w:sz w:val="21"/>
          <w:szCs w:val="21"/>
        </w:rPr>
        <w:t>主管部门。</w:t>
      </w:r>
    </w:p>
    <w:p w14:paraId="393855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供应商月度考核表得分与月度实际支付金额挂钩：</w:t>
      </w:r>
    </w:p>
    <w:p w14:paraId="1E741CE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供应商月度考核表得分于85（含85）-90分区间的，对应扣除每月实付金额的2%</w:t>
      </w:r>
      <w:r>
        <w:rPr>
          <w:rFonts w:hint="eastAsia" w:ascii="宋体" w:hAnsi="宋体" w:eastAsia="宋体" w:cs="宋体"/>
          <w:sz w:val="21"/>
          <w:szCs w:val="21"/>
          <w:highlight w:val="none"/>
          <w:lang w:eastAsia="zh-CN"/>
        </w:rPr>
        <w:t>；</w:t>
      </w:r>
    </w:p>
    <w:p w14:paraId="101E330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供应商月度考核表得分于80（含80）-85分区间的，对应扣除每月实付金额的5%</w:t>
      </w:r>
      <w:r>
        <w:rPr>
          <w:rFonts w:hint="eastAsia" w:ascii="宋体" w:hAnsi="宋体" w:eastAsia="宋体" w:cs="宋体"/>
          <w:sz w:val="21"/>
          <w:szCs w:val="21"/>
          <w:highlight w:val="none"/>
          <w:lang w:eastAsia="zh-CN"/>
        </w:rPr>
        <w:t>；</w:t>
      </w:r>
    </w:p>
    <w:p w14:paraId="74122D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供应商月度考核表低于80分的，月度支付金额一律按实际支付额的80%结算，采购方有权决定与该供应商解除合同，配送服务由</w:t>
      </w:r>
      <w:r>
        <w:rPr>
          <w:rFonts w:hint="eastAsia" w:ascii="宋体" w:hAnsi="宋体" w:cs="宋体"/>
          <w:sz w:val="21"/>
          <w:szCs w:val="21"/>
          <w:highlight w:val="none"/>
          <w:lang w:eastAsia="zh-CN"/>
        </w:rPr>
        <w:t>应急替补供应商临时</w:t>
      </w:r>
      <w:r>
        <w:rPr>
          <w:rFonts w:hint="eastAsia" w:ascii="宋体" w:hAnsi="宋体" w:eastAsia="宋体" w:cs="宋体"/>
          <w:sz w:val="21"/>
          <w:szCs w:val="21"/>
          <w:highlight w:val="none"/>
        </w:rPr>
        <w:t>接替</w:t>
      </w:r>
      <w:r>
        <w:rPr>
          <w:rFonts w:hint="eastAsia" w:ascii="宋体" w:hAnsi="宋体" w:eastAsia="宋体" w:cs="宋体"/>
          <w:sz w:val="21"/>
          <w:szCs w:val="21"/>
          <w:highlight w:val="none"/>
          <w:lang w:eastAsia="zh-CN"/>
        </w:rPr>
        <w:t>；</w:t>
      </w:r>
    </w:p>
    <w:p w14:paraId="0559F5A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b w:val="0"/>
          <w:bCs w:val="0"/>
          <w:sz w:val="21"/>
          <w:szCs w:val="21"/>
          <w:highlight w:val="none"/>
          <w:lang w:val="en-US" w:eastAsia="zh-CN"/>
        </w:rPr>
        <w:t>4、</w:t>
      </w:r>
      <w:r>
        <w:rPr>
          <w:rFonts w:hint="eastAsia" w:ascii="宋体" w:hAnsi="宋体" w:eastAsia="宋体" w:cs="宋体"/>
          <w:sz w:val="21"/>
          <w:szCs w:val="21"/>
          <w:highlight w:val="none"/>
        </w:rPr>
        <w:t>供应商月度考核表</w:t>
      </w:r>
      <w:r>
        <w:rPr>
          <w:rFonts w:hint="eastAsia" w:ascii="宋体" w:hAnsi="宋体" w:eastAsia="宋体" w:cs="宋体"/>
          <w:b w:val="0"/>
          <w:bCs w:val="0"/>
          <w:sz w:val="21"/>
          <w:szCs w:val="21"/>
          <w:highlight w:val="none"/>
        </w:rPr>
        <w:t>连续三个月</w:t>
      </w:r>
      <w:r>
        <w:rPr>
          <w:rFonts w:hint="eastAsia" w:ascii="宋体" w:hAnsi="宋体" w:eastAsia="宋体" w:cs="宋体"/>
          <w:b w:val="0"/>
          <w:bCs w:val="0"/>
          <w:sz w:val="21"/>
          <w:szCs w:val="21"/>
          <w:highlight w:val="none"/>
          <w:lang w:val="en-US" w:eastAsia="zh-CN"/>
        </w:rPr>
        <w:t>得分低于85（不含85）分的</w:t>
      </w:r>
      <w:r>
        <w:rPr>
          <w:rFonts w:hint="eastAsia" w:ascii="宋体" w:hAnsi="宋体" w:eastAsia="宋体" w:cs="宋体"/>
          <w:b w:val="0"/>
          <w:bCs w:val="0"/>
          <w:sz w:val="21"/>
          <w:szCs w:val="21"/>
          <w:highlight w:val="none"/>
        </w:rPr>
        <w:t>，</w:t>
      </w:r>
      <w:r>
        <w:rPr>
          <w:rFonts w:hint="eastAsia" w:ascii="宋体" w:hAnsi="宋体" w:eastAsia="宋体" w:cs="宋体"/>
          <w:sz w:val="21"/>
          <w:szCs w:val="21"/>
          <w:highlight w:val="none"/>
        </w:rPr>
        <w:t>采购方有权决定与该供应商解除合同，配送服务由</w:t>
      </w:r>
      <w:r>
        <w:rPr>
          <w:rFonts w:hint="eastAsia" w:ascii="宋体" w:hAnsi="宋体" w:cs="宋体"/>
          <w:sz w:val="21"/>
          <w:szCs w:val="21"/>
          <w:highlight w:val="none"/>
          <w:lang w:eastAsia="zh-CN"/>
        </w:rPr>
        <w:t>应急替补供应商临时</w:t>
      </w:r>
      <w:r>
        <w:rPr>
          <w:rFonts w:hint="eastAsia" w:ascii="宋体" w:hAnsi="宋体" w:eastAsia="宋体" w:cs="宋体"/>
          <w:sz w:val="21"/>
          <w:szCs w:val="21"/>
          <w:highlight w:val="none"/>
        </w:rPr>
        <w:t>接替。</w:t>
      </w:r>
    </w:p>
    <w:p w14:paraId="0863DD2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lang w:val="en-US" w:eastAsia="zh-CN"/>
        </w:rPr>
        <w:t>十、</w:t>
      </w:r>
      <w:r>
        <w:rPr>
          <w:rFonts w:hint="eastAsia" w:ascii="宋体" w:hAnsi="宋体" w:eastAsia="宋体" w:cs="宋体"/>
          <w:b/>
          <w:sz w:val="21"/>
          <w:szCs w:val="21"/>
        </w:rPr>
        <w:t>违约责任</w:t>
      </w:r>
    </w:p>
    <w:p w14:paraId="417F397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在合同执行期间有下列行为之一的，</w:t>
      </w:r>
      <w:r>
        <w:rPr>
          <w:rFonts w:hint="eastAsia" w:ascii="宋体" w:hAnsi="宋体" w:eastAsia="宋体" w:cs="宋体"/>
          <w:b w:val="0"/>
          <w:bCs w:val="0"/>
          <w:sz w:val="21"/>
          <w:szCs w:val="21"/>
          <w:lang w:eastAsia="zh-CN"/>
        </w:rPr>
        <w:t>甲方</w:t>
      </w:r>
      <w:r>
        <w:rPr>
          <w:rFonts w:hint="eastAsia" w:ascii="宋体" w:hAnsi="宋体" w:eastAsia="宋体" w:cs="宋体"/>
          <w:b w:val="0"/>
          <w:bCs w:val="0"/>
          <w:sz w:val="21"/>
          <w:szCs w:val="21"/>
        </w:rPr>
        <w:t>有权依法解除供货服务合同：</w:t>
      </w:r>
    </w:p>
    <w:p w14:paraId="370143D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1、弄虚作假、隐瞒真实情况骗取</w:t>
      </w:r>
      <w:r>
        <w:rPr>
          <w:rFonts w:hint="eastAsia" w:ascii="宋体" w:hAnsi="宋体" w:eastAsia="宋体" w:cs="宋体"/>
          <w:b w:val="0"/>
          <w:bCs w:val="0"/>
          <w:sz w:val="21"/>
          <w:szCs w:val="21"/>
          <w:lang w:eastAsia="zh-CN"/>
        </w:rPr>
        <w:t>乙方</w:t>
      </w:r>
      <w:r>
        <w:rPr>
          <w:rFonts w:hint="eastAsia" w:ascii="宋体" w:hAnsi="宋体" w:eastAsia="宋体" w:cs="宋体"/>
          <w:b w:val="0"/>
          <w:bCs w:val="0"/>
          <w:sz w:val="21"/>
          <w:szCs w:val="21"/>
        </w:rPr>
        <w:t>资格的；</w:t>
      </w:r>
    </w:p>
    <w:p w14:paraId="3D02B6A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2、因行贿、受贿、串通投标、转包、挂靠受到有关政府部门处罚的；</w:t>
      </w:r>
    </w:p>
    <w:p w14:paraId="20159A3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、造成严重后果或恶劣影响的行为；</w:t>
      </w:r>
    </w:p>
    <w:p w14:paraId="4DE00F0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rPr>
        <w:t>、有商业贿赂行为的；</w:t>
      </w:r>
    </w:p>
    <w:p w14:paraId="14DA982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5</w:t>
      </w:r>
      <w:r>
        <w:rPr>
          <w:rFonts w:hint="eastAsia" w:ascii="宋体" w:hAnsi="宋体" w:eastAsia="宋体" w:cs="宋体"/>
          <w:b w:val="0"/>
          <w:bCs w:val="0"/>
          <w:sz w:val="21"/>
          <w:szCs w:val="21"/>
        </w:rPr>
        <w:t>、全国范围内发生配送食品安全事故的；</w:t>
      </w:r>
    </w:p>
    <w:p w14:paraId="78C66D6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6</w:t>
      </w:r>
      <w:r>
        <w:rPr>
          <w:rFonts w:hint="eastAsia" w:ascii="宋体" w:hAnsi="宋体" w:eastAsia="宋体" w:cs="宋体"/>
          <w:b w:val="0"/>
          <w:bCs w:val="0"/>
          <w:sz w:val="21"/>
          <w:szCs w:val="21"/>
        </w:rPr>
        <w:t>、其他违反法律、法规和协议规定的行为。</w:t>
      </w:r>
    </w:p>
    <w:p w14:paraId="10388B0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7</w:t>
      </w:r>
      <w:r>
        <w:rPr>
          <w:rFonts w:hint="eastAsia" w:ascii="宋体" w:hAnsi="宋体" w:eastAsia="宋体" w:cs="宋体"/>
          <w:b w:val="0"/>
          <w:bCs w:val="0"/>
          <w:sz w:val="21"/>
          <w:szCs w:val="21"/>
        </w:rPr>
        <w:t>、选定后无正当理由不与</w:t>
      </w:r>
      <w:r>
        <w:rPr>
          <w:rFonts w:hint="eastAsia" w:ascii="宋体" w:hAnsi="宋体" w:eastAsia="宋体" w:cs="宋体"/>
          <w:b w:val="0"/>
          <w:bCs w:val="0"/>
          <w:sz w:val="21"/>
          <w:szCs w:val="21"/>
          <w:lang w:eastAsia="zh-CN"/>
        </w:rPr>
        <w:t>甲方</w:t>
      </w:r>
      <w:r>
        <w:rPr>
          <w:rFonts w:hint="eastAsia" w:ascii="宋体" w:hAnsi="宋体" w:eastAsia="宋体" w:cs="宋体"/>
          <w:b w:val="0"/>
          <w:bCs w:val="0"/>
          <w:sz w:val="21"/>
          <w:szCs w:val="21"/>
        </w:rPr>
        <w:t>签订合同的；</w:t>
      </w:r>
    </w:p>
    <w:p w14:paraId="7C8642D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8</w:t>
      </w:r>
      <w:r>
        <w:rPr>
          <w:rFonts w:hint="eastAsia" w:ascii="宋体" w:hAnsi="宋体" w:eastAsia="宋体" w:cs="宋体"/>
          <w:b w:val="0"/>
          <w:bCs w:val="0"/>
          <w:sz w:val="21"/>
          <w:szCs w:val="21"/>
        </w:rPr>
        <w:t>、擅自变更或者中止采购服务合同的；</w:t>
      </w:r>
    </w:p>
    <w:p w14:paraId="0C2213D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9</w:t>
      </w:r>
      <w:r>
        <w:rPr>
          <w:rFonts w:hint="eastAsia" w:ascii="宋体" w:hAnsi="宋体" w:eastAsia="宋体" w:cs="宋体"/>
          <w:b w:val="0"/>
          <w:bCs w:val="0"/>
          <w:sz w:val="21"/>
          <w:szCs w:val="21"/>
        </w:rPr>
        <w:t>、经</w:t>
      </w:r>
      <w:r>
        <w:rPr>
          <w:rFonts w:hint="eastAsia" w:ascii="宋体" w:hAnsi="宋体" w:eastAsia="宋体" w:cs="宋体"/>
          <w:b w:val="0"/>
          <w:bCs w:val="0"/>
          <w:sz w:val="21"/>
          <w:szCs w:val="21"/>
          <w:lang w:eastAsia="zh-CN"/>
        </w:rPr>
        <w:t>甲方</w:t>
      </w:r>
      <w:r>
        <w:rPr>
          <w:rFonts w:hint="eastAsia" w:ascii="宋体" w:hAnsi="宋体" w:eastAsia="宋体" w:cs="宋体"/>
          <w:b w:val="0"/>
          <w:bCs w:val="0"/>
          <w:sz w:val="21"/>
          <w:szCs w:val="21"/>
        </w:rPr>
        <w:t>食堂所在单位每月对《服务供应商月度考核评价表》进行打分，得分低于80</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不含80</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分</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或连续三个月得分低于85（不含85）分的</w:t>
      </w:r>
      <w:r>
        <w:rPr>
          <w:rFonts w:hint="eastAsia" w:ascii="宋体" w:hAnsi="宋体" w:eastAsia="宋体" w:cs="宋体"/>
          <w:b w:val="0"/>
          <w:bCs w:val="0"/>
          <w:sz w:val="21"/>
          <w:szCs w:val="21"/>
        </w:rPr>
        <w:t>；</w:t>
      </w:r>
    </w:p>
    <w:p w14:paraId="570D50B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10</w:t>
      </w:r>
      <w:r>
        <w:rPr>
          <w:rFonts w:hint="eastAsia" w:ascii="宋体" w:hAnsi="宋体" w:eastAsia="宋体" w:cs="宋体"/>
          <w:b w:val="0"/>
          <w:bCs w:val="0"/>
          <w:sz w:val="21"/>
          <w:szCs w:val="21"/>
        </w:rPr>
        <w:t>、违背《服务承诺函》承诺事项的。</w:t>
      </w:r>
    </w:p>
    <w:p w14:paraId="4F6BA10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十</w:t>
      </w:r>
      <w:r>
        <w:rPr>
          <w:rFonts w:hint="eastAsia" w:ascii="宋体" w:hAnsi="宋体" w:eastAsia="宋体" w:cs="宋体"/>
          <w:b/>
          <w:sz w:val="21"/>
          <w:szCs w:val="21"/>
          <w:lang w:val="en-US" w:eastAsia="zh-CN"/>
        </w:rPr>
        <w:t>一</w:t>
      </w:r>
      <w:r>
        <w:rPr>
          <w:rFonts w:hint="eastAsia" w:ascii="宋体" w:hAnsi="宋体" w:eastAsia="宋体" w:cs="宋体"/>
          <w:b/>
          <w:sz w:val="21"/>
          <w:szCs w:val="21"/>
        </w:rPr>
        <w:t>、其他</w:t>
      </w:r>
    </w:p>
    <w:p w14:paraId="2645EAE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1、若乙方所提供的货品虽经甲方初步验收入库后，但在使用过程中发现有质量问题的，乙方必须及时给予退换货品。</w:t>
      </w:r>
    </w:p>
    <w:p w14:paraId="3D87644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乙方应该按照甲方的要求，建立完整的各类物品追踪溯源体系，应当建立专门台账，按深圳市《食品进货索证和台账登记本》模板，按格式如实记录配送给甲方的各类物品，留存相关检验合格证明、资质证明、营业执照等有效资料，并可追踪溯源，甲方有权定期检查。</w:t>
      </w:r>
    </w:p>
    <w:p w14:paraId="2C91F4A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4、乙方须按甲方要求提供各类货物清晰准确的原产地以及检测检疫报告。</w:t>
      </w:r>
    </w:p>
    <w:p w14:paraId="6C98A11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3、乙方按要求送达的食品（包括肉类、海河鲜类、蔬菜类、粮食类、食用油、其他食用品），须配合甲方食品安全检测人员对所送物品进行检测。按国家有关标准，若检测不合格，甲方予以书面警告，对该批货物予以退货或当场销毁，同时乙方需及时补货，甲方不需支付该批货物的货款；</w:t>
      </w:r>
    </w:p>
    <w:p w14:paraId="2E52F80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5、甲方伙食单位食堂采购额度超过1</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万元/月，乙方每日应派出不少于1人协助甲方进行物资粗加工；采购额度超过</w:t>
      </w:r>
      <w:r>
        <w:rPr>
          <w:rFonts w:hint="eastAsia" w:ascii="宋体" w:hAnsi="宋体" w:eastAsia="宋体" w:cs="宋体"/>
          <w:sz w:val="21"/>
          <w:szCs w:val="21"/>
          <w:highlight w:val="none"/>
          <w:lang w:val="en-US" w:eastAsia="zh-CN"/>
        </w:rPr>
        <w:t>30</w:t>
      </w:r>
      <w:r>
        <w:rPr>
          <w:rFonts w:hint="eastAsia" w:ascii="宋体" w:hAnsi="宋体" w:eastAsia="宋体" w:cs="宋体"/>
          <w:sz w:val="21"/>
          <w:szCs w:val="21"/>
          <w:highlight w:val="none"/>
        </w:rPr>
        <w:t>万元/月，乙方应派出至少2人协助甲方进行物资粗加工和整理货品，以此类推，逐级递增。</w:t>
      </w:r>
    </w:p>
    <w:p w14:paraId="0E8C9EB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6、乙方承诺当甲方有临时增加送货的需求时，在接到通知后应派专人负责将甲方所需货物两小时内送达甲方指定地点，并派专人跟踪服务，保障甲方的需求。</w:t>
      </w:r>
    </w:p>
    <w:p w14:paraId="3558147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7、乙方必须确保运输车辆和周转包装容器的清洁卫生，运输车辆应当保持清洁，无霉斑、鼠迹、苍蝇、蟑螂等，不得存放有毒、有害物品及个人生活用品，防止食物在运输过程中受到污染。</w:t>
      </w:r>
    </w:p>
    <w:p w14:paraId="28E6370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8、乙方因配送运输中和在甲方场所进行</w:t>
      </w:r>
      <w:r>
        <w:rPr>
          <w:rFonts w:hint="eastAsia" w:ascii="宋体" w:hAnsi="宋体" w:eastAsia="宋体" w:cs="宋体"/>
          <w:sz w:val="21"/>
          <w:szCs w:val="21"/>
          <w:lang w:val="en-US" w:eastAsia="zh-CN"/>
        </w:rPr>
        <w:t>粗</w:t>
      </w:r>
      <w:r>
        <w:rPr>
          <w:rFonts w:hint="eastAsia" w:ascii="宋体" w:hAnsi="宋体" w:eastAsia="宋体" w:cs="宋体"/>
          <w:sz w:val="21"/>
          <w:szCs w:val="21"/>
        </w:rPr>
        <w:t>加工作业等出现人身安全事故，乙方独立承担一切刑事、民事等法律责任，与甲方无关。</w:t>
      </w:r>
    </w:p>
    <w:p w14:paraId="5F3321D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9、乙方须保证所有员工凭健康证上岗，同时应成立食堂配送项目专项服务小组，并报甲方备案，负责相关工作及提供各种服务。</w:t>
      </w:r>
    </w:p>
    <w:p w14:paraId="2AB0EBA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十</w:t>
      </w:r>
      <w:r>
        <w:rPr>
          <w:rFonts w:hint="eastAsia" w:ascii="宋体" w:hAnsi="宋体" w:eastAsia="宋体" w:cs="宋体"/>
          <w:b/>
          <w:sz w:val="21"/>
          <w:szCs w:val="21"/>
          <w:lang w:val="en-US" w:eastAsia="zh-CN"/>
        </w:rPr>
        <w:t>二</w:t>
      </w:r>
      <w:r>
        <w:rPr>
          <w:rFonts w:hint="eastAsia" w:ascii="宋体" w:hAnsi="宋体" w:eastAsia="宋体" w:cs="宋体"/>
          <w:b/>
          <w:sz w:val="21"/>
          <w:szCs w:val="21"/>
        </w:rPr>
        <w:t>、合同期限</w:t>
      </w:r>
    </w:p>
    <w:p w14:paraId="08B15A0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本合同</w:t>
      </w:r>
      <w:r>
        <w:rPr>
          <w:rFonts w:hint="eastAsia" w:ascii="宋体" w:hAnsi="宋体" w:eastAsia="宋体" w:cs="宋体"/>
          <w:color w:val="auto"/>
          <w:sz w:val="21"/>
          <w:szCs w:val="21"/>
          <w:u w:val="single"/>
        </w:rPr>
        <w:t>自20XX年X月X日至20XX年X月XX日止</w:t>
      </w:r>
      <w:r>
        <w:rPr>
          <w:rFonts w:hint="eastAsia" w:ascii="宋体" w:hAnsi="宋体" w:eastAsia="宋体" w:cs="宋体"/>
          <w:color w:val="auto"/>
          <w:sz w:val="21"/>
          <w:szCs w:val="21"/>
        </w:rPr>
        <w:t>，</w:t>
      </w:r>
      <w:r>
        <w:rPr>
          <w:rFonts w:hint="eastAsia" w:ascii="宋体" w:hAnsi="宋体" w:eastAsia="宋体" w:cs="宋体"/>
          <w:sz w:val="21"/>
          <w:szCs w:val="21"/>
        </w:rPr>
        <w:t>在合同到期甲乙双方结清所有款项后双方权利义务终止。</w:t>
      </w:r>
    </w:p>
    <w:p w14:paraId="5EFD7777">
      <w:pPr>
        <w:pStyle w:val="18"/>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十</w:t>
      </w:r>
      <w:r>
        <w:rPr>
          <w:rFonts w:hint="eastAsia" w:ascii="宋体" w:hAnsi="宋体" w:eastAsia="宋体" w:cs="宋体"/>
          <w:sz w:val="21"/>
          <w:szCs w:val="21"/>
          <w:lang w:val="en-US" w:eastAsia="zh-CN"/>
        </w:rPr>
        <w:t>三</w:t>
      </w:r>
      <w:r>
        <w:rPr>
          <w:rFonts w:hint="eastAsia" w:ascii="宋体" w:hAnsi="宋体" w:eastAsia="宋体" w:cs="宋体"/>
          <w:sz w:val="21"/>
          <w:szCs w:val="21"/>
        </w:rPr>
        <w:t>、争议处理</w:t>
      </w:r>
    </w:p>
    <w:p w14:paraId="25A5998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本合同未尽事宜，双方本着友好合作原则协商解决。对本合同履行过程中出现争议时，由甲乙双方协商解决；协商无效时，双方须向甲方所在地法院提起诉讼。</w:t>
      </w:r>
    </w:p>
    <w:p w14:paraId="381A6F9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sz w:val="21"/>
          <w:szCs w:val="21"/>
        </w:rPr>
      </w:pPr>
      <w:r>
        <w:rPr>
          <w:rFonts w:hint="eastAsia" w:ascii="宋体" w:hAnsi="宋体" w:eastAsia="宋体" w:cs="宋体"/>
          <w:b/>
          <w:sz w:val="21"/>
          <w:szCs w:val="21"/>
        </w:rPr>
        <w:t>十</w:t>
      </w:r>
      <w:r>
        <w:rPr>
          <w:rFonts w:hint="eastAsia" w:ascii="宋体" w:hAnsi="宋体" w:eastAsia="宋体" w:cs="宋体"/>
          <w:b/>
          <w:sz w:val="21"/>
          <w:szCs w:val="21"/>
          <w:lang w:val="en-US" w:eastAsia="zh-CN"/>
        </w:rPr>
        <w:t>四</w:t>
      </w:r>
      <w:r>
        <w:rPr>
          <w:rFonts w:hint="eastAsia" w:ascii="宋体" w:hAnsi="宋体" w:eastAsia="宋体" w:cs="宋体"/>
          <w:b/>
          <w:sz w:val="21"/>
          <w:szCs w:val="21"/>
        </w:rPr>
        <w:t>、合同生效及其他</w:t>
      </w:r>
    </w:p>
    <w:p w14:paraId="49FBDE3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1、下列件均为合同的组成部分：</w:t>
      </w:r>
    </w:p>
    <w:p w14:paraId="647027A2">
      <w:pPr>
        <w:pStyle w:val="18"/>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①项目编号为XXX的招标文件、投标文件、中标通知书、答疑及补充通知；</w:t>
      </w:r>
    </w:p>
    <w:p w14:paraId="25C640A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②本合同执行中甲乙双方共同签署的补充与修正文件。</w:t>
      </w:r>
    </w:p>
    <w:p w14:paraId="0A0F2FC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Cs/>
          <w:sz w:val="21"/>
          <w:szCs w:val="21"/>
        </w:rPr>
      </w:pPr>
      <w:r>
        <w:rPr>
          <w:rFonts w:hint="eastAsia" w:ascii="宋体" w:hAnsi="宋体" w:eastAsia="宋体" w:cs="宋体"/>
          <w:bCs/>
          <w:sz w:val="21"/>
          <w:szCs w:val="21"/>
        </w:rPr>
        <w:t>本合同一式四份，甲方持三份，乙方持一份，具有同等法律效力，自双方盖章签字之日起生效。</w:t>
      </w:r>
    </w:p>
    <w:p w14:paraId="72863DA1">
      <w:pPr>
        <w:pStyle w:val="18"/>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p>
    <w:p w14:paraId="1C2F8D4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bCs/>
          <w:sz w:val="21"/>
          <w:szCs w:val="21"/>
        </w:rPr>
      </w:pPr>
      <w:r>
        <w:rPr>
          <w:rFonts w:hint="eastAsia" w:ascii="宋体" w:hAnsi="宋体" w:eastAsia="宋体" w:cs="宋体"/>
          <w:sz w:val="21"/>
          <w:szCs w:val="21"/>
        </w:rPr>
        <w:t>附件：1、</w:t>
      </w:r>
      <w:r>
        <w:rPr>
          <w:rFonts w:hint="eastAsia" w:ascii="宋体" w:hAnsi="宋体" w:eastAsia="宋体" w:cs="宋体"/>
          <w:bCs/>
          <w:sz w:val="21"/>
          <w:szCs w:val="21"/>
        </w:rPr>
        <w:t>食堂物资供应商供货异常情况登记表</w:t>
      </w:r>
    </w:p>
    <w:p w14:paraId="3133B64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2、龙华公安分局食堂物资采购供应商月度考核表</w:t>
      </w:r>
    </w:p>
    <w:p w14:paraId="3D8DAD9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p>
    <w:p w14:paraId="4797684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甲方 :深圳市公安局龙华分局       乙方 : </w:t>
      </w:r>
    </w:p>
    <w:p w14:paraId="704FAF3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地址 :龙华区梅龙大道2283号      地址 : </w:t>
      </w:r>
    </w:p>
    <w:p w14:paraId="352A685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法人代表:                        法人代表 :</w:t>
      </w:r>
    </w:p>
    <w:p w14:paraId="418C59A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负责人或授权代表:                委托代理人 :                </w:t>
      </w:r>
    </w:p>
    <w:p w14:paraId="12E88A8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电话：                           电话：</w:t>
      </w:r>
    </w:p>
    <w:p w14:paraId="4DFE19B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传真号码：                       传真号码：</w:t>
      </w:r>
    </w:p>
    <w:p w14:paraId="540CC8D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开户银行:                        开户银行:  </w:t>
      </w:r>
    </w:p>
    <w:p w14:paraId="7F06941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帐号 :                           帐号 : </w:t>
      </w:r>
    </w:p>
    <w:p w14:paraId="3863FEE1">
      <w:pPr>
        <w:keepNext/>
        <w:keepLines/>
        <w:adjustRightInd w:val="0"/>
        <w:spacing w:before="156" w:beforeLines="50" w:after="156" w:afterLines="50"/>
        <w:jc w:val="both"/>
        <w:textAlignment w:val="baseline"/>
        <w:outlineLvl w:val="1"/>
        <w:rPr>
          <w:rFonts w:hint="eastAsia" w:ascii="宋体" w:hAnsi="宋体" w:eastAsia="宋体" w:cs="宋体"/>
          <w:sz w:val="21"/>
          <w:szCs w:val="21"/>
        </w:rPr>
      </w:pPr>
      <w:r>
        <w:rPr>
          <w:rFonts w:hint="eastAsia" w:ascii="宋体" w:hAnsi="宋体" w:eastAsia="宋体" w:cs="宋体"/>
          <w:sz w:val="21"/>
          <w:szCs w:val="21"/>
        </w:rPr>
        <w:t>日期 :     年   月   日          日期 :     年   月  日</w:t>
      </w:r>
    </w:p>
    <w:p w14:paraId="496FB741">
      <w:pPr>
        <w:rPr>
          <w:rFonts w:hint="eastAsia" w:ascii="宋体" w:hAnsi="宋体"/>
          <w:b/>
          <w:bCs/>
          <w:kern w:val="0"/>
          <w:sz w:val="28"/>
          <w:szCs w:val="28"/>
        </w:rPr>
      </w:pPr>
      <w:r>
        <w:rPr>
          <w:rFonts w:hint="eastAsia" w:ascii="宋体" w:hAnsi="宋体"/>
          <w:b/>
          <w:bCs/>
          <w:kern w:val="0"/>
          <w:sz w:val="28"/>
          <w:szCs w:val="28"/>
        </w:rPr>
        <w:br w:type="page"/>
      </w:r>
    </w:p>
    <w:p w14:paraId="1CBCA02C">
      <w:pPr>
        <w:keepNext/>
        <w:keepLines/>
        <w:adjustRightInd w:val="0"/>
        <w:spacing w:before="156" w:beforeLines="50" w:after="156" w:afterLines="50"/>
        <w:ind w:left="562"/>
        <w:jc w:val="center"/>
        <w:textAlignment w:val="baseline"/>
        <w:outlineLvl w:val="1"/>
        <w:rPr>
          <w:rFonts w:ascii="宋体" w:hAnsi="宋体"/>
          <w:b/>
          <w:bCs/>
          <w:kern w:val="0"/>
          <w:sz w:val="28"/>
          <w:szCs w:val="28"/>
        </w:rPr>
      </w:pPr>
      <w:r>
        <w:rPr>
          <w:rFonts w:hint="eastAsia" w:ascii="宋体" w:hAnsi="宋体"/>
          <w:b/>
          <w:bCs/>
          <w:kern w:val="0"/>
          <w:sz w:val="28"/>
          <w:szCs w:val="28"/>
        </w:rPr>
        <w:t>第二册  通用条款（公开招标）</w:t>
      </w:r>
    </w:p>
    <w:p w14:paraId="34328C0A">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bookmarkStart w:id="38" w:name="_Hlk72399513"/>
      <w:r>
        <w:rPr>
          <w:rFonts w:hint="eastAsia" w:ascii="宋体" w:hAnsi="宋体"/>
          <w:b/>
          <w:bCs/>
          <w:kern w:val="0"/>
          <w:sz w:val="28"/>
          <w:szCs w:val="28"/>
        </w:rPr>
        <w:t>总则</w:t>
      </w:r>
    </w:p>
    <w:bookmarkEnd w:id="38"/>
    <w:p w14:paraId="15F7EB6F">
      <w:r>
        <w:rPr>
          <w:rFonts w:hint="eastAsia"/>
        </w:rPr>
        <w:t>1. 通用条款说明</w:t>
      </w:r>
    </w:p>
    <w:p w14:paraId="3734573E">
      <w:pPr>
        <w:ind w:firstLine="411" w:firstLineChars="196"/>
        <w:rPr>
          <w:rFonts w:ascii="宋体" w:hAnsi="宋体"/>
          <w:szCs w:val="21"/>
        </w:rPr>
      </w:pPr>
      <w:r>
        <w:rPr>
          <w:rFonts w:hint="eastAsia" w:ascii="宋体" w:hAnsi="宋体"/>
          <w:szCs w:val="21"/>
        </w:rPr>
        <w:t>1.1政府集中采购机构发出招标文件通用条款版本，列出深圳市政府采购项目进行招标采购所适用的通用条款内容。</w:t>
      </w:r>
      <w:bookmarkStart w:id="39" w:name="_Hlk72399729"/>
      <w:r>
        <w:rPr>
          <w:rFonts w:hint="eastAsia" w:ascii="宋体" w:hAnsi="宋体"/>
          <w:szCs w:val="21"/>
        </w:rPr>
        <w:t>如有需要，政府集中采购机构可以对通用条款的内容进行补充。</w:t>
      </w:r>
      <w:bookmarkEnd w:id="39"/>
    </w:p>
    <w:p w14:paraId="580C76F6">
      <w:pPr>
        <w:ind w:firstLine="411" w:firstLineChars="196"/>
        <w:rPr>
          <w:rFonts w:ascii="宋体" w:hAnsi="宋体"/>
          <w:szCs w:val="21"/>
        </w:rPr>
      </w:pPr>
      <w:r>
        <w:rPr>
          <w:rFonts w:hint="eastAsia" w:ascii="宋体" w:hAnsi="宋体"/>
          <w:szCs w:val="21"/>
        </w:rPr>
        <w:t>1.2招标文件分为第一册“专用条款”和第二册“通用条款”。</w:t>
      </w:r>
    </w:p>
    <w:p w14:paraId="5F044E9E">
      <w:pPr>
        <w:ind w:firstLine="411" w:firstLineChars="196"/>
        <w:rPr>
          <w:rFonts w:ascii="宋体" w:hAnsi="宋体"/>
          <w:szCs w:val="21"/>
        </w:rPr>
      </w:pPr>
      <w:r>
        <w:rPr>
          <w:rFonts w:hint="eastAsia" w:ascii="宋体" w:hAnsi="宋体"/>
          <w:szCs w:val="21"/>
        </w:rPr>
        <w:t>1.3“专用条款”是对本次采购项目的具体要求，包含招标公告、对通用条款的补充内容及其他关键信息、用户需求书、投标文件格式及附件、合同条款及格式等内容。</w:t>
      </w:r>
    </w:p>
    <w:p w14:paraId="194A23FC">
      <w:pPr>
        <w:ind w:firstLine="411" w:firstLineChars="196"/>
        <w:rPr>
          <w:rFonts w:ascii="宋体" w:hAnsi="宋体"/>
          <w:szCs w:val="21"/>
        </w:rPr>
      </w:pPr>
      <w:r>
        <w:rPr>
          <w:rFonts w:hint="eastAsia" w:ascii="宋体" w:hAnsi="宋体"/>
          <w:szCs w:val="21"/>
        </w:rPr>
        <w:t>1.4“通用条款”是适用于政府采购公开招标项目的基础性条款，具有普遍性和通用性。</w:t>
      </w:r>
    </w:p>
    <w:p w14:paraId="2E617623">
      <w:pPr>
        <w:ind w:firstLine="411" w:firstLineChars="196"/>
        <w:rPr>
          <w:rFonts w:ascii="宋体" w:hAnsi="宋体"/>
          <w:szCs w:val="21"/>
        </w:rPr>
      </w:pPr>
      <w:r>
        <w:rPr>
          <w:rFonts w:hint="eastAsia" w:ascii="宋体" w:hAnsi="宋体"/>
          <w:szCs w:val="21"/>
        </w:rPr>
        <w:t>1.5 “专用条款”和“通用条款”表述不一致或有冲突时，以“专用条款”为准。</w:t>
      </w:r>
    </w:p>
    <w:p w14:paraId="31A1A06E">
      <w:pPr>
        <w:rPr>
          <w:rFonts w:ascii="黑体" w:hAnsi="宋体" w:eastAsia="黑体"/>
          <w:sz w:val="24"/>
        </w:rPr>
      </w:pPr>
      <w:r>
        <w:rPr>
          <w:rFonts w:hint="eastAsia" w:ascii="黑体" w:hAnsi="宋体" w:eastAsia="黑体"/>
          <w:sz w:val="24"/>
        </w:rPr>
        <w:t>2</w:t>
      </w:r>
      <w:r>
        <w:rPr>
          <w:rFonts w:ascii="黑体" w:hAnsi="宋体" w:eastAsia="黑体"/>
          <w:sz w:val="24"/>
        </w:rPr>
        <w:t>．</w:t>
      </w:r>
      <w:r>
        <w:rPr>
          <w:rFonts w:hint="eastAsia" w:ascii="黑体" w:hAnsi="宋体" w:eastAsia="黑体"/>
          <w:sz w:val="24"/>
        </w:rPr>
        <w:t>招标说明</w:t>
      </w:r>
    </w:p>
    <w:p w14:paraId="177FC7BD">
      <w:pPr>
        <w:ind w:firstLine="411" w:firstLineChars="196"/>
        <w:rPr>
          <w:rFonts w:ascii="宋体" w:hAnsi="宋体"/>
          <w:szCs w:val="21"/>
        </w:rPr>
      </w:pPr>
      <w:r>
        <w:rPr>
          <w:rFonts w:hint="eastAsia" w:ascii="宋体" w:hAnsi="宋体"/>
          <w:szCs w:val="21"/>
        </w:rPr>
        <w:t>本项目按照《深圳经济特区政府采购条例》、《深圳经济特区政府采购条例实施细则》及政府采购其他法律法规，通过公开招标方式确定中标供应商。</w:t>
      </w:r>
    </w:p>
    <w:p w14:paraId="207EC5B7">
      <w:pPr>
        <w:rPr>
          <w:rFonts w:ascii="黑体" w:hAnsi="宋体" w:eastAsia="黑体"/>
          <w:sz w:val="24"/>
        </w:rPr>
      </w:pPr>
      <w:r>
        <w:rPr>
          <w:rFonts w:hint="eastAsia" w:ascii="黑体" w:hAnsi="宋体" w:eastAsia="黑体"/>
          <w:sz w:val="24"/>
        </w:rPr>
        <w:t>3．定义</w:t>
      </w:r>
    </w:p>
    <w:p w14:paraId="15100077">
      <w:pPr>
        <w:ind w:firstLine="420"/>
        <w:rPr>
          <w:rFonts w:ascii="宋体" w:hAnsi="宋体"/>
          <w:szCs w:val="21"/>
        </w:rPr>
      </w:pPr>
      <w:r>
        <w:rPr>
          <w:rFonts w:ascii="宋体" w:hAnsi="宋体"/>
          <w:szCs w:val="21"/>
        </w:rPr>
        <w:t>招标文件中下列术语应解释为：</w:t>
      </w:r>
    </w:p>
    <w:p w14:paraId="467D2171">
      <w:pPr>
        <w:ind w:firstLine="411" w:firstLineChars="196"/>
        <w:rPr>
          <w:rFonts w:ascii="宋体" w:hAnsi="宋体"/>
          <w:szCs w:val="21"/>
        </w:rPr>
      </w:pPr>
      <w:r>
        <w:rPr>
          <w:rFonts w:hint="eastAsia" w:ascii="宋体" w:hAnsi="宋体"/>
          <w:szCs w:val="21"/>
        </w:rPr>
        <w:t>3.</w:t>
      </w:r>
      <w:r>
        <w:rPr>
          <w:rFonts w:ascii="宋体" w:hAnsi="宋体"/>
          <w:szCs w:val="21"/>
        </w:rPr>
        <w:t>1</w:t>
      </w:r>
      <w:r>
        <w:rPr>
          <w:rFonts w:hint="eastAsia" w:ascii="宋体" w:hAnsi="宋体"/>
          <w:szCs w:val="21"/>
        </w:rPr>
        <w:t>“采购人”：指利用财政性资金依法进行政府采购的国家机关、事业单位、团体组织；</w:t>
      </w:r>
    </w:p>
    <w:p w14:paraId="13A8E10F">
      <w:pPr>
        <w:ind w:firstLine="411" w:firstLineChars="196"/>
        <w:rPr>
          <w:rFonts w:ascii="宋体" w:hAnsi="宋体"/>
          <w:szCs w:val="21"/>
        </w:rPr>
      </w:pPr>
      <w:r>
        <w:rPr>
          <w:rFonts w:hint="eastAsia" w:ascii="宋体" w:hAnsi="宋体"/>
          <w:szCs w:val="21"/>
        </w:rPr>
        <w:t>3.2 “政府集中采购机构”</w:t>
      </w:r>
      <w:r>
        <w:rPr>
          <w:rFonts w:hint="eastAsia" w:ascii="Arial" w:hAnsi="Arial" w:cs="Arial"/>
          <w:szCs w:val="21"/>
          <w:shd w:val="clear" w:color="auto" w:fill="FFFFFF"/>
        </w:rPr>
        <w:t>是指市政府设立的，组织实施政府采购项目，并对政府采购活动提供服务的专门机构；</w:t>
      </w:r>
      <w:r>
        <w:rPr>
          <w:rFonts w:hint="eastAsia" w:ascii="宋体" w:hAnsi="宋体"/>
          <w:szCs w:val="21"/>
        </w:rPr>
        <w:t>本文件所述的“政府集中采购机构”</w:t>
      </w:r>
      <w:r>
        <w:rPr>
          <w:rFonts w:ascii="宋体" w:hAnsi="宋体"/>
          <w:szCs w:val="21"/>
        </w:rPr>
        <w:t>指</w:t>
      </w:r>
      <w:r>
        <w:rPr>
          <w:rFonts w:hint="eastAsia" w:ascii="宋体" w:hAnsi="宋体"/>
          <w:b/>
          <w:bCs/>
          <w:szCs w:val="21"/>
        </w:rPr>
        <w:t>深圳市东海国际招标有限公司</w:t>
      </w:r>
      <w:r>
        <w:rPr>
          <w:rFonts w:hint="eastAsia" w:ascii="宋体" w:hAnsi="宋体"/>
          <w:szCs w:val="21"/>
        </w:rPr>
        <w:t>；</w:t>
      </w:r>
    </w:p>
    <w:p w14:paraId="7BEF7412">
      <w:pPr>
        <w:ind w:firstLine="411" w:firstLineChars="196"/>
        <w:rPr>
          <w:rFonts w:ascii="宋体" w:hAnsi="宋体"/>
          <w:szCs w:val="21"/>
        </w:rPr>
      </w:pPr>
      <w:r>
        <w:rPr>
          <w:rFonts w:hint="eastAsia" w:ascii="宋体" w:hAnsi="宋体"/>
          <w:szCs w:val="21"/>
        </w:rPr>
        <w:t>3.3“投标人”，即供应商，指参加投标竞争并愿意按照招标文件要求向采购人提供货物、工程或者服务的依法成立的法人、其他组织或者自然人；</w:t>
      </w:r>
    </w:p>
    <w:p w14:paraId="2C5CB468">
      <w:pPr>
        <w:ind w:firstLine="411" w:firstLineChars="196"/>
        <w:rPr>
          <w:rFonts w:ascii="宋体" w:hAnsi="宋体"/>
          <w:szCs w:val="21"/>
        </w:rPr>
      </w:pPr>
      <w:r>
        <w:rPr>
          <w:rFonts w:hint="eastAsia" w:ascii="宋体" w:hAnsi="宋体"/>
          <w:szCs w:val="21"/>
        </w:rPr>
        <w:t>3.4“评审委员会”是依据《深圳经济特区政府采购条例》、《深圳经济特区政府采购条例实施细则》等有关规定组建的专门负责本次招标其评审工作的临时性机构；</w:t>
      </w:r>
    </w:p>
    <w:p w14:paraId="6DA99145">
      <w:pPr>
        <w:ind w:firstLine="411" w:firstLineChars="196"/>
        <w:rPr>
          <w:rFonts w:ascii="宋体" w:hAnsi="宋体"/>
          <w:szCs w:val="21"/>
        </w:rPr>
      </w:pPr>
      <w:r>
        <w:rPr>
          <w:rFonts w:hint="eastAsia" w:ascii="宋体" w:hAnsi="宋体"/>
          <w:szCs w:val="21"/>
        </w:rPr>
        <w:t>3.5“日期”</w:t>
      </w:r>
      <w:r>
        <w:rPr>
          <w:rFonts w:ascii="宋体" w:hAnsi="宋体"/>
          <w:szCs w:val="21"/>
        </w:rPr>
        <w:t>指</w:t>
      </w:r>
      <w:r>
        <w:rPr>
          <w:rFonts w:hint="eastAsia" w:ascii="宋体" w:hAnsi="宋体"/>
          <w:szCs w:val="21"/>
        </w:rPr>
        <w:t>公历日；</w:t>
      </w:r>
    </w:p>
    <w:p w14:paraId="0B629CC9">
      <w:pPr>
        <w:ind w:firstLine="411" w:firstLineChars="196"/>
        <w:rPr>
          <w:rFonts w:ascii="宋体" w:hAnsi="宋体"/>
          <w:szCs w:val="21"/>
        </w:rPr>
      </w:pPr>
      <w:r>
        <w:rPr>
          <w:rFonts w:hint="eastAsia" w:ascii="宋体" w:hAnsi="宋体"/>
          <w:szCs w:val="21"/>
        </w:rPr>
        <w:t>3.6“合同”指由本次招标所产生的合同或合约文件；</w:t>
      </w:r>
    </w:p>
    <w:p w14:paraId="50E5A42E">
      <w:pPr>
        <w:ind w:firstLine="411" w:firstLineChars="196"/>
        <w:rPr>
          <w:rFonts w:ascii="宋体" w:hAnsi="宋体"/>
          <w:szCs w:val="21"/>
        </w:rPr>
      </w:pPr>
      <w:r>
        <w:rPr>
          <w:rFonts w:hint="eastAsia" w:ascii="宋体" w:hAnsi="宋体"/>
          <w:szCs w:val="21"/>
        </w:rPr>
        <w:t>3.7“电子投标文件”指利用</w:t>
      </w:r>
      <w:r>
        <w:rPr>
          <w:rFonts w:hint="eastAsia" w:ascii="宋体" w:hAnsi="宋体"/>
          <w:b/>
          <w:bCs/>
          <w:szCs w:val="21"/>
        </w:rPr>
        <w:t>深圳公共资源交易中心（深圳交易集团有限公司政府采购业务分公司）</w:t>
      </w:r>
      <w:r>
        <w:rPr>
          <w:rFonts w:hint="eastAsia" w:ascii="宋体" w:hAnsi="宋体"/>
          <w:szCs w:val="21"/>
        </w:rPr>
        <w:t>网站提供的</w:t>
      </w:r>
      <w:r>
        <w:rPr>
          <w:rFonts w:hint="eastAsia" w:ascii="宋体" w:hAnsi="宋体"/>
        </w:rPr>
        <w:t>深圳智慧采购平台投标文件制作专用软件（以下简称：投标文件制作软件）制作并</w:t>
      </w:r>
      <w:r>
        <w:rPr>
          <w:rFonts w:hint="eastAsia" w:ascii="宋体" w:hAnsi="宋体"/>
          <w:szCs w:val="21"/>
        </w:rPr>
        <w:t>加密的投标文件,适用于网上投标；（投标文件制作软件可从</w:t>
      </w:r>
      <w:r>
        <w:rPr>
          <w:rFonts w:hint="eastAsia"/>
        </w:rPr>
        <w:t>“</w:t>
      </w:r>
      <w:r>
        <w:rPr>
          <w:rFonts w:hint="eastAsia" w:ascii="宋体" w:hAnsi="宋体"/>
        </w:rPr>
        <w:t>下载地址：</w:t>
      </w:r>
      <w:r>
        <w:t>http://zfcg.szggzy.com/</w:t>
      </w:r>
      <w:r>
        <w:rPr>
          <w:rFonts w:hint="eastAsia" w:ascii="宋体" w:hAnsi="宋体"/>
        </w:rPr>
        <w:t>TPBidder/DownLoad/深圳市智慧采购平台投标文件制作专用软件.zip</w:t>
      </w:r>
      <w:r>
        <w:rPr>
          <w:rFonts w:hint="eastAsia"/>
        </w:rPr>
        <w:t>”</w:t>
      </w:r>
      <w:r>
        <w:rPr>
          <w:rFonts w:hint="eastAsia" w:ascii="宋体" w:hAnsi="宋体"/>
          <w:szCs w:val="21"/>
        </w:rPr>
        <w:t>下载）；</w:t>
      </w:r>
    </w:p>
    <w:p w14:paraId="2A31A9E0">
      <w:pPr>
        <w:ind w:firstLine="411" w:firstLineChars="196"/>
        <w:rPr>
          <w:rFonts w:ascii="宋体" w:hAnsi="宋体"/>
          <w:szCs w:val="21"/>
        </w:rPr>
      </w:pPr>
      <w:r>
        <w:rPr>
          <w:rFonts w:hint="eastAsia" w:ascii="宋体" w:hAnsi="宋体"/>
          <w:szCs w:val="21"/>
        </w:rPr>
        <w:t>3.8“网上投标”指通过</w:t>
      </w:r>
      <w:r>
        <w:rPr>
          <w:rFonts w:hint="eastAsia" w:ascii="宋体" w:hAnsi="宋体"/>
          <w:b/>
          <w:bCs/>
          <w:szCs w:val="21"/>
        </w:rPr>
        <w:t>深圳公共资源交易中心（深圳交易集团有限公司政府采购业务分公司）</w:t>
      </w:r>
      <w:r>
        <w:rPr>
          <w:rFonts w:hint="eastAsia" w:ascii="宋体" w:hAnsi="宋体"/>
          <w:szCs w:val="21"/>
        </w:rPr>
        <w:t>网站上传电子投标文件；</w:t>
      </w:r>
    </w:p>
    <w:p w14:paraId="381F388E">
      <w:pPr>
        <w:ind w:firstLine="411" w:firstLineChars="196"/>
        <w:rPr>
          <w:rFonts w:ascii="宋体" w:hAnsi="宋体"/>
          <w:szCs w:val="21"/>
        </w:rPr>
      </w:pPr>
      <w:r>
        <w:rPr>
          <w:rFonts w:hint="eastAsia" w:ascii="宋体" w:hAnsi="宋体"/>
          <w:szCs w:val="21"/>
        </w:rPr>
        <w:t>3.9招标文件中的标题或题名仅起引导作用，而不应视为对招标文件内容的理解和解释。</w:t>
      </w:r>
    </w:p>
    <w:p w14:paraId="53DDFF4B">
      <w:pPr>
        <w:rPr>
          <w:rFonts w:ascii="黑体" w:hAnsi="宋体" w:eastAsia="黑体"/>
          <w:sz w:val="24"/>
        </w:rPr>
      </w:pPr>
      <w:r>
        <w:rPr>
          <w:rFonts w:hint="eastAsia" w:ascii="黑体" w:hAnsi="宋体" w:eastAsia="黑体"/>
          <w:sz w:val="24"/>
        </w:rPr>
        <w:t xml:space="preserve">4. </w:t>
      </w:r>
      <w:bookmarkStart w:id="40" w:name="_Hlk72398643"/>
      <w:r>
        <w:rPr>
          <w:rFonts w:hint="eastAsia"/>
        </w:rPr>
        <w:t>政</w:t>
      </w:r>
      <w:r>
        <w:rPr>
          <w:rFonts w:hint="eastAsia" w:ascii="黑体" w:hAnsi="宋体" w:eastAsia="黑体"/>
          <w:sz w:val="24"/>
        </w:rPr>
        <w:t>府采购供应商责任</w:t>
      </w:r>
    </w:p>
    <w:p w14:paraId="538C2357">
      <w:pPr>
        <w:ind w:firstLine="411" w:firstLineChars="196"/>
        <w:rPr>
          <w:rFonts w:ascii="宋体" w:hAnsi="宋体"/>
          <w:szCs w:val="21"/>
        </w:rPr>
      </w:pPr>
      <w:r>
        <w:rPr>
          <w:rFonts w:hint="eastAsia" w:ascii="宋体" w:hAnsi="宋体"/>
          <w:szCs w:val="21"/>
        </w:rPr>
        <w:t>4.1欢迎诚信、有实力和有社会责任心的供应商参与政府采购事业。</w:t>
      </w:r>
    </w:p>
    <w:p w14:paraId="4A5361AC">
      <w:pPr>
        <w:ind w:firstLine="411" w:firstLineChars="196"/>
        <w:rPr>
          <w:rFonts w:ascii="宋体" w:hAnsi="宋体"/>
          <w:szCs w:val="21"/>
        </w:rPr>
      </w:pPr>
      <w:r>
        <w:rPr>
          <w:rFonts w:hint="eastAsia" w:ascii="宋体" w:hAnsi="宋体"/>
          <w:szCs w:val="21"/>
        </w:rPr>
        <w:t>4.2投标人应当遵循公平竞争的原则，不得恶意串通，不得妨碍其他投标人的竞争行为，不得损害采购人或者其他投标人的合法权益。如违反上述要求，经核实后，供应商的投标无效。</w:t>
      </w:r>
    </w:p>
    <w:p w14:paraId="0FF76C2B">
      <w:pPr>
        <w:rPr>
          <w:rFonts w:ascii="黑体" w:hAnsi="宋体" w:eastAsia="黑体"/>
          <w:sz w:val="24"/>
        </w:rPr>
      </w:pPr>
      <w:r>
        <w:rPr>
          <w:rFonts w:hint="eastAsia" w:ascii="黑体" w:hAnsi="宋体" w:eastAsia="黑体"/>
          <w:sz w:val="24"/>
        </w:rPr>
        <w:t>5．投标人参加政府采购的条件</w:t>
      </w:r>
    </w:p>
    <w:p w14:paraId="2A0CCB5C">
      <w:pPr>
        <w:ind w:firstLine="411" w:firstLineChars="196"/>
        <w:rPr>
          <w:rFonts w:ascii="宋体" w:hAnsi="宋体"/>
          <w:szCs w:val="21"/>
        </w:rPr>
      </w:pPr>
      <w:r>
        <w:rPr>
          <w:rFonts w:hint="eastAsia" w:ascii="宋体" w:hAnsi="宋体"/>
          <w:szCs w:val="21"/>
        </w:rPr>
        <w:t>5.1投标人应在投标前到</w:t>
      </w:r>
      <w:r>
        <w:rPr>
          <w:rFonts w:hint="eastAsia" w:ascii="宋体" w:hAnsi="宋体"/>
          <w:b/>
          <w:bCs/>
          <w:szCs w:val="21"/>
        </w:rPr>
        <w:t>深圳公共资源交易中心（具体在深圳交易集团有限公司政府采购业务分公司进行办理）</w:t>
      </w:r>
      <w:r>
        <w:rPr>
          <w:rFonts w:hint="eastAsia" w:ascii="宋体" w:hAnsi="宋体"/>
          <w:szCs w:val="21"/>
        </w:rPr>
        <w:t>进行注册并办理电子密钥。《</w:t>
      </w:r>
      <w:r>
        <w:fldChar w:fldCharType="begin"/>
      </w:r>
      <w:r>
        <w:instrText xml:space="preserve"> HYPERLINK "http://www.szzfcg.cn/viewer.do?id=2455258" \t "documentViewer2455258"</w:instrText>
      </w:r>
      <w:r>
        <w:fldChar w:fldCharType="separate"/>
      </w:r>
      <w:r>
        <w:rPr>
          <w:rFonts w:ascii="宋体" w:hAnsi="宋体"/>
          <w:szCs w:val="21"/>
        </w:rPr>
        <w:t>供应商注册及电子密钥新申请指引</w:t>
      </w:r>
      <w:r>
        <w:rPr>
          <w:rFonts w:ascii="宋体" w:hAnsi="宋体"/>
          <w:szCs w:val="21"/>
        </w:rPr>
        <w:fldChar w:fldCharType="end"/>
      </w:r>
      <w:r>
        <w:rPr>
          <w:rFonts w:hint="eastAsia" w:ascii="宋体" w:hAnsi="宋体"/>
          <w:szCs w:val="21"/>
        </w:rPr>
        <w:t>》详见</w:t>
      </w:r>
      <w:r>
        <w:t>http://zfcg.szggzy.com/</w:t>
      </w:r>
      <w:r>
        <w:rPr>
          <w:rFonts w:hint="eastAsia" w:ascii="宋体" w:hAnsi="宋体"/>
          <w:szCs w:val="21"/>
        </w:rPr>
        <w:t>。</w:t>
      </w:r>
    </w:p>
    <w:p w14:paraId="7519525C">
      <w:pPr>
        <w:ind w:firstLine="411" w:firstLineChars="196"/>
        <w:rPr>
          <w:rFonts w:ascii="宋体" w:hAnsi="宋体"/>
          <w:szCs w:val="21"/>
        </w:rPr>
      </w:pPr>
      <w:r>
        <w:rPr>
          <w:rFonts w:hint="eastAsia" w:ascii="宋体" w:hAnsi="宋体"/>
          <w:szCs w:val="21"/>
        </w:rPr>
        <w:t>5.2投标人资格要求</w:t>
      </w:r>
    </w:p>
    <w:p w14:paraId="54E3F7F3">
      <w:pPr>
        <w:ind w:firstLine="411" w:firstLineChars="196"/>
        <w:rPr>
          <w:rFonts w:ascii="宋体" w:hAnsi="宋体"/>
          <w:szCs w:val="21"/>
        </w:rPr>
      </w:pPr>
      <w:r>
        <w:rPr>
          <w:rFonts w:hint="eastAsia" w:ascii="宋体" w:hAnsi="宋体"/>
          <w:szCs w:val="21"/>
        </w:rPr>
        <w:t>参加本项目的投标人应具备的资格条件详见本项目招标公告中 “投标人资格要求”（即申请人的资格要求）的内容。</w:t>
      </w:r>
    </w:p>
    <w:p w14:paraId="312CCC8D">
      <w:pPr>
        <w:ind w:firstLine="411" w:firstLineChars="196"/>
        <w:rPr>
          <w:rFonts w:ascii="宋体" w:hAnsi="宋体"/>
          <w:szCs w:val="21"/>
        </w:rPr>
      </w:pPr>
      <w:r>
        <w:rPr>
          <w:rFonts w:hint="eastAsia" w:ascii="宋体" w:hAnsi="宋体"/>
          <w:szCs w:val="21"/>
        </w:rPr>
        <w:t>5.3联合体投标</w:t>
      </w:r>
    </w:p>
    <w:p w14:paraId="79155DA6">
      <w:pPr>
        <w:ind w:firstLine="411" w:firstLineChars="196"/>
        <w:rPr>
          <w:rFonts w:ascii="宋体" w:hAnsi="宋体"/>
          <w:szCs w:val="21"/>
        </w:rPr>
      </w:pPr>
      <w:r>
        <w:rPr>
          <w:rFonts w:hint="eastAsia" w:ascii="宋体" w:hAnsi="宋体"/>
          <w:szCs w:val="21"/>
        </w:rPr>
        <w:t>5.3.1　以下有关联合体投标的条款仅适用于允许投标人组成联合体投标的项目。</w:t>
      </w:r>
    </w:p>
    <w:p w14:paraId="71040AEA">
      <w:pPr>
        <w:ind w:firstLine="411" w:firstLineChars="196"/>
        <w:rPr>
          <w:rFonts w:ascii="宋体" w:hAnsi="宋体"/>
          <w:szCs w:val="21"/>
        </w:rPr>
      </w:pPr>
      <w:r>
        <w:rPr>
          <w:rFonts w:hint="eastAsia" w:ascii="宋体" w:hAnsi="宋体"/>
          <w:szCs w:val="21"/>
        </w:rPr>
        <w:t>5.3.2  由两个或两个以上的自然人、法人或者其他组织可以组成一个联合体，以一个供应商的身份共同投标时，应符合以下原则：</w:t>
      </w:r>
    </w:p>
    <w:p w14:paraId="6F7D74EB">
      <w:pPr>
        <w:ind w:firstLine="411" w:firstLineChars="196"/>
        <w:rPr>
          <w:rFonts w:ascii="宋体" w:hAnsi="宋体"/>
        </w:rPr>
      </w:pPr>
      <w:r>
        <w:rPr>
          <w:rFonts w:hint="eastAsia" w:ascii="宋体" w:hAnsi="宋体"/>
        </w:rPr>
        <w:t>（1）投标联合体各方参加政府采购活动应当具备下列条件：</w:t>
      </w:r>
    </w:p>
    <w:p w14:paraId="706E0A51">
      <w:pPr>
        <w:ind w:left="420" w:leftChars="200" w:firstLine="411" w:firstLineChars="196"/>
        <w:rPr>
          <w:rFonts w:ascii="宋体" w:hAnsi="宋体"/>
        </w:rPr>
      </w:pPr>
      <w:r>
        <w:rPr>
          <w:rFonts w:hint="eastAsia" w:ascii="宋体" w:hAnsi="宋体"/>
        </w:rPr>
        <w:t>1、具有独立承担民事责任的能力；</w:t>
      </w:r>
    </w:p>
    <w:p w14:paraId="69C5E05F">
      <w:pPr>
        <w:ind w:left="420" w:firstLine="411" w:firstLineChars="196"/>
        <w:rPr>
          <w:rFonts w:ascii="宋体" w:hAnsi="宋体"/>
        </w:rPr>
      </w:pPr>
      <w:r>
        <w:rPr>
          <w:rFonts w:hint="eastAsia" w:ascii="宋体" w:hAnsi="宋体"/>
        </w:rPr>
        <w:t>2、有良好的商业信誉和健全的财务会计制度；</w:t>
      </w:r>
    </w:p>
    <w:p w14:paraId="4E7AD0DA">
      <w:pPr>
        <w:ind w:left="420" w:leftChars="200" w:firstLine="411" w:firstLineChars="196"/>
        <w:rPr>
          <w:rFonts w:ascii="宋体" w:hAnsi="宋体"/>
        </w:rPr>
      </w:pPr>
      <w:r>
        <w:rPr>
          <w:rFonts w:hint="eastAsia" w:ascii="宋体" w:hAnsi="宋体"/>
        </w:rPr>
        <w:t>3、具有履行合同所必需的设备和专业技术能力；</w:t>
      </w:r>
    </w:p>
    <w:p w14:paraId="3E5648BF">
      <w:pPr>
        <w:ind w:left="420" w:leftChars="200" w:firstLine="411" w:firstLineChars="196"/>
        <w:rPr>
          <w:rFonts w:ascii="宋体" w:hAnsi="宋体"/>
        </w:rPr>
      </w:pPr>
      <w:r>
        <w:rPr>
          <w:rFonts w:hint="eastAsia" w:ascii="宋体" w:hAnsi="宋体"/>
        </w:rPr>
        <w:t>4、有依法缴纳税收和社会保障资金的良好记录；</w:t>
      </w:r>
    </w:p>
    <w:p w14:paraId="1B284F89">
      <w:pPr>
        <w:ind w:left="420" w:leftChars="200" w:firstLine="411" w:firstLineChars="196"/>
        <w:rPr>
          <w:rFonts w:ascii="宋体" w:hAnsi="宋体"/>
        </w:rPr>
      </w:pPr>
      <w:r>
        <w:rPr>
          <w:rFonts w:hint="eastAsia" w:ascii="宋体" w:hAnsi="宋体"/>
        </w:rPr>
        <w:t>5、参加政府采购活动前三年内，在经营活动中没有重大违法记录；</w:t>
      </w:r>
    </w:p>
    <w:p w14:paraId="469EF0FB">
      <w:pPr>
        <w:ind w:left="420" w:leftChars="200" w:firstLine="411" w:firstLineChars="196"/>
        <w:rPr>
          <w:rFonts w:ascii="宋体" w:hAnsi="宋体"/>
        </w:rPr>
      </w:pPr>
      <w:r>
        <w:rPr>
          <w:rFonts w:hint="eastAsia" w:ascii="宋体" w:hAnsi="宋体"/>
        </w:rPr>
        <w:t>6、法律、行政法规规定的其他条件。</w:t>
      </w:r>
    </w:p>
    <w:p w14:paraId="34F4A37C">
      <w:pPr>
        <w:ind w:firstLine="411" w:firstLineChars="196"/>
        <w:rPr>
          <w:rFonts w:ascii="宋体" w:hAnsi="宋体"/>
        </w:rPr>
      </w:pPr>
      <w:r>
        <w:rPr>
          <w:rFonts w:hint="eastAsia" w:ascii="宋体" w:hAnsi="宋体"/>
        </w:rPr>
        <w:t>（2）在投标截止前，投标联合体各方均应注册成政府集中采购机构供应商；</w:t>
      </w:r>
    </w:p>
    <w:p w14:paraId="59E55007">
      <w:pPr>
        <w:ind w:firstLine="411" w:firstLineChars="196"/>
        <w:rPr>
          <w:rFonts w:ascii="宋体" w:hAnsi="宋体"/>
        </w:rPr>
      </w:pPr>
      <w:r>
        <w:rPr>
          <w:rFonts w:hint="eastAsia" w:ascii="宋体" w:hAnsi="宋体"/>
        </w:rPr>
        <w:t>（3）联合体中有同类资质的供应商按照联合体分工承担相同工作的，应当按照资质等级较低的供应商确定资质等级；</w:t>
      </w:r>
    </w:p>
    <w:p w14:paraId="7241FA18">
      <w:pPr>
        <w:ind w:firstLine="411" w:firstLineChars="196"/>
      </w:pPr>
      <w:r>
        <w:rPr>
          <w:rFonts w:hint="eastAsia"/>
        </w:rPr>
        <w:t>（4）是否允许联合体参加投标，应当由采购人和采购代理机构根据项目的实际情况和潜在供应商的数量自主决定，如果决定接受联合体投标则应当在招标公告中明示；</w:t>
      </w:r>
    </w:p>
    <w:p w14:paraId="4A2828F3">
      <w:pPr>
        <w:ind w:firstLine="411" w:firstLineChars="196"/>
        <w:rPr>
          <w:rFonts w:ascii="宋体" w:hAnsi="宋体"/>
        </w:rPr>
      </w:pPr>
      <w:r>
        <w:rPr>
          <w:rFonts w:hint="eastAsia" w:ascii="宋体" w:hAnsi="宋体"/>
        </w:rPr>
        <w:t>（5）投标人的投标文件及中标后签署的合同协议对联合体各方均具法律约束力；</w:t>
      </w:r>
    </w:p>
    <w:p w14:paraId="0ACE87E2">
      <w:pPr>
        <w:ind w:firstLine="411" w:firstLineChars="196"/>
        <w:rPr>
          <w:rFonts w:ascii="宋体" w:hAnsi="宋体"/>
        </w:rPr>
      </w:pPr>
      <w:r>
        <w:rPr>
          <w:rFonts w:hint="eastAsia" w:ascii="宋体" w:hAnsi="宋体"/>
        </w:rPr>
        <w:t>（6）联合体各方应当签订联合体投标协议，明确约定各方拟承担的工作和责任，并将该协议随投标文件一并递交给政府集中采购机构；</w:t>
      </w:r>
    </w:p>
    <w:p w14:paraId="5637E4CE">
      <w:pPr>
        <w:ind w:firstLine="411" w:firstLineChars="196"/>
        <w:rPr>
          <w:rFonts w:ascii="宋体" w:hAnsi="宋体"/>
        </w:rPr>
      </w:pPr>
      <w:r>
        <w:rPr>
          <w:rFonts w:hint="eastAsia" w:ascii="宋体" w:hAnsi="宋体"/>
        </w:rPr>
        <w:t>（7）联合体中标后，联合体各方应当共同与采购人签订合同，就中标项目向采购人承担连带责任；</w:t>
      </w:r>
    </w:p>
    <w:p w14:paraId="45595ACC">
      <w:pPr>
        <w:ind w:firstLine="411" w:firstLineChars="196"/>
        <w:rPr>
          <w:rFonts w:ascii="宋体" w:hAnsi="宋体"/>
        </w:rPr>
      </w:pPr>
      <w:r>
        <w:rPr>
          <w:rFonts w:hint="eastAsia" w:ascii="宋体" w:hAnsi="宋体"/>
        </w:rPr>
        <w:t>（8）以联合体形式参加政府采购活动的，联合体各方不得再单独参加或者与其他供应商另外组成联合体参加同一合同项下的政府采购活动，出现上述情况者，其投标和与此有关联合体、总包单位的投标将被拒绝；</w:t>
      </w:r>
    </w:p>
    <w:p w14:paraId="688C6779">
      <w:pPr>
        <w:ind w:firstLine="411" w:firstLineChars="196"/>
        <w:rPr>
          <w:rFonts w:ascii="宋体" w:hAnsi="宋体"/>
          <w:szCs w:val="21"/>
        </w:rPr>
      </w:pPr>
      <w:r>
        <w:rPr>
          <w:rFonts w:hint="eastAsia" w:ascii="宋体" w:hAnsi="宋体"/>
        </w:rPr>
        <w:t>（9）本通用条款中“投标人”一词亦指联合体各方，专用条款另有规定或说明的除外。</w:t>
      </w:r>
    </w:p>
    <w:p w14:paraId="09E76666">
      <w:pPr>
        <w:rPr>
          <w:rFonts w:ascii="黑体" w:hAnsi="宋体" w:eastAsia="黑体"/>
          <w:sz w:val="24"/>
        </w:rPr>
      </w:pPr>
      <w:r>
        <w:rPr>
          <w:rFonts w:hint="eastAsia" w:ascii="黑体" w:hAnsi="宋体" w:eastAsia="黑体"/>
          <w:sz w:val="24"/>
        </w:rPr>
        <w:t>6．政策导向</w:t>
      </w:r>
    </w:p>
    <w:p w14:paraId="45087366">
      <w:pPr>
        <w:ind w:firstLine="411" w:firstLineChars="196"/>
        <w:rPr>
          <w:rFonts w:ascii="宋体" w:hAnsi="宋体"/>
        </w:rPr>
      </w:pPr>
      <w:r>
        <w:rPr>
          <w:rFonts w:hint="eastAsia" w:ascii="宋体" w:hAnsi="宋体"/>
        </w:rPr>
        <w:t>6.1政府采购扶持贫困地区、中小企业、监狱企业和残疾人福利性单位发展，支持节能减排、环境保护。</w:t>
      </w:r>
    </w:p>
    <w:p w14:paraId="616614DD">
      <w:pPr>
        <w:ind w:firstLine="405"/>
        <w:rPr>
          <w:shd w:val="clear" w:color="auto" w:fill="FFFFFF"/>
        </w:rPr>
      </w:pPr>
      <w:r>
        <w:rPr>
          <w:rFonts w:hint="eastAsia" w:ascii="宋体" w:hAnsi="宋体"/>
        </w:rPr>
        <w:t>6.2本项目落实深圳市政府采购供应商诚信管理政策要求。</w:t>
      </w:r>
    </w:p>
    <w:p w14:paraId="4E505425">
      <w:pPr>
        <w:rPr>
          <w:rFonts w:ascii="黑体" w:hAnsi="宋体" w:eastAsia="黑体"/>
          <w:sz w:val="24"/>
        </w:rPr>
      </w:pPr>
      <w:r>
        <w:rPr>
          <w:rFonts w:hint="eastAsia" w:ascii="黑体" w:hAnsi="宋体" w:eastAsia="黑体"/>
          <w:sz w:val="24"/>
        </w:rPr>
        <w:t>7. 本项目若涉及采购货物，则合格的货物及相应服务应满足以下要求：</w:t>
      </w:r>
    </w:p>
    <w:p w14:paraId="3F575FDB">
      <w:pPr>
        <w:ind w:firstLine="411" w:firstLineChars="196"/>
        <w:rPr>
          <w:rFonts w:ascii="宋体" w:hAnsi="宋体"/>
        </w:rPr>
      </w:pPr>
      <w:r>
        <w:rPr>
          <w:rFonts w:hint="eastAsia" w:ascii="宋体" w:hAnsi="宋体"/>
        </w:rPr>
        <w:t>7</w:t>
      </w:r>
      <w:r>
        <w:rPr>
          <w:rFonts w:ascii="宋体" w:hAnsi="宋体"/>
        </w:rPr>
        <w:t xml:space="preserve">.1  </w:t>
      </w:r>
      <w:r>
        <w:rPr>
          <w:rFonts w:hint="eastAsia" w:ascii="宋体" w:hAnsi="宋体"/>
        </w:rPr>
        <w:t>必须是全新、未使用过的原装合格正品（包括零部件），如安装或配置了软件的，须为正版软件。</w:t>
      </w:r>
    </w:p>
    <w:p w14:paraId="02EEB9C3">
      <w:pPr>
        <w:ind w:firstLine="411" w:firstLineChars="196"/>
        <w:rPr>
          <w:rFonts w:ascii="宋体" w:hAnsi="宋体"/>
        </w:rPr>
      </w:pPr>
      <w:r>
        <w:rPr>
          <w:rFonts w:hint="eastAsia" w:ascii="宋体" w:hAnsi="宋体"/>
        </w:rPr>
        <w:t>7.2  国产的货物及其有关服务必须符合中华人民共和国的设计、制造生产标准及行业标准。招标公告有其他要求的，亦应符合其要求。</w:t>
      </w:r>
    </w:p>
    <w:p w14:paraId="6C67965C">
      <w:pPr>
        <w:ind w:firstLine="411" w:firstLineChars="196"/>
        <w:rPr>
          <w:rFonts w:ascii="宋体" w:hAnsi="宋体"/>
        </w:rPr>
      </w:pPr>
      <w:r>
        <w:rPr>
          <w:rFonts w:hint="eastAsia" w:ascii="宋体" w:hAnsi="宋体"/>
        </w:rPr>
        <w:t>7</w:t>
      </w:r>
      <w:r>
        <w:rPr>
          <w:rFonts w:ascii="宋体" w:hAnsi="宋体"/>
        </w:rPr>
        <w:t>.</w:t>
      </w:r>
      <w:r>
        <w:rPr>
          <w:rFonts w:hint="eastAsia" w:ascii="宋体" w:hAnsi="宋体"/>
        </w:rPr>
        <w:t>3进口货物及其有关服务必须符合原产地和中华人民共和国的设计、制造生产标准及行业标准。进口的货物必须具有合法的进口手续和途径，并通过中华人民共和国商检部门检验。招标公告有其他要求的，亦应符合其要求。</w:t>
      </w:r>
    </w:p>
    <w:p w14:paraId="52F2367B">
      <w:pPr>
        <w:ind w:firstLine="411" w:firstLineChars="196"/>
        <w:rPr>
          <w:rFonts w:ascii="宋体" w:hAnsi="宋体"/>
        </w:rPr>
      </w:pPr>
      <w:r>
        <w:rPr>
          <w:rFonts w:hint="eastAsia" w:ascii="宋体" w:hAnsi="宋体"/>
        </w:rPr>
        <w:t>7</w:t>
      </w:r>
      <w:r>
        <w:rPr>
          <w:rFonts w:ascii="宋体" w:hAnsi="宋体"/>
        </w:rPr>
        <w:t>.</w:t>
      </w:r>
      <w:r>
        <w:rPr>
          <w:rFonts w:hint="eastAsia" w:ascii="宋体" w:hAnsi="宋体"/>
        </w:rPr>
        <w:t>4投标人</w:t>
      </w:r>
      <w:bookmarkStart w:id="41" w:name="_Hlk72152753"/>
      <w:r>
        <w:rPr>
          <w:rFonts w:hint="eastAsia" w:ascii="宋体" w:hAnsi="宋体"/>
        </w:rPr>
        <w:t>应保证，其所提供的货物通过合法正规渠道供货，在提供给采购人前具有完全的所有权，采购人在中华人民共和国使用该货物或货物的任何一部分时，不会产生因第三方提出的包括但不限于侵犯其专利权、商标权、工业设计权等知识产权和侵犯其所有权、抵押权等物权及其他权利而引发的纠纷。如有纠纷，投标人应承担全部责任。</w:t>
      </w:r>
      <w:bookmarkEnd w:id="41"/>
    </w:p>
    <w:p w14:paraId="009DADA9">
      <w:pPr>
        <w:ind w:firstLine="411" w:firstLineChars="196"/>
        <w:rPr>
          <w:rFonts w:ascii="宋体" w:hAnsi="宋体"/>
        </w:rPr>
      </w:pPr>
      <w:r>
        <w:rPr>
          <w:rFonts w:hint="eastAsia" w:ascii="宋体" w:hAnsi="宋体"/>
        </w:rPr>
        <w:t>7.5  投标人应保证，其所提供的货物符合国家强制性标准要求；符合相关行业标准（如具备行政主管部门颁发的资质证书或国家质量监督部门的产品《检验报告》等）。设备到货验收时，还必须提供设备的产品合格证、质量保证文件。若中标后，除非另有约定，投标人必须按合同规定完成设备的安装，并达到验收标准。</w:t>
      </w:r>
    </w:p>
    <w:p w14:paraId="07F791A1">
      <w:pPr>
        <w:ind w:firstLine="411" w:firstLineChars="196"/>
        <w:rPr>
          <w:rFonts w:ascii="宋体" w:hAnsi="宋体"/>
        </w:rPr>
      </w:pPr>
      <w:r>
        <w:rPr>
          <w:rFonts w:hint="eastAsia" w:ascii="宋体" w:hAnsi="宋体"/>
        </w:rPr>
        <w:t>7.6  工期要求：投标人在投标时对其所投项目应提交交货进度、交货计划等，在合同规定的时间内完成项目实施工作。</w:t>
      </w:r>
    </w:p>
    <w:p w14:paraId="657DA7C2">
      <w:pPr>
        <w:ind w:firstLine="411" w:firstLineChars="196"/>
        <w:rPr>
          <w:rFonts w:ascii="宋体" w:hAnsi="宋体"/>
        </w:rPr>
      </w:pPr>
      <w:r>
        <w:rPr>
          <w:rFonts w:hint="eastAsia" w:ascii="宋体" w:hAnsi="宋体"/>
        </w:rPr>
        <w:t>7.7  投标人必须承担的设备运输、安装调试、验收检测和提供设备操作说明书、图纸等其他相关及类似的义务。</w:t>
      </w:r>
    </w:p>
    <w:p w14:paraId="368324F6">
      <w:pPr>
        <w:rPr>
          <w:rFonts w:ascii="黑体" w:hAnsi="宋体" w:eastAsia="黑体"/>
          <w:sz w:val="24"/>
        </w:rPr>
      </w:pPr>
      <w:r>
        <w:rPr>
          <w:rFonts w:hint="eastAsia" w:ascii="黑体" w:hAnsi="宋体" w:eastAsia="黑体"/>
          <w:sz w:val="24"/>
        </w:rPr>
        <w:t>8．投标费用</w:t>
      </w:r>
    </w:p>
    <w:p w14:paraId="615D4363">
      <w:pPr>
        <w:ind w:firstLine="411" w:firstLineChars="196"/>
        <w:rPr>
          <w:rFonts w:ascii="宋体" w:hAnsi="宋体"/>
          <w:szCs w:val="21"/>
        </w:rPr>
      </w:pPr>
      <w:r>
        <w:rPr>
          <w:rFonts w:hint="eastAsia" w:ascii="宋体" w:hAnsi="宋体"/>
          <w:szCs w:val="21"/>
        </w:rPr>
        <w:t>不论投标结果如何，投标人应承担其编制投标文件与递交投标文件所涉及的一切费用。</w:t>
      </w:r>
    </w:p>
    <w:p w14:paraId="6921CBA4">
      <w:pPr>
        <w:rPr>
          <w:rFonts w:ascii="黑体" w:hAnsi="宋体" w:eastAsia="黑体"/>
          <w:sz w:val="24"/>
        </w:rPr>
      </w:pPr>
      <w:r>
        <w:rPr>
          <w:rFonts w:hint="eastAsia" w:ascii="黑体" w:hAnsi="宋体" w:eastAsia="黑体"/>
          <w:sz w:val="24"/>
        </w:rPr>
        <w:t>9．踏勘现场</w:t>
      </w:r>
    </w:p>
    <w:p w14:paraId="4ECC2E4A">
      <w:pPr>
        <w:ind w:firstLine="411" w:firstLineChars="196"/>
        <w:rPr>
          <w:rFonts w:ascii="宋体" w:hAnsi="宋体"/>
          <w:szCs w:val="21"/>
        </w:rPr>
      </w:pPr>
      <w:r>
        <w:rPr>
          <w:rFonts w:hint="eastAsia" w:ascii="宋体" w:hAnsi="宋体"/>
          <w:szCs w:val="21"/>
        </w:rPr>
        <w:t>9.1如有需要（详见专用条款），采购人或政府集中采购机构将组织投标人对项目现场及周围环境进行踏勘，以便投标人获取有关编制投标文件和签署合同所需的资料。踏勘现场所发生的费用由投标人自行承担。投标人应按招标文件所约定的时间、地点踏勘现场。</w:t>
      </w:r>
    </w:p>
    <w:p w14:paraId="25DCF13E">
      <w:pPr>
        <w:ind w:firstLine="411" w:firstLineChars="196"/>
        <w:rPr>
          <w:rFonts w:ascii="宋体" w:hAnsi="宋体"/>
        </w:rPr>
      </w:pPr>
      <w:r>
        <w:rPr>
          <w:rFonts w:hint="eastAsia" w:ascii="宋体" w:hAnsi="宋体"/>
        </w:rPr>
        <w:t>9.2投标人及其人员经过采购人的允许，可以进入采购人的项目现场踏勘。若招标文件要求投标人于统一时间地点踏勘现场的，投标人应当按时前往。</w:t>
      </w:r>
    </w:p>
    <w:p w14:paraId="01BC9CB6">
      <w:pPr>
        <w:ind w:firstLine="411" w:firstLineChars="196"/>
        <w:rPr>
          <w:rFonts w:ascii="宋体" w:hAnsi="宋体"/>
        </w:rPr>
      </w:pPr>
      <w:r>
        <w:rPr>
          <w:rFonts w:hint="eastAsia" w:ascii="宋体" w:hAnsi="宋体"/>
        </w:rPr>
        <w:t>9.3采购人应当通过政府集中采购机构向投标人提供有关现场的书面资料和数据。</w:t>
      </w:r>
    </w:p>
    <w:p w14:paraId="73824A0A">
      <w:pPr>
        <w:ind w:firstLine="411" w:firstLineChars="196"/>
        <w:rPr>
          <w:rFonts w:ascii="宋体" w:hAnsi="宋体"/>
        </w:rPr>
      </w:pPr>
      <w:r>
        <w:rPr>
          <w:rFonts w:hint="eastAsia" w:ascii="宋体" w:hAnsi="宋体"/>
        </w:rPr>
        <w:t>9.4任何人或任何组织在踏勘现场时向投标人提供的任何书面资料或口头承诺，未经政府集中采购机构在网上发布或书面通知，均作无效处理。</w:t>
      </w:r>
    </w:p>
    <w:p w14:paraId="16AD6E15">
      <w:pPr>
        <w:ind w:firstLine="411" w:firstLineChars="196"/>
        <w:rPr>
          <w:rFonts w:ascii="宋体" w:hAnsi="宋体"/>
        </w:rPr>
      </w:pPr>
      <w:r>
        <w:rPr>
          <w:rFonts w:ascii="宋体" w:hAnsi="宋体"/>
          <w:szCs w:val="21"/>
        </w:rPr>
        <w:t>9</w:t>
      </w:r>
      <w:r>
        <w:rPr>
          <w:rFonts w:hint="eastAsia" w:ascii="宋体" w:hAnsi="宋体"/>
          <w:szCs w:val="21"/>
        </w:rPr>
        <w:t>.</w:t>
      </w:r>
      <w:r>
        <w:rPr>
          <w:rFonts w:ascii="宋体" w:hAnsi="宋体"/>
          <w:szCs w:val="21"/>
        </w:rPr>
        <w:t>5</w:t>
      </w:r>
      <w:r>
        <w:rPr>
          <w:rFonts w:hint="eastAsia" w:ascii="宋体" w:hAnsi="宋体"/>
          <w:szCs w:val="21"/>
        </w:rPr>
        <w:t>未参与踏勘现场不作为否定投标人资格的理由。</w:t>
      </w:r>
    </w:p>
    <w:p w14:paraId="0B58A112">
      <w:pPr>
        <w:rPr>
          <w:rFonts w:ascii="宋体" w:hAnsi="宋体"/>
          <w:szCs w:val="21"/>
        </w:rPr>
      </w:pPr>
      <w:r>
        <w:rPr>
          <w:rFonts w:hint="eastAsia" w:ascii="黑体" w:hAnsi="宋体" w:eastAsia="黑体"/>
          <w:sz w:val="24"/>
        </w:rPr>
        <w:t>1</w:t>
      </w:r>
      <w:r>
        <w:rPr>
          <w:rFonts w:ascii="黑体" w:hAnsi="宋体" w:eastAsia="黑体"/>
          <w:sz w:val="24"/>
        </w:rPr>
        <w:t>0</w:t>
      </w:r>
      <w:r>
        <w:rPr>
          <w:rFonts w:hint="eastAsia" w:ascii="黑体" w:hAnsi="宋体" w:eastAsia="黑体"/>
          <w:sz w:val="24"/>
        </w:rPr>
        <w:t>．标前会议</w:t>
      </w:r>
    </w:p>
    <w:p w14:paraId="7D22A5CF">
      <w:pPr>
        <w:ind w:firstLine="411" w:firstLineChars="196"/>
        <w:rPr>
          <w:rFonts w:ascii="宋体" w:hAnsi="宋体"/>
          <w:szCs w:val="21"/>
        </w:rPr>
      </w:pPr>
      <w:r>
        <w:rPr>
          <w:rFonts w:hint="eastAsia" w:ascii="宋体" w:hAnsi="宋体"/>
          <w:szCs w:val="21"/>
        </w:rPr>
        <w:t>1</w:t>
      </w:r>
      <w:r>
        <w:rPr>
          <w:rFonts w:ascii="宋体" w:hAnsi="宋体"/>
          <w:szCs w:val="21"/>
        </w:rPr>
        <w:t>0</w:t>
      </w:r>
      <w:r>
        <w:rPr>
          <w:rFonts w:hint="eastAsia" w:ascii="宋体" w:hAnsi="宋体"/>
          <w:szCs w:val="21"/>
        </w:rPr>
        <w:t>.</w:t>
      </w:r>
      <w:r>
        <w:rPr>
          <w:rFonts w:ascii="宋体" w:hAnsi="宋体"/>
          <w:szCs w:val="21"/>
        </w:rPr>
        <w:t>1</w:t>
      </w:r>
      <w:r>
        <w:rPr>
          <w:rFonts w:hint="eastAsia" w:ascii="宋体" w:hAnsi="宋体"/>
          <w:szCs w:val="21"/>
        </w:rPr>
        <w:t>如采购人或政府集中采购机构认为有必要组织标前会议，投标人应按照招标文件规定的时间或政府集中采购机构另行书面通知（包括政府集中采购机构网站发布方式，如更正公告等）的时间和地点，参与标前会议。</w:t>
      </w:r>
    </w:p>
    <w:p w14:paraId="3AF48B88">
      <w:pPr>
        <w:ind w:firstLine="411" w:firstLineChars="196"/>
        <w:rPr>
          <w:rFonts w:ascii="宋体" w:hAnsi="宋体"/>
          <w:szCs w:val="21"/>
        </w:rPr>
      </w:pPr>
      <w:r>
        <w:rPr>
          <w:rFonts w:ascii="宋体" w:hAnsi="宋体"/>
        </w:rPr>
        <w:t>10</w:t>
      </w:r>
      <w:r>
        <w:rPr>
          <w:rFonts w:hint="eastAsia" w:ascii="宋体" w:hAnsi="宋体"/>
        </w:rPr>
        <w:t>.</w:t>
      </w:r>
      <w:r>
        <w:rPr>
          <w:rFonts w:ascii="宋体" w:hAnsi="宋体"/>
        </w:rPr>
        <w:t>2</w:t>
      </w:r>
      <w:r>
        <w:rPr>
          <w:rFonts w:hint="eastAsia" w:ascii="宋体" w:hAnsi="宋体"/>
        </w:rPr>
        <w:t>任何人或任何组织在标前会议时向投标人提供的任何书面资料或口头承诺，未经政府集中采购机构在网上发布或书面通知，均作无效处理。</w:t>
      </w:r>
    </w:p>
    <w:p w14:paraId="11610792">
      <w:pPr>
        <w:ind w:firstLine="411" w:firstLineChars="196"/>
        <w:rPr>
          <w:rFonts w:ascii="宋体" w:hAnsi="宋体"/>
          <w:szCs w:val="21"/>
        </w:rPr>
      </w:pPr>
      <w:r>
        <w:rPr>
          <w:rFonts w:hint="eastAsia" w:ascii="宋体" w:hAnsi="宋体"/>
          <w:szCs w:val="21"/>
        </w:rPr>
        <w:t>1</w:t>
      </w:r>
      <w:r>
        <w:rPr>
          <w:rFonts w:ascii="宋体" w:hAnsi="宋体"/>
          <w:szCs w:val="21"/>
        </w:rPr>
        <w:t>0</w:t>
      </w:r>
      <w:r>
        <w:rPr>
          <w:rFonts w:hint="eastAsia" w:ascii="宋体" w:hAnsi="宋体"/>
          <w:szCs w:val="21"/>
        </w:rPr>
        <w:t>.</w:t>
      </w:r>
      <w:r>
        <w:rPr>
          <w:rFonts w:ascii="宋体" w:hAnsi="宋体"/>
          <w:szCs w:val="21"/>
        </w:rPr>
        <w:t>3</w:t>
      </w:r>
      <w:r>
        <w:rPr>
          <w:rFonts w:hint="eastAsia" w:ascii="宋体" w:hAnsi="宋体"/>
          <w:szCs w:val="21"/>
        </w:rPr>
        <w:t>未参与标前会议不作为否定投标人资格的理由。</w:t>
      </w:r>
    </w:p>
    <w:bookmarkEnd w:id="40"/>
    <w:p w14:paraId="459A9DB8">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r>
        <w:rPr>
          <w:rFonts w:hint="eastAsia" w:ascii="宋体" w:hAnsi="宋体"/>
          <w:b/>
          <w:bCs/>
          <w:kern w:val="0"/>
          <w:sz w:val="28"/>
          <w:szCs w:val="28"/>
        </w:rPr>
        <w:t>招标文件</w:t>
      </w:r>
    </w:p>
    <w:p w14:paraId="571515F2">
      <w:pPr>
        <w:rPr>
          <w:rFonts w:ascii="黑体" w:hAnsi="宋体" w:eastAsia="黑体"/>
          <w:sz w:val="24"/>
        </w:rPr>
      </w:pPr>
      <w:r>
        <w:rPr>
          <w:rFonts w:hint="eastAsia" w:ascii="黑体" w:hAnsi="宋体" w:eastAsia="黑体"/>
          <w:sz w:val="24"/>
        </w:rPr>
        <w:t>1</w:t>
      </w:r>
      <w:r>
        <w:rPr>
          <w:rFonts w:ascii="黑体" w:hAnsi="宋体" w:eastAsia="黑体"/>
          <w:sz w:val="24"/>
        </w:rPr>
        <w:t>1</w:t>
      </w:r>
      <w:r>
        <w:rPr>
          <w:rFonts w:hint="eastAsia" w:ascii="黑体" w:hAnsi="宋体" w:eastAsia="黑体"/>
          <w:sz w:val="24"/>
        </w:rPr>
        <w:t>．</w:t>
      </w:r>
      <w:bookmarkStart w:id="42" w:name="_Hlk72399819"/>
      <w:r>
        <w:rPr>
          <w:rFonts w:hint="eastAsia" w:ascii="黑体" w:hAnsi="宋体" w:eastAsia="黑体"/>
          <w:sz w:val="24"/>
        </w:rPr>
        <w:t>招标文件的编制与组成</w:t>
      </w:r>
    </w:p>
    <w:p w14:paraId="4DF76E66">
      <w:pPr>
        <w:snapToGrid w:val="0"/>
        <w:ind w:firstLine="420"/>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.1招标文件除以下内容外，政府集中采购机构在招标期间发出的澄清或修改等相关公告或通知内容，均是招标文件的组成部分，对投标人起约束作用；</w:t>
      </w:r>
    </w:p>
    <w:p w14:paraId="07ED4D01">
      <w:pPr>
        <w:ind w:firstLine="411" w:firstLineChars="196"/>
        <w:rPr>
          <w:rFonts w:ascii="宋体" w:hAnsi="宋体"/>
          <w:szCs w:val="21"/>
        </w:rPr>
      </w:pPr>
      <w:r>
        <w:rPr>
          <w:rFonts w:hint="eastAsia" w:ascii="宋体" w:hAnsi="宋体"/>
          <w:szCs w:val="21"/>
        </w:rPr>
        <w:t>招标文件包括下列内容：</w:t>
      </w:r>
    </w:p>
    <w:p w14:paraId="39D772C2">
      <w:r>
        <w:rPr>
          <w:rFonts w:hint="eastAsia"/>
        </w:rPr>
        <w:t>第一册  专用条款</w:t>
      </w:r>
    </w:p>
    <w:p w14:paraId="49560DF4">
      <w:r>
        <w:rPr>
          <w:rFonts w:hint="eastAsia"/>
        </w:rPr>
        <w:t>关键信息</w:t>
      </w:r>
    </w:p>
    <w:p w14:paraId="37084A27">
      <w:r>
        <w:rPr>
          <w:rFonts w:hint="eastAsia"/>
        </w:rPr>
        <w:t>第一章  招标公告</w:t>
      </w:r>
    </w:p>
    <w:p w14:paraId="1945B9A6">
      <w:r>
        <w:rPr>
          <w:rFonts w:hint="eastAsia"/>
        </w:rPr>
        <w:t>第二章  对通用条款的补充内容及其他关键信息</w:t>
      </w:r>
    </w:p>
    <w:p w14:paraId="3EA3C7B0">
      <w:r>
        <w:rPr>
          <w:rFonts w:hint="eastAsia"/>
        </w:rPr>
        <w:t>第三章  用户需求书</w:t>
      </w:r>
    </w:p>
    <w:p w14:paraId="680A18AE">
      <w:r>
        <w:rPr>
          <w:rFonts w:hint="eastAsia"/>
        </w:rPr>
        <w:t>第四章 投标文件格式及附件</w:t>
      </w:r>
    </w:p>
    <w:p w14:paraId="44980C69">
      <w:r>
        <w:rPr>
          <w:rFonts w:hint="eastAsia"/>
        </w:rPr>
        <w:t>第五章  合同条款及格式</w:t>
      </w:r>
    </w:p>
    <w:p w14:paraId="3B438AC4">
      <w:r>
        <w:rPr>
          <w:rFonts w:hint="eastAsia"/>
        </w:rPr>
        <w:t>第二册  通用条款</w:t>
      </w:r>
    </w:p>
    <w:p w14:paraId="7FB4E3F6">
      <w:r>
        <w:rPr>
          <w:rFonts w:hint="eastAsia"/>
        </w:rPr>
        <w:t>第一章  总则</w:t>
      </w:r>
    </w:p>
    <w:p w14:paraId="3DEE483C">
      <w:r>
        <w:rPr>
          <w:rFonts w:hint="eastAsia"/>
        </w:rPr>
        <w:t>第二章  招标文件</w:t>
      </w:r>
    </w:p>
    <w:p w14:paraId="1B9D056C">
      <w:r>
        <w:rPr>
          <w:rFonts w:hint="eastAsia"/>
        </w:rPr>
        <w:t>第三章  投标文件的编制</w:t>
      </w:r>
    </w:p>
    <w:p w14:paraId="675A3DA1">
      <w:r>
        <w:rPr>
          <w:rFonts w:hint="eastAsia"/>
        </w:rPr>
        <w:t>第四章  投标文件的递交</w:t>
      </w:r>
    </w:p>
    <w:p w14:paraId="08A307DE">
      <w:r>
        <w:rPr>
          <w:rFonts w:hint="eastAsia"/>
        </w:rPr>
        <w:t>第五章  开标</w:t>
      </w:r>
    </w:p>
    <w:p w14:paraId="00C0AF89">
      <w:r>
        <w:rPr>
          <w:rFonts w:hint="eastAsia"/>
        </w:rPr>
        <w:t>第六章  评审要求</w:t>
      </w:r>
    </w:p>
    <w:p w14:paraId="76E1370E">
      <w:r>
        <w:rPr>
          <w:rFonts w:hint="eastAsia"/>
        </w:rPr>
        <w:t>第七章  评审程序及评审方法</w:t>
      </w:r>
    </w:p>
    <w:p w14:paraId="7A66DEAD">
      <w:r>
        <w:rPr>
          <w:rFonts w:hint="eastAsia"/>
        </w:rPr>
        <w:t>第八章  定标及公示</w:t>
      </w:r>
    </w:p>
    <w:p w14:paraId="2EF20786">
      <w:r>
        <w:rPr>
          <w:rFonts w:hint="eastAsia"/>
        </w:rPr>
        <w:t>第九章  公开招标失败的后续处理</w:t>
      </w:r>
    </w:p>
    <w:p w14:paraId="2C048D56">
      <w:r>
        <w:rPr>
          <w:rFonts w:hint="eastAsia"/>
        </w:rPr>
        <w:t>第十章  合同的授予与备案</w:t>
      </w:r>
    </w:p>
    <w:p w14:paraId="577D8210">
      <w:r>
        <w:rPr>
          <w:rFonts w:hint="eastAsia"/>
        </w:rPr>
        <w:t>第十一章  质疑处理</w:t>
      </w:r>
    </w:p>
    <w:p w14:paraId="1A19D9AE">
      <w:pPr>
        <w:ind w:firstLine="411" w:firstLineChars="196"/>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.2 投标人下载招标文件后，应仔细检查招标文件的所有内容，如有疑问应在答疑截止时间之前向政府集中采购机构提出，否则，由此引起的投标损失自负；投标人同时应认真审阅招标文件所有的事项、格式、条款和规范要求等，如果投标人的投标文件未按招标文件要求提交全部资料或者投标文件未对招标文件做出实质性响应，其风险由投标人自行承担。</w:t>
      </w:r>
    </w:p>
    <w:p w14:paraId="4F4F4BDC">
      <w:pPr>
        <w:ind w:firstLine="411" w:firstLineChars="196"/>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.3</w:t>
      </w:r>
      <w:r>
        <w:rPr>
          <w:rFonts w:hint="eastAsia" w:ascii="宋体" w:hAnsi="宋体"/>
        </w:rPr>
        <w:t>任何人或任何组织向投标人提交的任何书面或口头资料，未经政府集中采购机构在网上发布或书面通知，均作无效处理，不得作为招标文件的组成部分。政府集中采购机构对投标人由此而做出的推论、理解和结论概不负责。</w:t>
      </w:r>
    </w:p>
    <w:p w14:paraId="62DAF52B">
      <w:pPr>
        <w:rPr>
          <w:rFonts w:ascii="黑体" w:hAnsi="宋体" w:eastAsia="黑体"/>
          <w:sz w:val="24"/>
        </w:rPr>
      </w:pPr>
      <w:r>
        <w:rPr>
          <w:rFonts w:hint="eastAsia" w:ascii="黑体" w:hAnsi="宋体" w:eastAsia="黑体"/>
          <w:sz w:val="24"/>
        </w:rPr>
        <w:t>1</w:t>
      </w:r>
      <w:r>
        <w:rPr>
          <w:rFonts w:ascii="黑体" w:hAnsi="宋体" w:eastAsia="黑体"/>
          <w:sz w:val="24"/>
        </w:rPr>
        <w:t>2</w:t>
      </w:r>
      <w:r>
        <w:rPr>
          <w:rFonts w:hint="eastAsia" w:ascii="黑体" w:hAnsi="宋体" w:eastAsia="黑体"/>
          <w:sz w:val="24"/>
        </w:rPr>
        <w:t>．招标文件的澄清</w:t>
      </w:r>
    </w:p>
    <w:p w14:paraId="7F9A54CB">
      <w:pPr>
        <w:ind w:firstLine="411" w:firstLineChars="196"/>
        <w:rPr>
          <w:rFonts w:ascii="宋体" w:hAnsi="宋体"/>
          <w:szCs w:val="21"/>
        </w:rPr>
      </w:pPr>
      <w:r>
        <w:rPr>
          <w:rFonts w:hint="eastAsia" w:ascii="宋体" w:hAnsi="宋体"/>
          <w:szCs w:val="21"/>
        </w:rPr>
        <w:t>1</w:t>
      </w:r>
      <w:r>
        <w:rPr>
          <w:rFonts w:ascii="宋体" w:hAnsi="宋体"/>
          <w:szCs w:val="21"/>
        </w:rPr>
        <w:t>2</w:t>
      </w:r>
      <w:r>
        <w:rPr>
          <w:rFonts w:hint="eastAsia" w:ascii="宋体" w:hAnsi="宋体"/>
          <w:szCs w:val="21"/>
        </w:rPr>
        <w:t>.1招标文件澄清的目的是澄清、解答投标人在查阅招标文件后或现场踏勘中可能提出的与投标有关的疑问或询问。</w:t>
      </w:r>
    </w:p>
    <w:p w14:paraId="0C1C7918">
      <w:pPr>
        <w:ind w:firstLine="411" w:firstLineChars="196"/>
        <w:rPr>
          <w:rFonts w:ascii="宋体" w:hAnsi="宋体"/>
          <w:szCs w:val="21"/>
        </w:rPr>
      </w:pPr>
      <w:r>
        <w:rPr>
          <w:rFonts w:hint="eastAsia" w:ascii="宋体" w:hAnsi="宋体"/>
          <w:szCs w:val="21"/>
        </w:rPr>
        <w:t>1</w:t>
      </w:r>
      <w:r>
        <w:rPr>
          <w:rFonts w:ascii="宋体" w:hAnsi="宋体"/>
          <w:szCs w:val="21"/>
        </w:rPr>
        <w:t>2</w:t>
      </w:r>
      <w:r>
        <w:rPr>
          <w:rFonts w:hint="eastAsia" w:ascii="宋体" w:hAnsi="宋体"/>
          <w:szCs w:val="21"/>
        </w:rPr>
        <w:t>.2投标人如对招标文件内容有疑问，应当在招标公告规定的澄清（提问）截止时间前以网上提问的形式通过网上政府采购系统提交政府集中采购机构。</w:t>
      </w:r>
    </w:p>
    <w:p w14:paraId="068636B1">
      <w:pPr>
        <w:ind w:firstLine="411" w:firstLineChars="196"/>
        <w:rPr>
          <w:rFonts w:ascii="宋体" w:hAnsi="宋体"/>
          <w:szCs w:val="21"/>
        </w:rPr>
      </w:pPr>
      <w:r>
        <w:rPr>
          <w:rFonts w:hint="eastAsia" w:ascii="宋体" w:hAnsi="宋体"/>
          <w:szCs w:val="21"/>
        </w:rPr>
        <w:t>1</w:t>
      </w:r>
      <w:r>
        <w:rPr>
          <w:rFonts w:ascii="宋体" w:hAnsi="宋体"/>
          <w:szCs w:val="21"/>
        </w:rPr>
        <w:t>2</w:t>
      </w:r>
      <w:r>
        <w:rPr>
          <w:rFonts w:hint="eastAsia" w:ascii="宋体" w:hAnsi="宋体"/>
          <w:szCs w:val="21"/>
        </w:rPr>
        <w:t>.3不论是政府集中采购机构根据需要主动对招标文件进行必要的澄清或是根据投标人的要求对招标文件做出澄清，政府集中采购机构都将在投标截止日期前以书面形式（包括政府集中采购机构网站发布方式）答复或发送给所有投标人。答复内容是招标文件的组成部分，对投标人起约束作用，其有效性按照本通用条款第1</w:t>
      </w:r>
      <w:r>
        <w:rPr>
          <w:rFonts w:ascii="宋体" w:hAnsi="宋体"/>
          <w:szCs w:val="21"/>
        </w:rPr>
        <w:t>3.3</w:t>
      </w:r>
      <w:r>
        <w:rPr>
          <w:rFonts w:hint="eastAsia" w:ascii="宋体" w:hAnsi="宋体"/>
          <w:szCs w:val="21"/>
        </w:rPr>
        <w:t>、1</w:t>
      </w:r>
      <w:r>
        <w:rPr>
          <w:rFonts w:ascii="宋体" w:hAnsi="宋体"/>
          <w:szCs w:val="21"/>
        </w:rPr>
        <w:t>3.4</w:t>
      </w:r>
      <w:r>
        <w:rPr>
          <w:rFonts w:hint="eastAsia" w:ascii="宋体" w:hAnsi="宋体"/>
          <w:szCs w:val="21"/>
        </w:rPr>
        <w:t>款规定执行。</w:t>
      </w:r>
    </w:p>
    <w:p w14:paraId="3FA0FC9C">
      <w:pPr>
        <w:rPr>
          <w:rFonts w:ascii="黑体" w:hAnsi="宋体" w:eastAsia="黑体"/>
          <w:sz w:val="24"/>
        </w:rPr>
      </w:pPr>
      <w:r>
        <w:rPr>
          <w:rFonts w:ascii="黑体" w:hAnsi="宋体" w:eastAsia="黑体"/>
          <w:sz w:val="24"/>
        </w:rPr>
        <w:t>1</w:t>
      </w:r>
      <w:r>
        <w:rPr>
          <w:rFonts w:hint="eastAsia" w:ascii="黑体" w:hAnsi="宋体" w:eastAsia="黑体"/>
          <w:sz w:val="24"/>
        </w:rPr>
        <w:t>3．招标文件的修改</w:t>
      </w:r>
    </w:p>
    <w:p w14:paraId="34C95BAD">
      <w:pPr>
        <w:ind w:firstLine="411" w:firstLineChars="196"/>
        <w:rPr>
          <w:rFonts w:ascii="宋体" w:hAnsi="宋体"/>
          <w:szCs w:val="21"/>
        </w:rPr>
      </w:pPr>
      <w:r>
        <w:rPr>
          <w:rFonts w:ascii="宋体" w:hAnsi="宋体"/>
          <w:szCs w:val="21"/>
        </w:rPr>
        <w:t>1</w:t>
      </w:r>
      <w:r>
        <w:rPr>
          <w:rFonts w:hint="eastAsia" w:ascii="宋体" w:hAnsi="宋体"/>
          <w:szCs w:val="21"/>
        </w:rPr>
        <w:t>3.1招标文件发出后，在投标截止日期前任何时候，确需要变更招标文件内容的，政府集中采购机构可主动或在解答投标人提出的澄清问题时对招标文件进行修改。</w:t>
      </w:r>
    </w:p>
    <w:p w14:paraId="34A34E2E">
      <w:pPr>
        <w:ind w:firstLine="411" w:firstLineChars="196"/>
        <w:rPr>
          <w:rFonts w:ascii="宋体" w:hAnsi="宋体"/>
          <w:szCs w:val="21"/>
        </w:rPr>
      </w:pPr>
      <w:r>
        <w:rPr>
          <w:rFonts w:ascii="宋体" w:hAnsi="宋体"/>
          <w:szCs w:val="21"/>
        </w:rPr>
        <w:t>1</w:t>
      </w:r>
      <w:r>
        <w:rPr>
          <w:rFonts w:hint="eastAsia" w:ascii="宋体" w:hAnsi="宋体"/>
          <w:szCs w:val="21"/>
        </w:rPr>
        <w:t>3.2招标文件的修改以书面形式（包括政府集中采购机构网站发布方式，如更正公告等）发送给所有投标人，招标文件的修改内容作为招标文件的组成部分，并具有约束力。</w:t>
      </w:r>
    </w:p>
    <w:p w14:paraId="739BACDB">
      <w:pPr>
        <w:ind w:firstLine="411" w:firstLineChars="196"/>
        <w:rPr>
          <w:rFonts w:ascii="宋体" w:hAnsi="宋体"/>
          <w:szCs w:val="21"/>
        </w:rPr>
      </w:pPr>
      <w:r>
        <w:rPr>
          <w:rFonts w:ascii="宋体" w:hAnsi="宋体"/>
          <w:szCs w:val="21"/>
        </w:rPr>
        <w:t>1</w:t>
      </w:r>
      <w:r>
        <w:rPr>
          <w:rFonts w:hint="eastAsia" w:ascii="宋体" w:hAnsi="宋体"/>
          <w:szCs w:val="21"/>
        </w:rPr>
        <w:t>3.3招标文件、招标文件澄清答复内容、招标文件修改补充内容均以书面形式（包括政府集中采购机构网站公开发布方式，如更正公告等）明确的内容为准。当招标文件、修改补充通知、招标文件澄清答复内容相互矛盾时，以最后发出的内容为准。</w:t>
      </w:r>
    </w:p>
    <w:p w14:paraId="24CA0FAD">
      <w:pPr>
        <w:ind w:firstLine="411" w:firstLineChars="196"/>
        <w:rPr>
          <w:rFonts w:ascii="宋体" w:hAnsi="宋体"/>
          <w:szCs w:val="21"/>
        </w:rPr>
      </w:pPr>
      <w:r>
        <w:rPr>
          <w:rFonts w:ascii="宋体" w:hAnsi="宋体"/>
          <w:szCs w:val="21"/>
        </w:rPr>
        <w:t>1</w:t>
      </w:r>
      <w:r>
        <w:rPr>
          <w:rFonts w:hint="eastAsia" w:ascii="宋体" w:hAnsi="宋体"/>
          <w:szCs w:val="21"/>
        </w:rPr>
        <w:t>3.4政府集中采购机构保证招标文件澄清答复内容和招标文件修改补充内容在投标截止时间前以书面形式（包括政府集中采购机构网站发布方式，如更正公告等）发送给所有投标人。为使投标人在编制投标文件时有充分时间对招标文件的修改部分进行研究，政府集中采购机构可以酌情延长递交投标文件的截止日期。</w:t>
      </w:r>
      <w:bookmarkEnd w:id="42"/>
    </w:p>
    <w:p w14:paraId="457C0054">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r>
        <w:rPr>
          <w:rFonts w:hint="eastAsia" w:ascii="宋体" w:hAnsi="宋体"/>
          <w:b/>
          <w:bCs/>
          <w:kern w:val="0"/>
          <w:sz w:val="28"/>
          <w:szCs w:val="28"/>
        </w:rPr>
        <w:t>投标文件的编制</w:t>
      </w:r>
    </w:p>
    <w:p w14:paraId="36296F1A">
      <w:pPr>
        <w:rPr>
          <w:rFonts w:ascii="黑体" w:hAnsi="宋体" w:eastAsia="黑体"/>
          <w:sz w:val="24"/>
        </w:rPr>
      </w:pPr>
      <w:r>
        <w:rPr>
          <w:rFonts w:hint="eastAsia" w:ascii="黑体" w:hAnsi="宋体" w:eastAsia="黑体"/>
          <w:sz w:val="24"/>
        </w:rPr>
        <w:t>14．</w:t>
      </w:r>
      <w:bookmarkStart w:id="43" w:name="_Hlk72400236"/>
      <w:r>
        <w:rPr>
          <w:rFonts w:hint="eastAsia" w:ascii="黑体" w:hAnsi="宋体" w:eastAsia="黑体"/>
          <w:sz w:val="24"/>
        </w:rPr>
        <w:t>投标文件的语言及度量单位</w:t>
      </w:r>
    </w:p>
    <w:p w14:paraId="3AA69ECD">
      <w:pPr>
        <w:ind w:firstLine="411" w:firstLineChars="196"/>
        <w:rPr>
          <w:rFonts w:ascii="宋体" w:hAnsi="宋体"/>
          <w:szCs w:val="21"/>
        </w:rPr>
      </w:pPr>
      <w:r>
        <w:rPr>
          <w:rFonts w:hint="eastAsia" w:ascii="宋体" w:hAnsi="宋体"/>
          <w:szCs w:val="21"/>
        </w:rPr>
        <w:t>14.1 投标人与政府集中采购机构之间与投标有关的所有往来通知、函件和投标文件均用中文表述。投标人随投标文件提供的证明文件和资料可以为其它语言，但必须附中文译文。翻译的中文资料与外文资料如果出现差异时，以中文为准，但翻译错误的除外。</w:t>
      </w:r>
    </w:p>
    <w:p w14:paraId="33859B86">
      <w:pPr>
        <w:ind w:firstLine="411" w:firstLineChars="196"/>
        <w:rPr>
          <w:rFonts w:ascii="宋体" w:hAnsi="宋体"/>
          <w:szCs w:val="21"/>
        </w:rPr>
      </w:pPr>
      <w:r>
        <w:rPr>
          <w:rFonts w:hint="eastAsia" w:ascii="宋体" w:hAnsi="宋体"/>
          <w:szCs w:val="21"/>
        </w:rPr>
        <w:t>14.2 除技术规范另有规定外，投标文件使用的度量单位，均采用中华人民共和国法定计量单位。</w:t>
      </w:r>
    </w:p>
    <w:bookmarkEnd w:id="43"/>
    <w:p w14:paraId="2949E59F">
      <w:pPr>
        <w:rPr>
          <w:rFonts w:ascii="黑体" w:hAnsi="宋体" w:eastAsia="黑体"/>
          <w:sz w:val="24"/>
        </w:rPr>
      </w:pPr>
      <w:r>
        <w:rPr>
          <w:rFonts w:hint="eastAsia" w:ascii="黑体" w:hAnsi="宋体" w:eastAsia="黑体"/>
          <w:sz w:val="24"/>
        </w:rPr>
        <w:t>15．</w:t>
      </w:r>
      <w:bookmarkStart w:id="44" w:name="_Hlk72401567"/>
      <w:r>
        <w:rPr>
          <w:rFonts w:hint="eastAsia" w:ascii="黑体" w:hAnsi="宋体" w:eastAsia="黑体"/>
          <w:sz w:val="24"/>
        </w:rPr>
        <w:t>投标文件的组成</w:t>
      </w:r>
    </w:p>
    <w:p w14:paraId="0F27BA7B">
      <w:pPr>
        <w:ind w:firstLine="411" w:firstLineChars="196"/>
        <w:rPr>
          <w:rFonts w:ascii="宋体" w:hAnsi="宋体"/>
          <w:szCs w:val="21"/>
        </w:rPr>
      </w:pPr>
      <w:r>
        <w:rPr>
          <w:rFonts w:hint="eastAsia" w:ascii="宋体" w:hAnsi="宋体"/>
          <w:szCs w:val="21"/>
        </w:rPr>
        <w:t>具体内容在招标文件专用条款中进行规定。</w:t>
      </w:r>
    </w:p>
    <w:p w14:paraId="3CDA2499">
      <w:pPr>
        <w:rPr>
          <w:rFonts w:ascii="黑体" w:hAnsi="宋体" w:eastAsia="黑体"/>
          <w:sz w:val="24"/>
        </w:rPr>
      </w:pPr>
      <w:r>
        <w:rPr>
          <w:rFonts w:ascii="黑体" w:hAnsi="宋体" w:eastAsia="黑体"/>
          <w:sz w:val="24"/>
        </w:rPr>
        <w:t>16．投标文件格式</w:t>
      </w:r>
    </w:p>
    <w:p w14:paraId="5BAEA6E1">
      <w:pPr>
        <w:ind w:firstLine="411" w:firstLineChars="196"/>
        <w:rPr>
          <w:rFonts w:ascii="宋体" w:hAnsi="宋体"/>
          <w:szCs w:val="21"/>
        </w:rPr>
      </w:pPr>
      <w:r>
        <w:rPr>
          <w:rFonts w:hint="eastAsia" w:ascii="宋体" w:hAnsi="宋体"/>
          <w:szCs w:val="21"/>
        </w:rPr>
        <w:t>投标文件包括本通用条款第</w:t>
      </w:r>
      <w:r>
        <w:rPr>
          <w:rFonts w:ascii="宋体" w:hAnsi="宋体"/>
          <w:szCs w:val="21"/>
        </w:rPr>
        <w:t>15条中规定的内容。如招标文件提供了投标文件格式，则</w:t>
      </w:r>
      <w:r>
        <w:rPr>
          <w:rFonts w:hint="eastAsia" w:ascii="宋体" w:hAnsi="宋体"/>
          <w:b/>
          <w:bCs/>
          <w:szCs w:val="21"/>
        </w:rPr>
        <w:t>投标人提交的投标文件应毫无例外地使用招标文件所提供的相应格式</w:t>
      </w:r>
      <w:r>
        <w:rPr>
          <w:rFonts w:hint="eastAsia" w:ascii="宋体" w:hAnsi="宋体"/>
          <w:szCs w:val="21"/>
        </w:rPr>
        <w:t>（表格均可按同样格式扩展）。</w:t>
      </w:r>
    </w:p>
    <w:p w14:paraId="681DF72F">
      <w:pPr>
        <w:rPr>
          <w:rFonts w:ascii="黑体" w:hAnsi="宋体" w:eastAsia="黑体"/>
          <w:sz w:val="24"/>
        </w:rPr>
      </w:pPr>
      <w:r>
        <w:rPr>
          <w:rFonts w:hint="eastAsia" w:ascii="黑体" w:hAnsi="宋体" w:eastAsia="黑体"/>
          <w:sz w:val="24"/>
        </w:rPr>
        <w:t>17．投标货币</w:t>
      </w:r>
    </w:p>
    <w:p w14:paraId="69C76A40">
      <w:pPr>
        <w:ind w:firstLine="411" w:firstLineChars="196"/>
        <w:rPr>
          <w:rFonts w:ascii="宋体" w:hAnsi="宋体"/>
          <w:szCs w:val="21"/>
        </w:rPr>
      </w:pPr>
      <w:r>
        <w:rPr>
          <w:rFonts w:hint="eastAsia" w:ascii="宋体" w:hAnsi="宋体"/>
          <w:szCs w:val="21"/>
        </w:rPr>
        <w:t>本项目的投标报价应以人民币计。</w:t>
      </w:r>
    </w:p>
    <w:bookmarkEnd w:id="44"/>
    <w:p w14:paraId="10D0CDAB">
      <w:pPr>
        <w:rPr>
          <w:rFonts w:ascii="黑体" w:hAnsi="宋体" w:eastAsia="黑体"/>
          <w:sz w:val="24"/>
        </w:rPr>
      </w:pPr>
      <w:r>
        <w:rPr>
          <w:rFonts w:hint="eastAsia" w:ascii="黑体" w:hAnsi="宋体" w:eastAsia="黑体"/>
          <w:sz w:val="24"/>
        </w:rPr>
        <w:t>18．</w:t>
      </w:r>
      <w:bookmarkStart w:id="45" w:name="_Hlk72401735"/>
      <w:r>
        <w:rPr>
          <w:rFonts w:hint="eastAsia" w:ascii="黑体" w:hAnsi="宋体" w:eastAsia="黑体"/>
          <w:sz w:val="24"/>
        </w:rPr>
        <w:t>证明投标文件投标技术方案的合格性和符合招标文件规定的文件要求</w:t>
      </w:r>
    </w:p>
    <w:p w14:paraId="34EFDBFF">
      <w:pPr>
        <w:ind w:firstLine="411" w:firstLineChars="196"/>
        <w:rPr>
          <w:rFonts w:ascii="宋体" w:hAnsi="宋体"/>
          <w:szCs w:val="21"/>
        </w:rPr>
      </w:pPr>
      <w:r>
        <w:rPr>
          <w:rFonts w:hint="eastAsia" w:ascii="宋体" w:hAnsi="宋体"/>
          <w:szCs w:val="21"/>
        </w:rPr>
        <w:t>18</w:t>
      </w:r>
      <w:r>
        <w:rPr>
          <w:rFonts w:ascii="宋体" w:hAnsi="宋体"/>
          <w:szCs w:val="21"/>
        </w:rPr>
        <w:t xml:space="preserve">.1 </w:t>
      </w:r>
      <w:r>
        <w:rPr>
          <w:rFonts w:hint="eastAsia" w:ascii="宋体" w:hAnsi="宋体"/>
          <w:szCs w:val="21"/>
        </w:rPr>
        <w:t>投标人应提交证明文件，证明其投标技术方案项下的货物和服务的合格性符合招标文件规定。该投标技术方案及其证明文件均作为投标文件组成部分。</w:t>
      </w:r>
    </w:p>
    <w:p w14:paraId="23BC6CDB">
      <w:pPr>
        <w:ind w:firstLine="411" w:firstLineChars="196"/>
        <w:rPr>
          <w:rFonts w:ascii="宋体" w:hAnsi="宋体"/>
          <w:szCs w:val="21"/>
        </w:rPr>
      </w:pPr>
      <w:r>
        <w:rPr>
          <w:rFonts w:ascii="宋体" w:hAnsi="宋体"/>
          <w:szCs w:val="21"/>
        </w:rPr>
        <w:t>1</w:t>
      </w:r>
      <w:r>
        <w:rPr>
          <w:rFonts w:hint="eastAsia" w:ascii="宋体" w:hAnsi="宋体"/>
          <w:szCs w:val="21"/>
        </w:rPr>
        <w:t>8</w:t>
      </w:r>
      <w:r>
        <w:rPr>
          <w:rFonts w:ascii="宋体" w:hAnsi="宋体"/>
          <w:szCs w:val="21"/>
        </w:rPr>
        <w:t xml:space="preserve">.2 </w:t>
      </w:r>
      <w:r>
        <w:rPr>
          <w:rFonts w:hint="eastAsia" w:ascii="宋体" w:hAnsi="宋体"/>
          <w:szCs w:val="21"/>
        </w:rPr>
        <w:t>投标人提供证明投标技术方案与招标文件的要求相一致的文件，可以是文字资料、图纸、数据或数码照片、制造商公布的产品说明书、产品彩页和我国政府机构出具的产品检验和核准证件等，提供的文件应符合以下要求：</w:t>
      </w:r>
    </w:p>
    <w:p w14:paraId="68A5F989">
      <w:pPr>
        <w:ind w:firstLine="411" w:firstLineChars="196"/>
        <w:rPr>
          <w:rFonts w:ascii="宋体" w:hAnsi="宋体"/>
          <w:szCs w:val="21"/>
        </w:rPr>
      </w:pPr>
      <w:r>
        <w:rPr>
          <w:rFonts w:hint="eastAsia" w:ascii="宋体" w:hAnsi="宋体"/>
          <w:szCs w:val="21"/>
        </w:rPr>
        <w:t>18.2.1主要技术指标和性能的详细说明。</w:t>
      </w:r>
    </w:p>
    <w:p w14:paraId="7FE227C1">
      <w:pPr>
        <w:ind w:firstLine="411" w:firstLineChars="196"/>
        <w:rPr>
          <w:rFonts w:ascii="宋体" w:hAnsi="宋体"/>
          <w:szCs w:val="21"/>
        </w:rPr>
      </w:pPr>
      <w:r>
        <w:rPr>
          <w:rFonts w:hint="eastAsia" w:ascii="宋体" w:hAnsi="宋体"/>
          <w:szCs w:val="21"/>
        </w:rPr>
        <w:t>18.2.</w:t>
      </w:r>
      <w:r>
        <w:rPr>
          <w:rFonts w:ascii="宋体" w:hAnsi="宋体"/>
          <w:szCs w:val="21"/>
        </w:rPr>
        <w:t>2</w:t>
      </w:r>
      <w:r>
        <w:rPr>
          <w:rFonts w:hint="eastAsia" w:ascii="宋体" w:hAnsi="宋体"/>
          <w:szCs w:val="21"/>
        </w:rPr>
        <w:t>投标产品从采购人开始使用至招标文件中规定的周期内正常、连续地使用所必须的备件和专用工具清单，包括备件和专用工具的货源及现行价格。</w:t>
      </w:r>
    </w:p>
    <w:p w14:paraId="479C034B">
      <w:pPr>
        <w:ind w:firstLine="411" w:firstLineChars="196"/>
        <w:rPr>
          <w:rFonts w:ascii="宋体" w:hAnsi="宋体"/>
          <w:szCs w:val="21"/>
        </w:rPr>
      </w:pPr>
      <w:r>
        <w:rPr>
          <w:rFonts w:hint="eastAsia" w:ascii="宋体" w:hAnsi="宋体"/>
          <w:szCs w:val="21"/>
        </w:rPr>
        <w:t>18.2.</w:t>
      </w:r>
      <w:r>
        <w:rPr>
          <w:rFonts w:ascii="宋体" w:hAnsi="宋体"/>
          <w:szCs w:val="21"/>
        </w:rPr>
        <w:t>3</w:t>
      </w:r>
      <w:r>
        <w:rPr>
          <w:rFonts w:hint="eastAsia" w:ascii="宋体" w:hAnsi="宋体"/>
          <w:szCs w:val="21"/>
        </w:rPr>
        <w:t>对照招标文件技术规格，逐条说明投标技术方案已对采购人的技术规格做出了实质性的响应，或申明与技术规格条文的偏差和例外。投标人应详细说明投标技术方案中产品的具体参数，不得不合理照搬照抄招标文件的技术要求。</w:t>
      </w:r>
    </w:p>
    <w:p w14:paraId="759272F3">
      <w:pPr>
        <w:ind w:firstLine="411" w:firstLineChars="196"/>
        <w:rPr>
          <w:rFonts w:ascii="宋体" w:hAnsi="宋体"/>
          <w:szCs w:val="21"/>
        </w:rPr>
      </w:pPr>
      <w:r>
        <w:rPr>
          <w:rFonts w:hint="eastAsia" w:ascii="宋体" w:hAnsi="宋体"/>
          <w:szCs w:val="21"/>
        </w:rPr>
        <w:t>18.2.4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w:t>
      </w:r>
      <w:r>
        <w:rPr>
          <w:rFonts w:hint="eastAsia"/>
        </w:rPr>
        <w:t>清晰度要求能够使用电脑阅读、识别和判断</w:t>
      </w:r>
      <w:r>
        <w:rPr>
          <w:rFonts w:hint="eastAsia" w:ascii="宋体" w:hAnsi="宋体"/>
          <w:szCs w:val="21"/>
        </w:rPr>
        <w:t>；</w:t>
      </w:r>
    </w:p>
    <w:p w14:paraId="3FC5D4CC">
      <w:pPr>
        <w:ind w:firstLine="411" w:firstLineChars="196"/>
        <w:rPr>
          <w:rFonts w:ascii="宋体" w:hAnsi="宋体"/>
          <w:szCs w:val="21"/>
        </w:rPr>
      </w:pPr>
      <w:r>
        <w:rPr>
          <w:rFonts w:hint="eastAsia" w:ascii="宋体" w:hAnsi="宋体"/>
          <w:szCs w:val="21"/>
        </w:rPr>
        <w:t>18.2.5我国政府机构出具的产品检验和核准证件应为证件正面、背面和附件标注的全部具体内容；产品检验和核准证件的尺寸和清晰度应该能够在电脑上被阅读、识别和判断，提供原件扫描件。</w:t>
      </w:r>
    </w:p>
    <w:p w14:paraId="6EEF7EA9">
      <w:pPr>
        <w:ind w:firstLine="411" w:firstLineChars="196"/>
        <w:rPr>
          <w:rFonts w:ascii="宋体" w:hAnsi="宋体"/>
          <w:szCs w:val="21"/>
        </w:rPr>
      </w:pPr>
      <w:r>
        <w:rPr>
          <w:rFonts w:hint="eastAsia" w:ascii="宋体" w:hAnsi="宋体"/>
          <w:szCs w:val="21"/>
        </w:rPr>
        <w:t>18.3相关资料不符合18.2款要求的，评审委员会有权认定为投标技术方案不合格响应，其相关分数予以扣减或作投标无效处理。</w:t>
      </w:r>
    </w:p>
    <w:p w14:paraId="40DD2698">
      <w:pPr>
        <w:ind w:firstLine="411" w:firstLineChars="196"/>
        <w:rPr>
          <w:rFonts w:ascii="宋体" w:hAnsi="宋体"/>
          <w:szCs w:val="21"/>
        </w:rPr>
      </w:pPr>
      <w:r>
        <w:rPr>
          <w:rFonts w:ascii="宋体" w:hAnsi="宋体"/>
          <w:szCs w:val="21"/>
        </w:rPr>
        <w:t>1</w:t>
      </w:r>
      <w:r>
        <w:rPr>
          <w:rFonts w:hint="eastAsia" w:ascii="宋体" w:hAnsi="宋体"/>
          <w:szCs w:val="21"/>
        </w:rPr>
        <w:t>8</w:t>
      </w:r>
      <w:r>
        <w:rPr>
          <w:rFonts w:ascii="宋体" w:hAnsi="宋体"/>
          <w:szCs w:val="21"/>
        </w:rPr>
        <w:t>.</w:t>
      </w:r>
      <w:r>
        <w:rPr>
          <w:rFonts w:hint="eastAsia" w:ascii="宋体" w:hAnsi="宋体"/>
          <w:szCs w:val="21"/>
        </w:rPr>
        <w:t>4投标人在阐述上述第18.2时应注意采购人在技术规格中指出的工艺、材料和设备的标准以及参照的牌号或分类号仅起说明作用，并没有任何限制性。投标人在投标中可以选用替代标准、牌号或分类号，但这些替代要实质上满足招标文件中技术规格的要求，是否</w:t>
      </w:r>
      <w:r>
        <w:rPr>
          <w:rFonts w:hint="eastAsia"/>
        </w:rPr>
        <w:t>满足要求</w:t>
      </w:r>
      <w:r>
        <w:rPr>
          <w:rFonts w:hint="eastAsia" w:ascii="宋体" w:hAnsi="宋体"/>
          <w:szCs w:val="21"/>
        </w:rPr>
        <w:t>，由评审委员会来评判。</w:t>
      </w:r>
    </w:p>
    <w:p w14:paraId="50916159">
      <w:pPr>
        <w:ind w:firstLine="411" w:firstLineChars="196"/>
        <w:rPr>
          <w:rFonts w:ascii="宋体" w:hAnsi="宋体"/>
          <w:szCs w:val="21"/>
        </w:rPr>
      </w:pPr>
      <w:r>
        <w:rPr>
          <w:rFonts w:hint="eastAsia" w:ascii="宋体" w:hAnsi="宋体"/>
          <w:szCs w:val="21"/>
        </w:rPr>
        <w:t>18.5除非另有规定或说明，投标人对同一项目投标时，不得同时提供两套或两套以上的投标方案。</w:t>
      </w:r>
    </w:p>
    <w:bookmarkEnd w:id="45"/>
    <w:p w14:paraId="79B1F22B">
      <w:pPr>
        <w:rPr>
          <w:rFonts w:ascii="黑体" w:hAnsi="宋体" w:eastAsia="黑体"/>
          <w:sz w:val="24"/>
        </w:rPr>
      </w:pPr>
      <w:r>
        <w:rPr>
          <w:rFonts w:hint="eastAsia" w:ascii="黑体" w:hAnsi="宋体" w:eastAsia="黑体"/>
          <w:sz w:val="24"/>
        </w:rPr>
        <w:t>19．</w:t>
      </w:r>
      <w:bookmarkStart w:id="46" w:name="_Hlk72402034"/>
      <w:r>
        <w:rPr>
          <w:rFonts w:hint="eastAsia" w:ascii="黑体" w:hAnsi="宋体" w:eastAsia="黑体"/>
          <w:sz w:val="24"/>
        </w:rPr>
        <w:t>投标文件其他证明文件的要求</w:t>
      </w:r>
    </w:p>
    <w:p w14:paraId="6D5A4D8E">
      <w:pPr>
        <w:rPr>
          <w:rFonts w:ascii="宋体" w:hAnsi="宋体"/>
          <w:szCs w:val="21"/>
        </w:rPr>
      </w:pPr>
      <w:r>
        <w:rPr>
          <w:rFonts w:hint="eastAsia" w:ascii="宋体" w:hAnsi="宋体"/>
          <w:szCs w:val="21"/>
        </w:rPr>
        <w:t>19.1采用综合评分法的项目，对项目招标文件《评标信息》评分项中涉及的相关业绩、社保情况等内容以及《资格性审查表》和《符合性审查表》中涉及的证明材料，投标人应提供相关部门出具的证明材料扫描件或照片，原件备查。有关扫描件（或照片）的尺寸和清晰度要求能够使用电脑阅读、识别和判断。若投标人未按要求提供证明材料或提供的是部分证明材料或提供不清晰的扫描件（或照片）的，评审委员会有权认定其投标文件未对招标文件有关需求进行响应，涉及资格性检查或符合性检查的予以投标无效处理，涉及《评标信息》打分项的则该项评分予以0分处理。评审委员会对供应商投标资料是否异常、是否有效问题进行核查和判定，如认为供应商投标资料有异常或无效的，若涉及资格性审查或符合性审查条款的，则应作投标无效处理；若涉及评分的，则作不得分处理。</w:t>
      </w:r>
      <w:bookmarkStart w:id="47" w:name="_Hlk71407299"/>
    </w:p>
    <w:bookmarkEnd w:id="47"/>
    <w:p w14:paraId="0A854257">
      <w:pPr>
        <w:ind w:firstLine="411" w:firstLineChars="196"/>
        <w:rPr>
          <w:rFonts w:ascii="宋体" w:hAnsi="宋体"/>
          <w:szCs w:val="21"/>
        </w:rPr>
      </w:pPr>
      <w:r>
        <w:rPr>
          <w:rFonts w:hint="eastAsia" w:ascii="宋体" w:hAnsi="宋体"/>
          <w:szCs w:val="21"/>
        </w:rPr>
        <w:t>19.2本项目涉及提供的有关资质（资格）证书，若原有资质（资格）证书处于年审期间，须提供证书颁发部门提供的回执，并且回执须证明该证书依然有效（若在法规范围不需提供的，供应商应做书面说明并提供证明文件，否则该证书无效），则该投标人提供年审证明的可按原资质（资格）投标；若投标人正在申报上一级别资质（资格），在未获批准之前，仍按原级别资质（资格）投标。</w:t>
      </w:r>
    </w:p>
    <w:p w14:paraId="0C9C90D1">
      <w:pPr>
        <w:rPr>
          <w:rFonts w:ascii="黑体" w:hAnsi="宋体" w:eastAsia="黑体"/>
          <w:sz w:val="24"/>
        </w:rPr>
      </w:pPr>
      <w:r>
        <w:rPr>
          <w:rFonts w:hint="eastAsia" w:ascii="黑体" w:hAnsi="宋体" w:eastAsia="黑体"/>
          <w:sz w:val="24"/>
        </w:rPr>
        <w:t>20．投标有效期</w:t>
      </w:r>
    </w:p>
    <w:bookmarkEnd w:id="46"/>
    <w:p w14:paraId="754A4E3F">
      <w:pPr>
        <w:ind w:firstLine="411" w:firstLineChars="196"/>
        <w:rPr>
          <w:rFonts w:ascii="宋体" w:hAnsi="宋体"/>
          <w:szCs w:val="21"/>
        </w:rPr>
      </w:pPr>
      <w:bookmarkStart w:id="48" w:name="_Hlk72402214"/>
      <w:r>
        <w:rPr>
          <w:rFonts w:hint="eastAsia" w:ascii="宋体" w:hAnsi="宋体"/>
          <w:szCs w:val="21"/>
        </w:rPr>
        <w:t>20.1 投标有效期为</w:t>
      </w:r>
      <w:r>
        <w:rPr>
          <w:rFonts w:hint="eastAsia" w:ascii="Arial" w:hAnsi="Arial" w:cs="Arial"/>
          <w:szCs w:val="21"/>
        </w:rPr>
        <w:t>从投标截止之日算起的日历天数。</w:t>
      </w:r>
      <w:r>
        <w:rPr>
          <w:rFonts w:hint="eastAsia" w:ascii="宋体" w:hAnsi="宋体"/>
          <w:szCs w:val="21"/>
        </w:rPr>
        <w:t>在此期限内，所有投标文件均保持有效。</w:t>
      </w:r>
    </w:p>
    <w:p w14:paraId="7CB50470">
      <w:pPr>
        <w:ind w:firstLine="411" w:firstLineChars="196"/>
        <w:rPr>
          <w:rFonts w:ascii="宋体" w:hAnsi="宋体"/>
          <w:szCs w:val="21"/>
        </w:rPr>
      </w:pPr>
      <w:r>
        <w:rPr>
          <w:rFonts w:hint="eastAsia" w:ascii="宋体" w:hAnsi="宋体"/>
          <w:szCs w:val="21"/>
        </w:rPr>
        <w:t>20.2 在特殊情况下，政府集中采购机构在原定的投标有效期满之前，政府集中采购机构可以根据需要以书面形式（包括政府集中采购机构网站公开发布方式）向投标人提出延长投标有效期的要求，对此要求投标人须以书面形式予以答复，投标人可以拒绝政府集中采购机构此项要求，其投标在原投标有效期满后不再有效。同意延长投标有效期的投标人不能要求也不允许修改其投标文件。</w:t>
      </w:r>
    </w:p>
    <w:p w14:paraId="08D6CCD8">
      <w:pPr>
        <w:ind w:firstLine="411" w:firstLineChars="196"/>
        <w:rPr>
          <w:rFonts w:ascii="宋体" w:hAnsi="宋体"/>
          <w:szCs w:val="21"/>
        </w:rPr>
      </w:pPr>
      <w:r>
        <w:rPr>
          <w:rFonts w:hint="eastAsia" w:ascii="宋体" w:hAnsi="宋体"/>
          <w:szCs w:val="21"/>
        </w:rPr>
        <w:t>20</w:t>
      </w:r>
      <w:r>
        <w:rPr>
          <w:rFonts w:ascii="宋体" w:hAnsi="宋体"/>
          <w:szCs w:val="21"/>
        </w:rPr>
        <w:t>.3</w:t>
      </w:r>
      <w:r>
        <w:rPr>
          <w:rFonts w:hint="eastAsia" w:ascii="宋体" w:hAnsi="宋体"/>
          <w:szCs w:val="21"/>
        </w:rPr>
        <w:t xml:space="preserve"> 中标供应商的投标文件有效期，截止于完成本招标文件规定的全部项目内容，并通过竣工验收及保修期结束。</w:t>
      </w:r>
    </w:p>
    <w:bookmarkEnd w:id="48"/>
    <w:p w14:paraId="7762146D">
      <w:pPr>
        <w:rPr>
          <w:rFonts w:ascii="黑体" w:hAnsi="宋体" w:eastAsia="黑体"/>
          <w:sz w:val="24"/>
        </w:rPr>
      </w:pPr>
      <w:r>
        <w:rPr>
          <w:rFonts w:hint="eastAsia" w:ascii="黑体" w:hAnsi="宋体" w:eastAsia="黑体"/>
          <w:sz w:val="24"/>
        </w:rPr>
        <w:t>21．</w:t>
      </w:r>
      <w:bookmarkStart w:id="49" w:name="_Hlk72402325"/>
      <w:r>
        <w:rPr>
          <w:rFonts w:hint="eastAsia" w:ascii="黑体" w:hAnsi="宋体" w:eastAsia="黑体"/>
          <w:sz w:val="24"/>
        </w:rPr>
        <w:t xml:space="preserve">关于投标保证金 </w:t>
      </w:r>
    </w:p>
    <w:p w14:paraId="254AE451">
      <w:pPr>
        <w:rPr>
          <w:rFonts w:ascii="宋体" w:hAnsi="宋体"/>
          <w:szCs w:val="21"/>
        </w:rPr>
      </w:pPr>
      <w:r>
        <w:rPr>
          <w:rFonts w:hint="eastAsia" w:ascii="宋体" w:hAnsi="宋体"/>
          <w:szCs w:val="21"/>
        </w:rPr>
        <w:t xml:space="preserve">    21.1 </w:t>
      </w:r>
      <w:r>
        <w:rPr>
          <w:rFonts w:hint="eastAsia"/>
        </w:rPr>
        <w:t>根据《</w:t>
      </w:r>
      <w:r>
        <w:t>深圳市财政局关于明确政府采购保证金管理工作的通知</w:t>
      </w:r>
      <w:r>
        <w:rPr>
          <w:rFonts w:hint="eastAsia"/>
        </w:rPr>
        <w:t>》（深财购[</w:t>
      </w:r>
      <w:r>
        <w:t>2019]42</w:t>
      </w:r>
      <w:r>
        <w:rPr>
          <w:rFonts w:hint="eastAsia"/>
        </w:rPr>
        <w:t>号）文的规定，本项目不收取投标保证金。</w:t>
      </w:r>
    </w:p>
    <w:p w14:paraId="6CA258BD">
      <w:pPr>
        <w:rPr>
          <w:rFonts w:ascii="黑体" w:hAnsi="宋体" w:eastAsia="黑体"/>
          <w:sz w:val="24"/>
        </w:rPr>
      </w:pPr>
      <w:r>
        <w:rPr>
          <w:rFonts w:hint="eastAsia" w:ascii="黑体" w:hAnsi="宋体" w:eastAsia="黑体"/>
          <w:sz w:val="24"/>
        </w:rPr>
        <w:t>22．投标人的替代方案</w:t>
      </w:r>
    </w:p>
    <w:p w14:paraId="7D52D1DA">
      <w:pPr>
        <w:ind w:firstLine="411" w:firstLineChars="196"/>
        <w:rPr>
          <w:rFonts w:ascii="宋体" w:hAnsi="宋体"/>
          <w:szCs w:val="21"/>
        </w:rPr>
      </w:pPr>
      <w:r>
        <w:rPr>
          <w:rFonts w:hint="eastAsia" w:ascii="宋体" w:hAnsi="宋体"/>
          <w:szCs w:val="21"/>
        </w:rPr>
        <w:t>22.1投标人所提交的投标文件应完全满足招标文件（包括图纸和技术规范所示的基本技术设计）的要求。除非项目明确允许投标人提交替代方案，否则投标人有关替代方案的条款将初审不通过，作投标无效处理。</w:t>
      </w:r>
    </w:p>
    <w:p w14:paraId="2BBA885F">
      <w:pPr>
        <w:ind w:firstLine="411" w:firstLineChars="196"/>
        <w:rPr>
          <w:rFonts w:ascii="宋体" w:hAnsi="宋体"/>
          <w:szCs w:val="21"/>
        </w:rPr>
      </w:pPr>
      <w:r>
        <w:rPr>
          <w:rFonts w:hint="eastAsia" w:ascii="宋体" w:hAnsi="宋体"/>
          <w:szCs w:val="21"/>
        </w:rPr>
        <w:t>22.2 如果允许投标人提交替代方案，则准备提交替代方案的投标人除应提交一份满足招标文件（包括图纸和技术规范所示的基本技术设计）要求的投标文件外，还应提交需评审其替代方案所需的全部资料，包括项目方案书、技术规范、替代方案报价书、所建议的项目方案及有关的其它详细资料。</w:t>
      </w:r>
    </w:p>
    <w:bookmarkEnd w:id="49"/>
    <w:p w14:paraId="1488FD9E">
      <w:pPr>
        <w:rPr>
          <w:rFonts w:ascii="黑体" w:hAnsi="宋体" w:eastAsia="黑体"/>
          <w:sz w:val="24"/>
        </w:rPr>
      </w:pPr>
      <w:r>
        <w:rPr>
          <w:rFonts w:hint="eastAsia" w:ascii="黑体" w:hAnsi="宋体" w:eastAsia="黑体"/>
          <w:sz w:val="24"/>
        </w:rPr>
        <w:t>23．</w:t>
      </w:r>
      <w:bookmarkStart w:id="50" w:name="_Hlk72402860"/>
      <w:r>
        <w:rPr>
          <w:rFonts w:ascii="黑体" w:hAnsi="宋体" w:eastAsia="黑体"/>
          <w:sz w:val="24"/>
        </w:rPr>
        <w:t>投标文件的</w:t>
      </w:r>
      <w:r>
        <w:rPr>
          <w:rFonts w:hint="eastAsia" w:ascii="黑体" w:hAnsi="宋体" w:eastAsia="黑体"/>
          <w:sz w:val="24"/>
        </w:rPr>
        <w:t>制作</w:t>
      </w:r>
      <w:r>
        <w:rPr>
          <w:rFonts w:ascii="黑体" w:hAnsi="宋体" w:eastAsia="黑体"/>
          <w:sz w:val="24"/>
        </w:rPr>
        <w:t>要求</w:t>
      </w:r>
    </w:p>
    <w:p w14:paraId="0F11B3DB">
      <w:pPr>
        <w:ind w:firstLine="411" w:firstLineChars="196"/>
        <w:rPr>
          <w:rFonts w:ascii="宋体" w:hAnsi="宋体"/>
        </w:rPr>
      </w:pPr>
      <w:r>
        <w:rPr>
          <w:rFonts w:hint="eastAsia" w:ascii="宋体" w:hAnsi="宋体"/>
        </w:rPr>
        <w:t>23.1投标人应准备所投项目的电子投标文件一份。此电子投标文件须由投标人根据政府集中采购机构提供的后缀名为.szczf的电子招标文件，下载并使用相应的深圳智慧采购平台投标文件制作专用软件打开招标文件（.szczf格式）【下载地址：</w:t>
      </w:r>
      <w:r>
        <w:t>http://zfcg.szggzy.com/</w:t>
      </w:r>
      <w:r>
        <w:rPr>
          <w:rFonts w:hint="eastAsia" w:ascii="宋体" w:hAnsi="宋体"/>
        </w:rPr>
        <w:t>TPBidder/DownLoad/深圳市智慧采购平台投标文件制作专用软件.zip】。</w:t>
      </w:r>
    </w:p>
    <w:p w14:paraId="6A37A5EC">
      <w:pPr>
        <w:ind w:firstLine="411" w:firstLineChars="196"/>
        <w:rPr>
          <w:rFonts w:ascii="宋体" w:hAnsi="宋体"/>
        </w:rPr>
      </w:pPr>
      <w:r>
        <w:rPr>
          <w:rFonts w:hint="eastAsia" w:ascii="宋体" w:hAnsi="宋体"/>
        </w:rPr>
        <w:t>23.2投标人在使用《投标文件制作软件》编制投标书时须注意：</w:t>
      </w:r>
    </w:p>
    <w:p w14:paraId="64E2A87C">
      <w:pPr>
        <w:ind w:firstLine="411" w:firstLineChars="196"/>
        <w:rPr>
          <w:rFonts w:ascii="宋体" w:hAnsi="宋体"/>
        </w:rPr>
      </w:pPr>
      <w:r>
        <w:rPr>
          <w:rFonts w:hint="eastAsia" w:ascii="宋体" w:hAnsi="宋体"/>
        </w:rPr>
        <w:t>23.2.1导入《投标文件制作软件》的招标文件项目编号、包号应与以此制作的投标文件项目编号、包号一致。例如，不能将甲项目A包的招标书导入《投标文件制作软件》，制作乙项目B包的投标书。</w:t>
      </w:r>
    </w:p>
    <w:p w14:paraId="703E5D42">
      <w:pPr>
        <w:ind w:firstLine="411" w:firstLineChars="196"/>
        <w:rPr>
          <w:rFonts w:ascii="宋体" w:hAnsi="宋体"/>
        </w:rPr>
      </w:pPr>
      <w:r>
        <w:rPr>
          <w:rFonts w:hint="eastAsia" w:ascii="宋体" w:hAnsi="宋体"/>
        </w:rPr>
        <w:t>23.2.2不能用非本公司的电子密钥加密本公司的投标文件，或者用其它公司的登录用户上传本公司的投标文件。</w:t>
      </w:r>
    </w:p>
    <w:p w14:paraId="41392497">
      <w:pPr>
        <w:ind w:firstLine="411" w:firstLineChars="196"/>
        <w:rPr>
          <w:rFonts w:ascii="宋体" w:hAnsi="宋体"/>
        </w:rPr>
      </w:pPr>
      <w:r>
        <w:rPr>
          <w:rFonts w:hint="eastAsia" w:ascii="宋体" w:hAnsi="宋体"/>
        </w:rPr>
        <w:t>23.2.3要求用《投标文件制作软件》编制投标书的包，不能用其它方式编制投标书。编制投标文件时，电脑须连通互联网。</w:t>
      </w:r>
    </w:p>
    <w:p w14:paraId="0D823E0C">
      <w:pPr>
        <w:ind w:firstLine="411" w:firstLineChars="196"/>
        <w:rPr>
          <w:rFonts w:ascii="宋体" w:hAnsi="宋体"/>
        </w:rPr>
      </w:pPr>
      <w:r>
        <w:rPr>
          <w:rFonts w:hint="eastAsia" w:ascii="宋体" w:hAnsi="宋体"/>
        </w:rPr>
        <w:t>23.2.4投标文件不能带病毒。政府集中采购机构将用专业杀毒软件对投标文件进行病毒检测，如果这两种软件均报告发现病毒，则政府集中采购机构认为该投标文件带病毒。</w:t>
      </w:r>
    </w:p>
    <w:p w14:paraId="131F3AFF">
      <w:pPr>
        <w:ind w:firstLine="411" w:firstLineChars="196"/>
        <w:rPr>
          <w:rFonts w:ascii="宋体" w:hAnsi="宋体"/>
        </w:rPr>
      </w:pPr>
      <w:r>
        <w:rPr>
          <w:rFonts w:hint="eastAsia" w:ascii="宋体" w:hAnsi="宋体"/>
        </w:rPr>
        <w:t>23.2.5完整填写“投标关键信息”，如下图所示：</w:t>
      </w:r>
    </w:p>
    <w:p w14:paraId="76D72209">
      <w:pPr>
        <w:ind w:firstLine="411" w:firstLineChars="196"/>
        <w:rPr>
          <w:rFonts w:ascii="宋体" w:hAnsi="宋体"/>
        </w:rPr>
      </w:pPr>
      <w:r>
        <w:rPr>
          <w:rFonts w:ascii="宋体" w:hAnsi="宋体"/>
        </w:rPr>
        <w:drawing>
          <wp:inline distT="0" distB="0" distL="114300" distR="114300">
            <wp:extent cx="5278755" cy="2721610"/>
            <wp:effectExtent l="0" t="0" r="17145" b="2540"/>
            <wp:docPr id="5" name="图片 2"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图形用户界面, 应用程序&#10;&#10;描述已自动生成"/>
                    <pic:cNvPicPr>
                      <a:picLocks noChangeAspect="1"/>
                    </pic:cNvPicPr>
                  </pic:nvPicPr>
                  <pic:blipFill>
                    <a:blip r:embed="rId10"/>
                    <a:stretch>
                      <a:fillRect/>
                    </a:stretch>
                  </pic:blipFill>
                  <pic:spPr>
                    <a:xfrm>
                      <a:off x="0" y="0"/>
                      <a:ext cx="5278755" cy="2721610"/>
                    </a:xfrm>
                    <a:prstGeom prst="rect">
                      <a:avLst/>
                    </a:prstGeom>
                    <a:noFill/>
                    <a:ln>
                      <a:noFill/>
                    </a:ln>
                  </pic:spPr>
                </pic:pic>
              </a:graphicData>
            </a:graphic>
          </wp:inline>
        </w:drawing>
      </w:r>
    </w:p>
    <w:p w14:paraId="2A441F3F">
      <w:pPr>
        <w:ind w:firstLine="413" w:firstLineChars="196"/>
        <w:rPr>
          <w:rFonts w:ascii="宋体" w:hAnsi="宋体"/>
          <w:b/>
        </w:rPr>
      </w:pPr>
      <w:r>
        <w:rPr>
          <w:rFonts w:hint="eastAsia" w:ascii="宋体" w:hAnsi="宋体"/>
          <w:b/>
        </w:rPr>
        <w:t>备注：上述“开标一览表”中的“投标总价”将作为价格分计算依据；其它信息仅是对投标文件相关内容的概括性表述，不作为评审依据。</w:t>
      </w:r>
    </w:p>
    <w:p w14:paraId="69AAD86A">
      <w:pPr>
        <w:ind w:firstLine="411" w:firstLineChars="196"/>
        <w:rPr>
          <w:rFonts w:ascii="宋体" w:hAnsi="宋体"/>
        </w:rPr>
      </w:pPr>
      <w:r>
        <w:rPr>
          <w:rFonts w:hint="eastAsia" w:ascii="宋体" w:hAnsi="宋体"/>
        </w:rPr>
        <w:t>23.2.6投标人在编辑投标文件时，</w:t>
      </w:r>
      <w:r>
        <w:rPr>
          <w:rFonts w:hint="eastAsia" w:ascii="宋体" w:hAnsi="宋体"/>
          <w:b/>
        </w:rPr>
        <w:t>在投标文件目录中属于本节点内容的必须在本节点中填写，填写到其他节点或附件，</w:t>
      </w:r>
      <w:r>
        <w:rPr>
          <w:rFonts w:hint="eastAsia" w:ascii="宋体" w:hAnsi="宋体"/>
        </w:rPr>
        <w:t>一切后果由供应商自行承担。</w:t>
      </w:r>
    </w:p>
    <w:p w14:paraId="7825F34A">
      <w:pPr>
        <w:ind w:firstLine="411" w:firstLineChars="196"/>
        <w:rPr>
          <w:rFonts w:ascii="宋体" w:hAnsi="宋体"/>
        </w:rPr>
      </w:pPr>
      <w:r>
        <w:rPr>
          <w:rFonts w:hint="eastAsia" w:ascii="宋体" w:hAnsi="宋体"/>
        </w:rPr>
        <w:t>23.2.7投标文件编写完成后，</w:t>
      </w:r>
      <w:r>
        <w:rPr>
          <w:rFonts w:hint="eastAsia" w:ascii="宋体" w:hAnsi="宋体"/>
          <w:b/>
        </w:rPr>
        <w:t>必须用属于投标人的电子密钥进行加密，否则视同未盖公章，将导致投标文件无效。</w:t>
      </w:r>
    </w:p>
    <w:p w14:paraId="04F5118D">
      <w:pPr>
        <w:ind w:firstLine="411" w:firstLineChars="196"/>
        <w:rPr>
          <w:rFonts w:ascii="宋体" w:hAnsi="宋体"/>
        </w:rPr>
      </w:pPr>
      <w:r>
        <w:rPr>
          <w:rFonts w:hint="eastAsia" w:ascii="宋体" w:hAnsi="宋体"/>
        </w:rPr>
        <w:t>23.2.8政府集中采购机构不接受投标截止时间后递交的纸质、电子、传真等所有形式的投标文件。由于对网上政府采购系统操作不熟悉或自身电脑、网络等原因导致不能在投标截止时间之前上传投标文件，政府集中采购机构概不负责。建议于开标前一个工作日完成投标文件的制作与上传，如上传确有困难，请及时咨询。</w:t>
      </w:r>
    </w:p>
    <w:p w14:paraId="04226169">
      <w:pPr>
        <w:ind w:firstLine="411" w:firstLineChars="196"/>
        <w:rPr>
          <w:rFonts w:ascii="宋体" w:hAnsi="宋体"/>
        </w:rPr>
      </w:pPr>
      <w:r>
        <w:rPr>
          <w:rFonts w:hint="eastAsia" w:ascii="宋体" w:hAnsi="宋体"/>
        </w:rPr>
        <w:t>23.2.9如果开标时出现网络故障、技术故障，影响了政府采购活动，政府集中采购机构有权采取措施如延期、接受无法从网上上传的投标书等，以保障政府采购活动的公开、公平和公正。</w:t>
      </w:r>
    </w:p>
    <w:p w14:paraId="2019B861">
      <w:pPr>
        <w:ind w:firstLine="411" w:firstLineChars="196"/>
        <w:rPr>
          <w:rFonts w:ascii="宋体" w:hAnsi="宋体"/>
        </w:rPr>
      </w:pPr>
      <w:r>
        <w:rPr>
          <w:rFonts w:hint="eastAsia" w:ascii="宋体" w:hAnsi="宋体"/>
        </w:rPr>
        <w:t>23.3电报、电话、传真形式的投标概不接受。</w:t>
      </w:r>
    </w:p>
    <w:p w14:paraId="395EEE63">
      <w:pPr>
        <w:ind w:firstLine="413" w:firstLineChars="196"/>
        <w:rPr>
          <w:rFonts w:ascii="宋体" w:hAnsi="宋体"/>
          <w:b/>
        </w:rPr>
      </w:pPr>
      <w:r>
        <w:rPr>
          <w:rFonts w:hint="eastAsia" w:ascii="宋体" w:hAnsi="宋体"/>
          <w:b/>
        </w:rPr>
        <w:t>23.4经投标人电子密钥加密的投标文件无须盖章或签字，</w:t>
      </w:r>
      <w:r>
        <w:rPr>
          <w:rFonts w:hint="eastAsia" w:ascii="宋体" w:hAnsi="宋体"/>
        </w:rPr>
        <w:t>专用条款另有要求的除外。</w:t>
      </w:r>
    </w:p>
    <w:p w14:paraId="00659FB1">
      <w:pPr>
        <w:ind w:firstLine="413" w:firstLineChars="196"/>
        <w:rPr>
          <w:rFonts w:ascii="宋体" w:hAnsi="宋体"/>
        </w:rPr>
      </w:pPr>
      <w:r>
        <w:rPr>
          <w:rFonts w:hint="eastAsia" w:ascii="宋体" w:hAnsi="宋体"/>
          <w:b/>
        </w:rPr>
        <w:t>23.5</w:t>
      </w:r>
      <w:r>
        <w:rPr>
          <w:rFonts w:hint="eastAsia" w:ascii="宋体" w:hAnsi="宋体"/>
        </w:rPr>
        <w:t xml:space="preserve"> 各类资格（资质）文件提供扫描件，专用条款另有要求的除外。</w:t>
      </w:r>
      <w:bookmarkEnd w:id="50"/>
    </w:p>
    <w:p w14:paraId="797F9BAE">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r>
        <w:rPr>
          <w:rFonts w:hint="eastAsia" w:ascii="宋体" w:hAnsi="宋体"/>
          <w:b/>
          <w:bCs/>
          <w:kern w:val="0"/>
          <w:sz w:val="28"/>
          <w:szCs w:val="28"/>
        </w:rPr>
        <w:t>投标文件的递交</w:t>
      </w:r>
      <w:bookmarkStart w:id="51" w:name="_Hlk72405459"/>
    </w:p>
    <w:p w14:paraId="7F3A31C5">
      <w:pPr>
        <w:rPr>
          <w:rFonts w:ascii="黑体" w:hAnsi="宋体" w:eastAsia="黑体"/>
          <w:sz w:val="24"/>
        </w:rPr>
      </w:pPr>
      <w:r>
        <w:rPr>
          <w:rFonts w:hint="eastAsia" w:ascii="黑体" w:hAnsi="宋体" w:eastAsia="黑体"/>
          <w:sz w:val="24"/>
        </w:rPr>
        <w:t>24．投标书的保密</w:t>
      </w:r>
    </w:p>
    <w:p w14:paraId="5C93E5D3">
      <w:pPr>
        <w:ind w:firstLine="411" w:firstLineChars="196"/>
        <w:rPr>
          <w:rFonts w:ascii="宋体" w:hAnsi="宋体"/>
        </w:rPr>
      </w:pPr>
      <w:r>
        <w:rPr>
          <w:rFonts w:hint="eastAsia" w:ascii="宋体" w:hAnsi="宋体"/>
        </w:rPr>
        <w:t>24.1在投标文件制作完成后，在投标文件制作软件点击【生成标书】按钮进入【填写开标一览表界面】界面，在该界面填写完开标一览表信息后点击【确定】，进入投标文件生成环节。投标文件制作软件会在投标文件生成过程中，提示用户输入密码，输入密码后对标文件自动进行加密，此加密程序确保投标文件在到达开标时间后才能解密查看。在加密过程中，请按照软件提示进行操作。加密操作界面如下图所示：</w:t>
      </w:r>
    </w:p>
    <w:p w14:paraId="745C8871">
      <w:pPr>
        <w:ind w:firstLine="411" w:firstLineChars="196"/>
        <w:rPr>
          <w:rFonts w:ascii="宋体" w:hAnsi="宋体"/>
        </w:rPr>
      </w:pPr>
      <w:r>
        <w:rPr>
          <w:rFonts w:ascii="宋体" w:hAnsi="宋体"/>
        </w:rPr>
        <w:drawing>
          <wp:inline distT="0" distB="0" distL="114300" distR="114300">
            <wp:extent cx="5278755" cy="2721610"/>
            <wp:effectExtent l="0" t="0" r="17145" b="2540"/>
            <wp:docPr id="3" name="图片 3"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应用程序&#10;&#10;描述已自动生成"/>
                    <pic:cNvPicPr>
                      <a:picLocks noChangeAspect="1"/>
                    </pic:cNvPicPr>
                  </pic:nvPicPr>
                  <pic:blipFill>
                    <a:blip r:embed="rId10"/>
                    <a:stretch>
                      <a:fillRect/>
                    </a:stretch>
                  </pic:blipFill>
                  <pic:spPr>
                    <a:xfrm>
                      <a:off x="0" y="0"/>
                      <a:ext cx="5278755" cy="2721610"/>
                    </a:xfrm>
                    <a:prstGeom prst="rect">
                      <a:avLst/>
                    </a:prstGeom>
                    <a:noFill/>
                    <a:ln>
                      <a:noFill/>
                    </a:ln>
                  </pic:spPr>
                </pic:pic>
              </a:graphicData>
            </a:graphic>
          </wp:inline>
        </w:drawing>
      </w:r>
    </w:p>
    <w:p w14:paraId="488795B1">
      <w:pPr>
        <w:ind w:firstLine="411" w:firstLineChars="196"/>
        <w:rPr>
          <w:rFonts w:ascii="宋体" w:hAnsi="宋体"/>
        </w:rPr>
      </w:pPr>
      <w:r>
        <w:rPr>
          <w:rFonts w:hint="eastAsia" w:ascii="宋体" w:hAnsi="宋体"/>
        </w:rPr>
        <w:t>在投标文件制作软件点击【生成标书】按钮进入【填写开标一览表界面】界面，在该界面填写完开标一览表信息后点击【确定】，进入投标文件生成环节。</w:t>
      </w:r>
      <w:r>
        <w:rPr>
          <w:rFonts w:ascii="宋体" w:hAnsi="宋体"/>
        </w:rPr>
        <w:drawing>
          <wp:inline distT="0" distB="0" distL="114300" distR="114300">
            <wp:extent cx="5278755" cy="2732405"/>
            <wp:effectExtent l="0" t="0" r="17145" b="10795"/>
            <wp:docPr id="4" name="图片 4"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形用户界面&#10;&#10;描述已自动生成"/>
                    <pic:cNvPicPr>
                      <a:picLocks noChangeAspect="1"/>
                    </pic:cNvPicPr>
                  </pic:nvPicPr>
                  <pic:blipFill>
                    <a:blip r:embed="rId11"/>
                    <a:stretch>
                      <a:fillRect/>
                    </a:stretch>
                  </pic:blipFill>
                  <pic:spPr>
                    <a:xfrm>
                      <a:off x="0" y="0"/>
                      <a:ext cx="5278755" cy="2732405"/>
                    </a:xfrm>
                    <a:prstGeom prst="rect">
                      <a:avLst/>
                    </a:prstGeom>
                    <a:noFill/>
                    <a:ln>
                      <a:noFill/>
                    </a:ln>
                  </pic:spPr>
                </pic:pic>
              </a:graphicData>
            </a:graphic>
          </wp:inline>
        </w:drawing>
      </w:r>
    </w:p>
    <w:p w14:paraId="7CECBAFC">
      <w:pPr>
        <w:ind w:firstLine="411" w:firstLineChars="196"/>
        <w:rPr>
          <w:rFonts w:ascii="宋体" w:hAnsi="宋体"/>
        </w:rPr>
      </w:pPr>
      <w:r>
        <w:rPr>
          <w:rFonts w:hint="eastAsia" w:ascii="宋体" w:hAnsi="宋体"/>
        </w:rPr>
        <w:t>投标文件制作软件会在投标文件生成过程中，提示用户输入密码，输入密码后对标文件自动进行加密。</w:t>
      </w:r>
    </w:p>
    <w:p w14:paraId="0A8F77D3">
      <w:pPr>
        <w:ind w:firstLine="422"/>
        <w:rPr>
          <w:rFonts w:ascii="宋体" w:hAnsi="宋体"/>
          <w:b/>
        </w:rPr>
      </w:pPr>
      <w:r>
        <w:rPr>
          <w:rFonts w:hint="eastAsia" w:ascii="宋体" w:hAnsi="宋体"/>
          <w:b/>
        </w:rPr>
        <w:t>24.2若采购项目出现延期情况：</w:t>
      </w:r>
    </w:p>
    <w:p w14:paraId="607946D4">
      <w:pPr>
        <w:ind w:firstLine="422"/>
        <w:rPr>
          <w:rFonts w:ascii="黑体" w:hAnsi="宋体" w:eastAsia="黑体"/>
          <w:b/>
          <w:sz w:val="24"/>
        </w:rPr>
      </w:pPr>
      <w:r>
        <w:rPr>
          <w:rFonts w:hint="eastAsia" w:ascii="宋体" w:hAnsi="宋体"/>
          <w:b/>
        </w:rPr>
        <w:t>如果供下载的招标文件（后缀名为.</w:t>
      </w:r>
      <w:r>
        <w:rPr>
          <w:rFonts w:ascii="宋体" w:hAnsi="宋体"/>
          <w:b/>
        </w:rPr>
        <w:t>szczf</w:t>
      </w:r>
      <w:r>
        <w:rPr>
          <w:rFonts w:hint="eastAsia" w:ascii="宋体" w:hAnsi="宋体"/>
          <w:b/>
        </w:rPr>
        <w:t>）有更新，投标人必须重新下载招标文件、重新制作投标文件、重新加密投标文件、重新上传投标文件；如果供下载的招标文件（后缀名为.</w:t>
      </w:r>
      <w:r>
        <w:rPr>
          <w:rFonts w:ascii="宋体" w:hAnsi="宋体"/>
          <w:b/>
        </w:rPr>
        <w:t>szczf</w:t>
      </w:r>
      <w:r>
        <w:rPr>
          <w:rFonts w:hint="eastAsia" w:ascii="宋体" w:hAnsi="宋体"/>
          <w:b/>
        </w:rPr>
        <w:t>）没有更新，投标人必须重新加密投标文件、重新上传投标文件（是否重新制作投标文件根据项目实际情况定）。否则，投标人自行承担投标文件无法解密导致投标无效的后果。</w:t>
      </w:r>
    </w:p>
    <w:p w14:paraId="06569407">
      <w:pPr>
        <w:rPr>
          <w:rFonts w:ascii="黑体" w:hAnsi="宋体" w:eastAsia="黑体"/>
          <w:sz w:val="24"/>
        </w:rPr>
      </w:pPr>
      <w:r>
        <w:rPr>
          <w:rFonts w:hint="eastAsia" w:ascii="黑体" w:hAnsi="宋体" w:eastAsia="黑体"/>
          <w:sz w:val="24"/>
        </w:rPr>
        <w:t>25．上传投标文件及投标截止日期</w:t>
      </w:r>
    </w:p>
    <w:p w14:paraId="7FB0C892">
      <w:pPr>
        <w:ind w:firstLine="411" w:firstLineChars="196"/>
        <w:rPr>
          <w:rFonts w:ascii="宋体" w:hAnsi="宋体"/>
        </w:rPr>
      </w:pPr>
      <w:r>
        <w:rPr>
          <w:rFonts w:hint="eastAsia" w:ascii="宋体" w:hAnsi="宋体"/>
        </w:rPr>
        <w:t>25</w:t>
      </w:r>
      <w:r>
        <w:rPr>
          <w:rFonts w:ascii="宋体" w:hAnsi="宋体"/>
        </w:rPr>
        <w:t>.</w:t>
      </w:r>
      <w:r>
        <w:rPr>
          <w:rFonts w:hint="eastAsia" w:ascii="宋体" w:hAnsi="宋体"/>
        </w:rPr>
        <w:t>1实行网上投标，</w:t>
      </w:r>
      <w:r>
        <w:rPr>
          <w:rFonts w:ascii="宋体" w:hAnsi="宋体"/>
        </w:rPr>
        <w:t>投标人必须</w:t>
      </w:r>
      <w:r>
        <w:rPr>
          <w:rFonts w:hint="eastAsia" w:ascii="宋体" w:hAnsi="宋体"/>
        </w:rPr>
        <w:t>在招标</w:t>
      </w:r>
      <w:r>
        <w:rPr>
          <w:rFonts w:ascii="宋体" w:hAnsi="宋体"/>
        </w:rPr>
        <w:t>文件规定的投标截止时间前</w:t>
      </w:r>
      <w:r>
        <w:rPr>
          <w:rFonts w:hint="eastAsia" w:ascii="宋体" w:hAnsi="宋体"/>
        </w:rPr>
        <w:t>用电子密钥登录“深圳政府采购智慧平台用户网上办事子系统（http://zfcg.szggzy.com/TPBidder/memberLogin）”，用“【我的项目】→【项目流程】→【递交投标(应答)文件】”功能点上传投标文件。如果确有困难，多次上传均告失败，请在投标截止时间之前携带加密后的电子投标文件送达至</w:t>
      </w:r>
      <w:r>
        <w:rPr>
          <w:rFonts w:hint="eastAsia" w:ascii="宋体" w:hAnsi="宋体"/>
          <w:b/>
          <w:bCs/>
          <w:szCs w:val="21"/>
        </w:rPr>
        <w:t>深圳公共资源交易中心（深圳交易集团有限公司政府采购业务分公司）3楼304室（地址：深圳市福田区景田路70号雅枫国际酒店北侧交易集团评审区三楼），联系方式：83948100，83938584，83938599。</w:t>
      </w:r>
    </w:p>
    <w:p w14:paraId="5C581B33">
      <w:pPr>
        <w:ind w:firstLine="411" w:firstLineChars="196"/>
        <w:rPr>
          <w:rFonts w:ascii="宋体" w:hAnsi="宋体"/>
        </w:rPr>
      </w:pPr>
      <w:r>
        <w:rPr>
          <w:rFonts w:hint="eastAsia" w:ascii="宋体" w:hAnsi="宋体"/>
        </w:rPr>
        <w:t>25.2政府集中采购机构可以按本通用条款第13条规定，通过修改招标文件自行决定酌情延长投标截止期。在此情况下，政府集中采购机构、采购人和投标人受投标截止期制约的所有权利和义务均应延长至新的截止期。</w:t>
      </w:r>
    </w:p>
    <w:p w14:paraId="506C4277">
      <w:pPr>
        <w:ind w:firstLine="411" w:firstLineChars="196"/>
        <w:rPr>
          <w:rFonts w:ascii="宋体" w:hAnsi="宋体"/>
        </w:rPr>
      </w:pPr>
      <w:r>
        <w:rPr>
          <w:rFonts w:hint="eastAsia" w:ascii="宋体" w:hAnsi="宋体"/>
        </w:rPr>
        <w:t>25</w:t>
      </w:r>
      <w:r>
        <w:rPr>
          <w:rFonts w:ascii="宋体" w:hAnsi="宋体"/>
        </w:rPr>
        <w:t>.</w:t>
      </w:r>
      <w:r>
        <w:rPr>
          <w:rFonts w:hint="eastAsia" w:ascii="宋体" w:hAnsi="宋体"/>
        </w:rPr>
        <w:t>3投标截止时间以后不得上传投标文件。</w:t>
      </w:r>
    </w:p>
    <w:p w14:paraId="2168ABD2">
      <w:pPr>
        <w:ind w:firstLine="411" w:firstLineChars="196"/>
        <w:rPr>
          <w:rFonts w:ascii="宋体" w:hAnsi="宋体"/>
        </w:rPr>
      </w:pPr>
      <w:r>
        <w:rPr>
          <w:rFonts w:hint="eastAsia" w:ascii="宋体" w:hAnsi="宋体"/>
        </w:rPr>
        <w:t>25.4.投标人须在开标当日的开标时间至解密截止时间内进行解密，逾期未解密的作无效处理。解密方法：登录“深圳政府采购智慧平台用户网上办事子系统（http://zfcg.szggzy.com/TPBidder/memberLogin）”，使用本单位制作电子投标文件同一个电子密钥，在“【我的项目】→【项目流程】→【开标及解密】”进行在线解密、查询开标情况。</w:t>
      </w:r>
    </w:p>
    <w:bookmarkEnd w:id="51"/>
    <w:p w14:paraId="101D5CAF">
      <w:pPr>
        <w:rPr>
          <w:rFonts w:ascii="黑体" w:hAnsi="宋体" w:eastAsia="黑体"/>
          <w:sz w:val="24"/>
        </w:rPr>
      </w:pPr>
      <w:r>
        <w:rPr>
          <w:rFonts w:hint="eastAsia" w:ascii="黑体" w:hAnsi="宋体" w:eastAsia="黑体"/>
          <w:sz w:val="24"/>
        </w:rPr>
        <w:t>26. 样品、现场演示、方案讲解</w:t>
      </w:r>
    </w:p>
    <w:p w14:paraId="7C77D926">
      <w:pPr>
        <w:ind w:firstLine="411" w:firstLineChars="196"/>
        <w:rPr>
          <w:rFonts w:ascii="宋体" w:hAnsi="宋体"/>
          <w:szCs w:val="21"/>
        </w:rPr>
      </w:pPr>
      <w:r>
        <w:rPr>
          <w:rFonts w:hint="eastAsia" w:ascii="宋体" w:hAnsi="宋体"/>
          <w:szCs w:val="21"/>
        </w:rPr>
        <w:t>26.1 样品、现场演示、方案讲解等事项在招标文件专用条款中进行规定。</w:t>
      </w:r>
    </w:p>
    <w:p w14:paraId="042B00A6">
      <w:pPr>
        <w:rPr>
          <w:rFonts w:ascii="黑体" w:hAnsi="宋体" w:eastAsia="黑体"/>
          <w:sz w:val="24"/>
        </w:rPr>
      </w:pPr>
      <w:bookmarkStart w:id="52" w:name="_Hlk72428346"/>
      <w:r>
        <w:rPr>
          <w:rFonts w:ascii="黑体" w:hAnsi="宋体" w:eastAsia="黑体"/>
          <w:sz w:val="24"/>
        </w:rPr>
        <w:t>2</w:t>
      </w:r>
      <w:r>
        <w:rPr>
          <w:rFonts w:hint="eastAsia" w:ascii="黑体" w:hAnsi="宋体" w:eastAsia="黑体"/>
          <w:sz w:val="24"/>
        </w:rPr>
        <w:t>7．</w:t>
      </w:r>
      <w:r>
        <w:rPr>
          <w:rFonts w:ascii="黑体" w:hAnsi="宋体" w:eastAsia="黑体"/>
          <w:sz w:val="24"/>
        </w:rPr>
        <w:t>投标文件的修改和撤销</w:t>
      </w:r>
    </w:p>
    <w:p w14:paraId="1A8B9669">
      <w:pPr>
        <w:ind w:firstLine="411" w:firstLineChars="196"/>
        <w:rPr>
          <w:rFonts w:ascii="宋体" w:hAnsi="宋体"/>
        </w:rPr>
      </w:pPr>
      <w:r>
        <w:rPr>
          <w:rFonts w:ascii="宋体" w:hAnsi="宋体"/>
        </w:rPr>
        <w:t>2</w:t>
      </w:r>
      <w:r>
        <w:rPr>
          <w:rFonts w:hint="eastAsia" w:ascii="宋体" w:hAnsi="宋体"/>
        </w:rPr>
        <w:t>7</w:t>
      </w:r>
      <w:r>
        <w:rPr>
          <w:rFonts w:ascii="宋体" w:hAnsi="宋体"/>
        </w:rPr>
        <w:t>.</w:t>
      </w:r>
      <w:r>
        <w:rPr>
          <w:rFonts w:hint="eastAsia" w:ascii="宋体" w:hAnsi="宋体"/>
        </w:rPr>
        <w:t>1</w:t>
      </w:r>
      <w:r>
        <w:rPr>
          <w:rFonts w:ascii="宋体" w:hAnsi="宋体"/>
        </w:rPr>
        <w:t>投标方在提交投标文件后可对其投标文件进行修改</w:t>
      </w:r>
      <w:r>
        <w:rPr>
          <w:rFonts w:hint="eastAsia" w:ascii="宋体" w:hAnsi="宋体"/>
        </w:rPr>
        <w:t>并重新上传投标文件</w:t>
      </w:r>
      <w:r>
        <w:rPr>
          <w:rFonts w:ascii="宋体" w:hAnsi="宋体"/>
        </w:rPr>
        <w:t>或</w:t>
      </w:r>
      <w:r>
        <w:rPr>
          <w:rFonts w:hint="eastAsia" w:ascii="宋体" w:hAnsi="宋体"/>
        </w:rPr>
        <w:t>在网上进行</w:t>
      </w:r>
      <w:r>
        <w:rPr>
          <w:rFonts w:ascii="宋体" w:hAnsi="宋体"/>
        </w:rPr>
        <w:t>撤销</w:t>
      </w:r>
      <w:r>
        <w:rPr>
          <w:rFonts w:hint="eastAsia" w:ascii="宋体" w:hAnsi="宋体"/>
        </w:rPr>
        <w:t>投标的操作</w:t>
      </w:r>
      <w:r>
        <w:rPr>
          <w:rFonts w:ascii="宋体" w:hAnsi="宋体"/>
        </w:rPr>
        <w:t>。</w:t>
      </w:r>
    </w:p>
    <w:p w14:paraId="1AA15CDF">
      <w:pPr>
        <w:ind w:firstLine="411" w:firstLineChars="196"/>
        <w:rPr>
          <w:rFonts w:ascii="宋体" w:hAnsi="宋体"/>
        </w:rPr>
      </w:pPr>
      <w:r>
        <w:rPr>
          <w:rFonts w:ascii="宋体" w:hAnsi="宋体"/>
        </w:rPr>
        <w:t>2</w:t>
      </w:r>
      <w:r>
        <w:rPr>
          <w:rFonts w:hint="eastAsia" w:ascii="宋体" w:hAnsi="宋体"/>
        </w:rPr>
        <w:t>7</w:t>
      </w:r>
      <w:r>
        <w:rPr>
          <w:rFonts w:ascii="宋体" w:hAnsi="宋体"/>
        </w:rPr>
        <w:t>.</w:t>
      </w:r>
      <w:r>
        <w:rPr>
          <w:rFonts w:hint="eastAsia" w:ascii="宋体" w:hAnsi="宋体"/>
        </w:rPr>
        <w:t>2</w:t>
      </w:r>
      <w:r>
        <w:rPr>
          <w:rFonts w:ascii="宋体" w:hAnsi="宋体"/>
        </w:rPr>
        <w:t>投标截止时间以后不得修改投标文件。</w:t>
      </w:r>
    </w:p>
    <w:p w14:paraId="3A3C64B7">
      <w:pPr>
        <w:ind w:firstLine="411" w:firstLineChars="196"/>
        <w:rPr>
          <w:rFonts w:ascii="宋体" w:hAnsi="宋体"/>
        </w:rPr>
      </w:pPr>
      <w:r>
        <w:rPr>
          <w:rFonts w:ascii="宋体" w:hAnsi="宋体"/>
        </w:rPr>
        <w:t>2</w:t>
      </w:r>
      <w:r>
        <w:rPr>
          <w:rFonts w:hint="eastAsia" w:ascii="宋体" w:hAnsi="宋体"/>
        </w:rPr>
        <w:t>7</w:t>
      </w:r>
      <w:r>
        <w:rPr>
          <w:rFonts w:ascii="宋体" w:hAnsi="宋体"/>
        </w:rPr>
        <w:t>.</w:t>
      </w:r>
      <w:r>
        <w:rPr>
          <w:rFonts w:hint="eastAsia" w:ascii="宋体" w:hAnsi="宋体"/>
        </w:rPr>
        <w:t>3从投标截止期至投标人在投标文件中确定的投标有效期之间的这段时间内，投标人不得撤回其投标。</w:t>
      </w:r>
    </w:p>
    <w:p w14:paraId="0587E5C8">
      <w:pPr>
        <w:ind w:firstLine="411" w:firstLineChars="196"/>
        <w:rPr>
          <w:rFonts w:ascii="宋体" w:hAnsi="宋体"/>
          <w:szCs w:val="21"/>
        </w:rPr>
      </w:pPr>
      <w:r>
        <w:rPr>
          <w:rFonts w:hint="eastAsia" w:ascii="宋体" w:hAnsi="宋体"/>
          <w:szCs w:val="21"/>
        </w:rPr>
        <w:t>27.4政府集中采购机构不退还投标文件，专用条款另有规定的除外。</w:t>
      </w:r>
    </w:p>
    <w:bookmarkEnd w:id="52"/>
    <w:p w14:paraId="08E59F08">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r>
        <w:rPr>
          <w:rFonts w:hint="eastAsia" w:ascii="宋体" w:hAnsi="宋体"/>
          <w:b/>
          <w:bCs/>
          <w:kern w:val="0"/>
          <w:sz w:val="28"/>
          <w:szCs w:val="28"/>
        </w:rPr>
        <w:t>开标</w:t>
      </w:r>
    </w:p>
    <w:p w14:paraId="463E9E1F">
      <w:pPr>
        <w:rPr>
          <w:rFonts w:ascii="黑体" w:hAnsi="宋体" w:eastAsia="黑体"/>
          <w:sz w:val="24"/>
        </w:rPr>
      </w:pPr>
      <w:r>
        <w:rPr>
          <w:rFonts w:hint="eastAsia" w:ascii="黑体" w:hAnsi="宋体" w:eastAsia="黑体"/>
          <w:sz w:val="24"/>
        </w:rPr>
        <w:t>28．开标</w:t>
      </w:r>
    </w:p>
    <w:p w14:paraId="38BFE1F4">
      <w:pPr>
        <w:ind w:firstLine="420"/>
        <w:rPr>
          <w:rFonts w:ascii="宋体" w:hAnsi="宋体"/>
        </w:rPr>
      </w:pPr>
      <w:r>
        <w:rPr>
          <w:rFonts w:ascii="宋体" w:hAnsi="宋体"/>
          <w:szCs w:val="21"/>
        </w:rPr>
        <w:t>2</w:t>
      </w:r>
      <w:r>
        <w:rPr>
          <w:rFonts w:hint="eastAsia" w:ascii="宋体" w:hAnsi="宋体"/>
          <w:szCs w:val="21"/>
        </w:rPr>
        <w:t>8</w:t>
      </w:r>
      <w:r>
        <w:rPr>
          <w:rFonts w:ascii="宋体" w:hAnsi="宋体"/>
          <w:szCs w:val="21"/>
        </w:rPr>
        <w:t>.</w:t>
      </w:r>
      <w:r>
        <w:rPr>
          <w:rFonts w:hint="eastAsia" w:ascii="宋体" w:hAnsi="宋体"/>
          <w:szCs w:val="21"/>
        </w:rPr>
        <w:t>1</w:t>
      </w:r>
      <w:r>
        <w:rPr>
          <w:rFonts w:hint="eastAsia" w:ascii="宋体" w:hAnsi="宋体"/>
        </w:rPr>
        <w:t>投标人须在开标当日的开标时间至解密截止时间内进行解密，逾期未解密的作无效处理。解密方法：登录“深圳政府采购智慧平台用户网上办事子系统（</w:t>
      </w:r>
      <w:r>
        <w:rPr>
          <w:rFonts w:ascii="宋体" w:hAnsi="宋体"/>
        </w:rPr>
        <w:t>http://zfcg.szggzy.com/</w:t>
      </w:r>
      <w:r>
        <w:rPr>
          <w:rFonts w:hint="eastAsia" w:ascii="宋体" w:hAnsi="宋体"/>
        </w:rPr>
        <w:t>TPBidder/memberLogin）”，使用本单位制作电子投标文件同一个电子密钥，在“【我的项目】→【项目流程】→【开标及解密】”进行在线解密、查询开标情况。</w:t>
      </w:r>
    </w:p>
    <w:p w14:paraId="446ACC66">
      <w:pPr>
        <w:ind w:firstLine="359" w:firstLineChars="171"/>
        <w:rPr>
          <w:rFonts w:ascii="宋体" w:hAnsi="宋体"/>
          <w:szCs w:val="21"/>
        </w:rPr>
      </w:pPr>
      <w:r>
        <w:rPr>
          <w:rFonts w:hint="eastAsia" w:ascii="宋体" w:hAnsi="宋体"/>
          <w:szCs w:val="21"/>
        </w:rPr>
        <w:t>2</w:t>
      </w:r>
      <w:r>
        <w:rPr>
          <w:rFonts w:ascii="宋体" w:hAnsi="宋体"/>
          <w:szCs w:val="21"/>
        </w:rPr>
        <w:t xml:space="preserve">8.2 </w:t>
      </w:r>
      <w:r>
        <w:rPr>
          <w:rFonts w:hint="eastAsia" w:ascii="宋体" w:hAnsi="宋体"/>
          <w:szCs w:val="21"/>
        </w:rPr>
        <w:t>政府集中采购机构将在满足开标条件（</w:t>
      </w:r>
      <w:r>
        <w:rPr>
          <w:rFonts w:hint="eastAsia" w:ascii="宋体" w:hAnsi="宋体" w:cs="宋体"/>
          <w:sz w:val="20"/>
          <w:szCs w:val="20"/>
          <w:shd w:val="clear" w:color="auto" w:fill="FFFFFF"/>
        </w:rPr>
        <w:t>①</w:t>
      </w:r>
      <w:r>
        <w:rPr>
          <w:rFonts w:hint="eastAsia" w:ascii="宋体" w:hAnsi="宋体"/>
          <w:szCs w:val="21"/>
        </w:rPr>
        <w:t>解密时间结束，解密后的投标供应商数量满足开标要求或</w:t>
      </w:r>
      <w:r>
        <w:rPr>
          <w:rFonts w:hint="eastAsia" w:ascii="宋体" w:hAnsi="宋体" w:cs="宋体"/>
          <w:sz w:val="20"/>
          <w:szCs w:val="20"/>
          <w:shd w:val="clear" w:color="auto" w:fill="FFFFFF"/>
        </w:rPr>
        <w:t>②</w:t>
      </w:r>
      <w:r>
        <w:rPr>
          <w:rFonts w:hint="eastAsia" w:ascii="宋体" w:hAnsi="宋体"/>
          <w:szCs w:val="21"/>
        </w:rPr>
        <w:t>解密时间结束前所有投标供应商均完成投标文件解密）后，对投标文件进行开标，并在网上公布开标结果。</w:t>
      </w:r>
    </w:p>
    <w:p w14:paraId="7CDCFB5B">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r>
        <w:rPr>
          <w:rFonts w:hint="eastAsia" w:ascii="宋体" w:hAnsi="宋体"/>
          <w:b/>
          <w:bCs/>
          <w:kern w:val="0"/>
          <w:sz w:val="28"/>
          <w:szCs w:val="28"/>
        </w:rPr>
        <w:t>评审要求</w:t>
      </w:r>
    </w:p>
    <w:p w14:paraId="1435FA71">
      <w:pPr>
        <w:rPr>
          <w:rFonts w:ascii="黑体" w:hAnsi="宋体" w:eastAsia="黑体"/>
          <w:sz w:val="24"/>
        </w:rPr>
      </w:pPr>
      <w:r>
        <w:rPr>
          <w:rFonts w:hint="eastAsia" w:ascii="黑体" w:hAnsi="宋体" w:eastAsia="黑体"/>
          <w:sz w:val="24"/>
        </w:rPr>
        <w:t>29．评审委员会组成</w:t>
      </w:r>
    </w:p>
    <w:p w14:paraId="41D216B7">
      <w:pPr>
        <w:ind w:firstLine="411" w:firstLineChars="196"/>
        <w:rPr>
          <w:rFonts w:ascii="宋体" w:hAnsi="宋体"/>
        </w:rPr>
      </w:pPr>
      <w:r>
        <w:rPr>
          <w:rFonts w:hint="eastAsia" w:ascii="宋体" w:hAnsi="宋体"/>
        </w:rPr>
        <w:t>29.1网上开标结束后召开评审会议，</w:t>
      </w:r>
      <w:r>
        <w:rPr>
          <w:rFonts w:hint="eastAsia" w:ascii="宋体" w:hAnsi="宋体"/>
          <w:szCs w:val="21"/>
        </w:rPr>
        <w:t>评审委员会</w:t>
      </w:r>
      <w:r>
        <w:rPr>
          <w:rFonts w:hint="eastAsia" w:ascii="宋体" w:hAnsi="宋体"/>
        </w:rPr>
        <w:t>由政府集中采购机构依法组建，负责评审活动。</w:t>
      </w:r>
    </w:p>
    <w:p w14:paraId="714571D7">
      <w:pPr>
        <w:ind w:firstLine="411" w:firstLineChars="196"/>
        <w:rPr>
          <w:rFonts w:ascii="宋体" w:hAnsi="宋体"/>
        </w:rPr>
      </w:pPr>
      <w:bookmarkStart w:id="53" w:name="_Hlk72436580"/>
      <w:r>
        <w:rPr>
          <w:rFonts w:hint="eastAsia" w:ascii="宋体" w:hAnsi="宋体"/>
        </w:rPr>
        <w:t>评审委员会由采购人代表和评审专家组成，成员人数应当为5人以上单数（部分条件下为7人以上单数），其中评审专家不得少于成员总数的三分之二。</w:t>
      </w:r>
      <w:bookmarkEnd w:id="53"/>
      <w:r>
        <w:rPr>
          <w:rFonts w:hint="eastAsia" w:ascii="宋体" w:hAnsi="宋体"/>
        </w:rPr>
        <w:t>评定</w:t>
      </w:r>
      <w:r>
        <w:rPr>
          <w:rFonts w:hint="eastAsia"/>
        </w:rPr>
        <w:t>分离项目</w:t>
      </w:r>
      <w:r>
        <w:t>评审专家</w:t>
      </w:r>
      <w:r>
        <w:rPr>
          <w:rFonts w:hint="eastAsia"/>
        </w:rPr>
        <w:t>均</w:t>
      </w:r>
      <w:r>
        <w:t>由</w:t>
      </w:r>
      <w:r>
        <w:rPr>
          <w:rFonts w:hint="eastAsia"/>
        </w:rPr>
        <w:t>评审专家组成。</w:t>
      </w:r>
      <w:r>
        <w:rPr>
          <w:rFonts w:hint="eastAsia" w:ascii="宋体" w:hAnsi="宋体"/>
          <w:szCs w:val="21"/>
        </w:rPr>
        <w:t>评审专家一般是</w:t>
      </w:r>
      <w:r>
        <w:rPr>
          <w:rFonts w:hint="eastAsia" w:ascii="宋体" w:hAnsi="宋体"/>
        </w:rPr>
        <w:t>从深圳市政府采购评审专家库中随机抽取。采购人代表须持本单位签发的《评审授权书》参加评审。</w:t>
      </w:r>
    </w:p>
    <w:p w14:paraId="3101F5FC">
      <w:pPr>
        <w:ind w:firstLine="411" w:firstLineChars="196"/>
        <w:rPr>
          <w:rFonts w:ascii="宋体" w:hAnsi="宋体"/>
        </w:rPr>
      </w:pPr>
      <w:r>
        <w:rPr>
          <w:rFonts w:hint="eastAsia" w:ascii="宋体" w:hAnsi="宋体"/>
        </w:rPr>
        <w:t>29.2评审定标应当遵循公平、公正、科学、择优的原则。</w:t>
      </w:r>
    </w:p>
    <w:p w14:paraId="25B52808">
      <w:pPr>
        <w:ind w:firstLine="411" w:firstLineChars="196"/>
        <w:rPr>
          <w:rFonts w:ascii="宋体" w:hAnsi="宋体"/>
        </w:rPr>
      </w:pPr>
      <w:r>
        <w:rPr>
          <w:rFonts w:hint="eastAsia" w:ascii="宋体" w:hAnsi="宋体"/>
        </w:rPr>
        <w:t>29.3评审活动依法进行，任何单位和个人不得非法干预评标过程和结果。</w:t>
      </w:r>
    </w:p>
    <w:p w14:paraId="1C519BFC">
      <w:pPr>
        <w:ind w:firstLine="411" w:firstLineChars="196"/>
        <w:rPr>
          <w:rFonts w:ascii="宋体" w:hAnsi="宋体"/>
        </w:rPr>
      </w:pPr>
      <w:r>
        <w:rPr>
          <w:rFonts w:hint="eastAsia" w:ascii="宋体" w:hAnsi="宋体"/>
        </w:rPr>
        <w:t>29.4评审过程中不允许违背评标程序或采用招标文件未载明的评标方法或评标因素进行评标。</w:t>
      </w:r>
    </w:p>
    <w:p w14:paraId="4EB93FBD">
      <w:pPr>
        <w:ind w:firstLine="411" w:firstLineChars="196"/>
        <w:rPr>
          <w:rFonts w:ascii="宋体" w:hAnsi="宋体"/>
          <w:bCs/>
        </w:rPr>
      </w:pPr>
      <w:r>
        <w:rPr>
          <w:rFonts w:hint="eastAsia" w:ascii="宋体" w:hAnsi="宋体"/>
          <w:bCs/>
        </w:rPr>
        <w:t>29.5 开标后，直到签订合同为止，凡属于对投标文件的审查、澄清、评价和比较的有关资料以及中标候选人的推荐情况、与评审有关的其他任何情况均严格保密（</w:t>
      </w:r>
      <w:r>
        <w:rPr>
          <w:rFonts w:hint="eastAsia"/>
        </w:rPr>
        <w:t>信息公开的内容除外</w:t>
      </w:r>
      <w:r>
        <w:rPr>
          <w:rFonts w:hint="eastAsia" w:ascii="宋体" w:hAnsi="宋体"/>
          <w:bCs/>
        </w:rPr>
        <w:t>）。</w:t>
      </w:r>
    </w:p>
    <w:p w14:paraId="149730C4">
      <w:pPr>
        <w:rPr>
          <w:rFonts w:ascii="黑体" w:hAnsi="宋体" w:eastAsia="黑体"/>
          <w:sz w:val="24"/>
        </w:rPr>
      </w:pPr>
      <w:r>
        <w:rPr>
          <w:rFonts w:hint="eastAsia" w:ascii="黑体" w:hAnsi="宋体" w:eastAsia="黑体"/>
          <w:sz w:val="24"/>
        </w:rPr>
        <w:t>30．向评审委员会提供的资料</w:t>
      </w:r>
    </w:p>
    <w:p w14:paraId="1E6B91BD">
      <w:pPr>
        <w:ind w:firstLine="411" w:firstLineChars="196"/>
        <w:rPr>
          <w:rFonts w:ascii="宋体" w:hAnsi="宋体"/>
        </w:rPr>
      </w:pPr>
      <w:r>
        <w:rPr>
          <w:rFonts w:hint="eastAsia" w:ascii="宋体" w:hAnsi="宋体"/>
        </w:rPr>
        <w:t>30.1公开发布的招标文件，包括图纸、服务清单、答疑文件等；</w:t>
      </w:r>
    </w:p>
    <w:p w14:paraId="1A05F893">
      <w:pPr>
        <w:ind w:firstLine="411" w:firstLineChars="196"/>
        <w:rPr>
          <w:rFonts w:ascii="宋体" w:hAnsi="宋体"/>
        </w:rPr>
      </w:pPr>
      <w:r>
        <w:rPr>
          <w:rFonts w:hint="eastAsia" w:ascii="宋体" w:hAnsi="宋体"/>
        </w:rPr>
        <w:t>30.2其他评标必须的资料。</w:t>
      </w:r>
    </w:p>
    <w:p w14:paraId="34E9CFF6">
      <w:pPr>
        <w:ind w:firstLine="411" w:firstLineChars="196"/>
        <w:rPr>
          <w:rFonts w:ascii="宋体" w:hAnsi="宋体"/>
        </w:rPr>
      </w:pPr>
      <w:r>
        <w:rPr>
          <w:rFonts w:hint="eastAsia" w:ascii="宋体" w:hAnsi="宋体"/>
        </w:rPr>
        <w:t>30.3</w:t>
      </w:r>
      <w:r>
        <w:rPr>
          <w:rFonts w:hint="eastAsia" w:ascii="宋体" w:hAnsi="宋体"/>
          <w:szCs w:val="21"/>
        </w:rPr>
        <w:t>评审委员会</w:t>
      </w:r>
      <w:r>
        <w:rPr>
          <w:rFonts w:hint="eastAsia" w:ascii="宋体" w:hAnsi="宋体"/>
        </w:rPr>
        <w:t>应当认真研究招标文件，至少应了解熟悉以下内容：</w:t>
      </w:r>
    </w:p>
    <w:p w14:paraId="01A56BF1">
      <w:pPr>
        <w:ind w:firstLine="411" w:firstLineChars="196"/>
        <w:rPr>
          <w:rFonts w:ascii="宋体" w:hAnsi="宋体"/>
        </w:rPr>
      </w:pPr>
      <w:r>
        <w:rPr>
          <w:rFonts w:hint="eastAsia" w:ascii="宋体" w:hAnsi="宋体"/>
        </w:rPr>
        <w:t>（1）招标的目的；</w:t>
      </w:r>
    </w:p>
    <w:p w14:paraId="254B4127">
      <w:pPr>
        <w:ind w:firstLine="411" w:firstLineChars="196"/>
        <w:rPr>
          <w:rFonts w:ascii="宋体" w:hAnsi="宋体"/>
        </w:rPr>
      </w:pPr>
      <w:r>
        <w:rPr>
          <w:rFonts w:hint="eastAsia" w:ascii="宋体" w:hAnsi="宋体"/>
        </w:rPr>
        <w:t>（2）招标项目需求的范围和性质；</w:t>
      </w:r>
    </w:p>
    <w:p w14:paraId="775C4623">
      <w:pPr>
        <w:ind w:firstLine="411" w:firstLineChars="196"/>
        <w:rPr>
          <w:rFonts w:ascii="宋体" w:hAnsi="宋体"/>
        </w:rPr>
      </w:pPr>
      <w:r>
        <w:rPr>
          <w:rFonts w:hint="eastAsia" w:ascii="宋体" w:hAnsi="宋体"/>
        </w:rPr>
        <w:t>（3）招标文件规定的投标人的资格、财政预算限额、商务条款；</w:t>
      </w:r>
    </w:p>
    <w:p w14:paraId="3AB021FA">
      <w:pPr>
        <w:ind w:firstLine="411" w:firstLineChars="196"/>
        <w:rPr>
          <w:rFonts w:ascii="宋体" w:hAnsi="宋体"/>
        </w:rPr>
      </w:pPr>
      <w:r>
        <w:rPr>
          <w:rFonts w:hint="eastAsia" w:ascii="宋体" w:hAnsi="宋体"/>
        </w:rPr>
        <w:t>（4）招标文件规定的评标程序、评标方法和评标因素；</w:t>
      </w:r>
    </w:p>
    <w:p w14:paraId="372A0BCD">
      <w:pPr>
        <w:ind w:firstLine="411" w:firstLineChars="196"/>
        <w:rPr>
          <w:rFonts w:ascii="宋体" w:hAnsi="宋体"/>
        </w:rPr>
      </w:pPr>
      <w:r>
        <w:rPr>
          <w:rFonts w:hint="eastAsia" w:ascii="宋体" w:hAnsi="宋体"/>
        </w:rPr>
        <w:t>（5）招标文件所列示的资格性审查表及符合性审查表。</w:t>
      </w:r>
    </w:p>
    <w:p w14:paraId="0800767C">
      <w:pPr>
        <w:rPr>
          <w:rFonts w:ascii="黑体" w:hAnsi="宋体" w:eastAsia="黑体"/>
          <w:sz w:val="24"/>
        </w:rPr>
      </w:pPr>
      <w:r>
        <w:rPr>
          <w:rFonts w:hint="eastAsia" w:ascii="黑体" w:hAnsi="宋体" w:eastAsia="黑体"/>
          <w:sz w:val="24"/>
        </w:rPr>
        <w:t>31．独立评审</w:t>
      </w:r>
    </w:p>
    <w:p w14:paraId="2BB27DE6">
      <w:pPr>
        <w:ind w:firstLine="411" w:firstLineChars="196"/>
        <w:rPr>
          <w:rFonts w:ascii="宋体" w:hAnsi="宋体"/>
          <w:bCs/>
        </w:rPr>
      </w:pPr>
      <w:r>
        <w:rPr>
          <w:rFonts w:hint="eastAsia" w:ascii="宋体" w:hAnsi="宋体"/>
          <w:bCs/>
        </w:rPr>
        <w:t>3</w:t>
      </w:r>
      <w:r>
        <w:rPr>
          <w:rFonts w:ascii="宋体" w:hAnsi="宋体"/>
          <w:bCs/>
        </w:rPr>
        <w:t>1</w:t>
      </w:r>
      <w:r>
        <w:rPr>
          <w:rFonts w:hint="eastAsia" w:ascii="宋体" w:hAnsi="宋体"/>
          <w:bCs/>
        </w:rPr>
        <w:t>.1</w:t>
      </w:r>
      <w:r>
        <w:rPr>
          <w:rFonts w:hint="eastAsia" w:ascii="宋体" w:hAnsi="宋体"/>
          <w:szCs w:val="21"/>
        </w:rPr>
        <w:t>评审委员会</w:t>
      </w:r>
      <w:r>
        <w:rPr>
          <w:rFonts w:hint="eastAsia" w:ascii="宋体" w:hAnsi="宋体"/>
          <w:bCs/>
        </w:rPr>
        <w:t>成员的评标活动应当独立进行，并应遵循投标文件初审、澄清有关问题、比较与评价、确定中标供应商、编写评审报告的工作程序。</w:t>
      </w:r>
    </w:p>
    <w:p w14:paraId="0BBCD102">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r>
        <w:rPr>
          <w:rFonts w:hint="eastAsia" w:ascii="宋体" w:hAnsi="宋体"/>
          <w:b/>
          <w:bCs/>
          <w:kern w:val="0"/>
          <w:sz w:val="28"/>
          <w:szCs w:val="28"/>
        </w:rPr>
        <w:t>评审程序及评审方法</w:t>
      </w:r>
    </w:p>
    <w:p w14:paraId="1E2B10E8">
      <w:pPr>
        <w:rPr>
          <w:rFonts w:ascii="黑体" w:hAnsi="宋体" w:eastAsia="黑体"/>
          <w:sz w:val="24"/>
        </w:rPr>
      </w:pPr>
      <w:r>
        <w:rPr>
          <w:rFonts w:hint="eastAsia" w:ascii="黑体" w:hAnsi="宋体" w:eastAsia="黑体"/>
          <w:sz w:val="24"/>
        </w:rPr>
        <w:t>32．投标文件初审</w:t>
      </w:r>
    </w:p>
    <w:p w14:paraId="2A38E427">
      <w:pPr>
        <w:ind w:firstLine="411" w:firstLineChars="196"/>
        <w:rPr>
          <w:rFonts w:ascii="宋体" w:hAnsi="宋体"/>
        </w:rPr>
      </w:pPr>
      <w:r>
        <w:rPr>
          <w:rFonts w:hint="eastAsia" w:ascii="宋体" w:hAnsi="宋体"/>
        </w:rPr>
        <w:t>32.1投标文件初审包括资格性审查和符合性审查。</w:t>
      </w:r>
    </w:p>
    <w:p w14:paraId="609BEE61">
      <w:pPr>
        <w:ind w:firstLine="411" w:firstLineChars="196"/>
        <w:rPr>
          <w:rFonts w:ascii="宋体" w:hAnsi="宋体"/>
        </w:rPr>
      </w:pPr>
      <w:r>
        <w:rPr>
          <w:rFonts w:hint="eastAsia" w:ascii="宋体" w:hAnsi="宋体"/>
        </w:rPr>
        <w:t>资格性审查：依据法律法规和招标文件的规定，对投标文件中的资格证明等进行审查，以确定投标供应商是否具备投标资格。</w:t>
      </w:r>
    </w:p>
    <w:p w14:paraId="66D77B85">
      <w:pPr>
        <w:ind w:firstLine="411" w:firstLineChars="196"/>
        <w:rPr>
          <w:rFonts w:ascii="宋体" w:hAnsi="宋体"/>
        </w:rPr>
      </w:pPr>
      <w:r>
        <w:rPr>
          <w:rFonts w:hint="eastAsia" w:ascii="宋体" w:hAnsi="宋体"/>
        </w:rPr>
        <w:t>符合性审查：依据招标文件的规定，对投标文件的有效性、完整性和对招标文件的响应程度进行审查，以确定是否满足符合性审查的要求。</w:t>
      </w:r>
    </w:p>
    <w:p w14:paraId="236F47CA">
      <w:pPr>
        <w:ind w:firstLine="411" w:firstLineChars="196"/>
        <w:rPr>
          <w:rFonts w:ascii="宋体" w:hAnsi="宋体"/>
        </w:rPr>
      </w:pPr>
      <w:r>
        <w:rPr>
          <w:rFonts w:hint="eastAsia" w:ascii="宋体" w:hAnsi="宋体"/>
        </w:rPr>
        <w:t>32.2 投标文件初审内容请详见《资格性审查表》和《符合性审查表》部分。投标人若有一条审查不通过则按投标无效处理。</w:t>
      </w:r>
    </w:p>
    <w:p w14:paraId="1566E535">
      <w:pPr>
        <w:ind w:firstLine="411" w:firstLineChars="196"/>
        <w:rPr>
          <w:rFonts w:ascii="宋体" w:hAnsi="宋体"/>
          <w:bCs/>
        </w:rPr>
      </w:pPr>
      <w:r>
        <w:rPr>
          <w:rFonts w:hint="eastAsia" w:ascii="宋体" w:hAnsi="宋体"/>
          <w:bCs/>
        </w:rPr>
        <w:t>32.3 投标文件初审中关于供应商家数的计算:</w:t>
      </w:r>
    </w:p>
    <w:p w14:paraId="0A8E876D">
      <w:pPr>
        <w:ind w:firstLine="411" w:firstLineChars="196"/>
        <w:rPr>
          <w:rFonts w:ascii="宋体" w:hAnsi="宋体"/>
          <w:bCs/>
        </w:rPr>
      </w:pPr>
      <w:r>
        <w:rPr>
          <w:rFonts w:hint="eastAsia" w:ascii="宋体" w:hAnsi="宋体"/>
          <w:bCs/>
        </w:rPr>
        <w:t>32.3.1采用最低评标价法的采购项目，提供相同品牌产品的不同投标人参加同一合同项下投标的，以其中通过资格审查、符合性审查且报价最低的参加评标；报价相同的，由采购人或者采购人委托评审委员会按照招标文件规定的方式确定一个参加评审的投标人，招标文件未规定的采取随机抽取方式确定，其他投标无效。</w:t>
      </w:r>
    </w:p>
    <w:p w14:paraId="56899426">
      <w:pPr>
        <w:ind w:firstLine="411" w:firstLineChars="196"/>
        <w:rPr>
          <w:rFonts w:ascii="宋体" w:hAnsi="宋体"/>
          <w:bCs/>
        </w:rPr>
      </w:pPr>
      <w:r>
        <w:rPr>
          <w:rFonts w:hint="eastAsia" w:ascii="宋体" w:hAnsi="宋体"/>
          <w:bCs/>
        </w:rPr>
        <w:t>32.3.2采用综合评分法的采购项目，提供相同品牌产品且通过资格审查、符合性审查的不同投标人参加同一合同项下投标的，按一家投标人计算，评审后得分最高的同品牌投标人获得</w:t>
      </w:r>
      <w:r>
        <w:rPr>
          <w:rFonts w:hint="eastAsia" w:ascii="宋体" w:hAnsi="宋体"/>
          <w:bCs/>
          <w:lang w:eastAsia="zh-CN"/>
        </w:rPr>
        <w:t>中标供应商</w:t>
      </w:r>
      <w:r>
        <w:rPr>
          <w:rFonts w:hint="eastAsia" w:ascii="宋体" w:hAnsi="宋体"/>
          <w:bCs/>
        </w:rPr>
        <w:t>推荐资格；评审得分相同的，由采购人或者采购人委托</w:t>
      </w:r>
      <w:r>
        <w:rPr>
          <w:rFonts w:hint="eastAsia" w:ascii="宋体" w:hAnsi="宋体"/>
          <w:bCs/>
          <w:szCs w:val="21"/>
        </w:rPr>
        <w:t>评审委员会</w:t>
      </w:r>
      <w:r>
        <w:rPr>
          <w:rFonts w:hint="eastAsia" w:ascii="宋体" w:hAnsi="宋体"/>
          <w:bCs/>
        </w:rPr>
        <w:t>按照招标文件规定的方式确定一个投标人获得</w:t>
      </w:r>
      <w:r>
        <w:rPr>
          <w:rFonts w:hint="eastAsia" w:ascii="宋体" w:hAnsi="宋体"/>
          <w:bCs/>
          <w:lang w:eastAsia="zh-CN"/>
        </w:rPr>
        <w:t>中标供应商</w:t>
      </w:r>
      <w:r>
        <w:rPr>
          <w:rFonts w:hint="eastAsia" w:ascii="宋体" w:hAnsi="宋体"/>
          <w:bCs/>
        </w:rPr>
        <w:t>推荐资格，招标文件未规定的采取随机抽取方式确定，其他同品牌投标人不作为中标候选人。</w:t>
      </w:r>
    </w:p>
    <w:p w14:paraId="73F83BC8">
      <w:pPr>
        <w:ind w:firstLine="411" w:firstLineChars="196"/>
        <w:rPr>
          <w:rFonts w:ascii="宋体" w:hAnsi="宋体"/>
          <w:bCs/>
        </w:rPr>
      </w:pPr>
      <w:r>
        <w:rPr>
          <w:rFonts w:hint="eastAsia" w:ascii="宋体" w:hAnsi="宋体"/>
          <w:bCs/>
        </w:rPr>
        <w:t>32.3.3非单一产品采购项目，采购人应当根据采购项目技术构成、产品价格比重等合理确定核心产品，并在招标文件中载明。多家投标人提供的核心产品品牌相同的，按前两款规定处理。</w:t>
      </w:r>
    </w:p>
    <w:p w14:paraId="354F7AD8">
      <w:pPr>
        <w:ind w:firstLine="411" w:firstLineChars="196"/>
        <w:rPr>
          <w:rFonts w:ascii="宋体" w:hAnsi="宋体"/>
        </w:rPr>
      </w:pPr>
      <w:r>
        <w:rPr>
          <w:rFonts w:hint="eastAsia" w:ascii="宋体" w:hAnsi="宋体"/>
        </w:rPr>
        <w:t>32.4投标人投标文件作无效处理的情形，具体包括但不限于以下：</w:t>
      </w:r>
    </w:p>
    <w:p w14:paraId="30F25439">
      <w:pPr>
        <w:ind w:firstLine="411" w:firstLineChars="196"/>
      </w:pPr>
      <w:r>
        <w:rPr>
          <w:rFonts w:hint="eastAsia" w:ascii="宋体" w:hAnsi="宋体"/>
        </w:rPr>
        <w:t>32.4.1</w:t>
      </w:r>
      <w:r>
        <w:rPr>
          <w:rFonts w:hint="eastAsia"/>
        </w:rPr>
        <w:t>不同投标人的投标文件由同一单位或者同一个人编制，或者由同一个人分阶段参与编制；</w:t>
      </w:r>
    </w:p>
    <w:p w14:paraId="70E36C6C">
      <w:pPr>
        <w:ind w:firstLine="411" w:firstLineChars="196"/>
      </w:pPr>
      <w:r>
        <w:rPr>
          <w:rFonts w:ascii="宋体" w:hAnsi="宋体"/>
        </w:rPr>
        <w:t>32.4.</w:t>
      </w:r>
      <w:r>
        <w:rPr>
          <w:rFonts w:hint="eastAsia" w:ascii="宋体" w:hAnsi="宋体"/>
        </w:rPr>
        <w:t>2</w:t>
      </w:r>
      <w:r>
        <w:rPr>
          <w:rFonts w:hint="eastAsia"/>
        </w:rPr>
        <w:t>不同投标人委托同一单位或者个人办理投标事宜；</w:t>
      </w:r>
    </w:p>
    <w:p w14:paraId="3EE53F8B">
      <w:pPr>
        <w:ind w:firstLine="411" w:firstLineChars="196"/>
        <w:rPr>
          <w:rFonts w:ascii="宋体" w:hAnsi="宋体"/>
        </w:rPr>
      </w:pPr>
      <w:r>
        <w:rPr>
          <w:rFonts w:hint="eastAsia" w:ascii="宋体" w:hAnsi="宋体"/>
        </w:rPr>
        <w:t>32.4.3不同投标人的投标文件载明的项目管理成员或者联系人员为同一人；</w:t>
      </w:r>
    </w:p>
    <w:p w14:paraId="10268E77">
      <w:pPr>
        <w:ind w:firstLine="411" w:firstLineChars="196"/>
        <w:rPr>
          <w:rFonts w:ascii="宋体" w:hAnsi="宋体"/>
        </w:rPr>
      </w:pPr>
      <w:r>
        <w:rPr>
          <w:rFonts w:hint="eastAsia" w:ascii="宋体" w:hAnsi="宋体"/>
        </w:rPr>
        <w:t>32.4.4不同投标人的投标文件异常一致或者投标报价呈规律性差异；</w:t>
      </w:r>
    </w:p>
    <w:p w14:paraId="3DF1A0AA">
      <w:pPr>
        <w:ind w:firstLine="411" w:firstLineChars="196"/>
        <w:rPr>
          <w:rFonts w:ascii="宋体" w:hAnsi="宋体"/>
        </w:rPr>
      </w:pPr>
      <w:r>
        <w:rPr>
          <w:rFonts w:hint="eastAsia" w:ascii="宋体" w:hAnsi="宋体"/>
        </w:rPr>
        <w:t>32.4.5</w:t>
      </w:r>
      <w:r>
        <w:rPr>
          <w:rFonts w:ascii="宋体" w:hAnsi="宋体"/>
        </w:rPr>
        <w:t>不同投标供应商的投标文件或部分投标文件相互混装</w:t>
      </w:r>
      <w:r>
        <w:rPr>
          <w:rFonts w:hint="eastAsia" w:ascii="宋体" w:hAnsi="宋体"/>
        </w:rPr>
        <w:t>；</w:t>
      </w:r>
    </w:p>
    <w:p w14:paraId="0B8EEAF3">
      <w:pPr>
        <w:ind w:firstLine="411" w:firstLineChars="196"/>
        <w:rPr>
          <w:rFonts w:ascii="宋体" w:hAnsi="宋体"/>
        </w:rPr>
      </w:pPr>
      <w:r>
        <w:rPr>
          <w:rFonts w:hint="eastAsia" w:ascii="宋体" w:hAnsi="宋体"/>
        </w:rPr>
        <w:t>32.4.6投标供应商之间相互约定给予未中标的供应商利益补偿；</w:t>
      </w:r>
    </w:p>
    <w:p w14:paraId="42651A0A">
      <w:pPr>
        <w:ind w:firstLine="411" w:firstLineChars="196"/>
        <w:rPr>
          <w:rFonts w:ascii="宋体" w:hAnsi="宋体"/>
        </w:rPr>
      </w:pPr>
      <w:r>
        <w:rPr>
          <w:rFonts w:hint="eastAsia" w:ascii="宋体" w:hAnsi="宋体"/>
        </w:rPr>
        <w:t>32.4.7不同投标供应商的法定代表人、主要经营负责人、项目投标授权代表人、项目负责人、主要技术人员为同一人、属同一单位或者同一单位缴纳社会保险；</w:t>
      </w:r>
    </w:p>
    <w:p w14:paraId="38307CAB">
      <w:pPr>
        <w:ind w:firstLine="411" w:firstLineChars="196"/>
        <w:rPr>
          <w:rFonts w:ascii="宋体" w:hAnsi="宋体"/>
        </w:rPr>
      </w:pPr>
      <w:r>
        <w:rPr>
          <w:rFonts w:hint="eastAsia" w:ascii="宋体" w:hAnsi="宋体"/>
        </w:rPr>
        <w:t>32.4.8不同投标供应商的投标文件内容存在非正常一致；</w:t>
      </w:r>
    </w:p>
    <w:p w14:paraId="58FA93A7">
      <w:pPr>
        <w:ind w:firstLine="411" w:firstLineChars="196"/>
        <w:rPr>
          <w:rFonts w:ascii="宋体" w:hAnsi="宋体"/>
        </w:rPr>
      </w:pPr>
      <w:r>
        <w:rPr>
          <w:rFonts w:hint="eastAsia" w:ascii="宋体" w:hAnsi="宋体"/>
        </w:rPr>
        <w:t>32.4.9在同一单位工作人员为两家以上（含两家）供应商进行同一项投标活动；</w:t>
      </w:r>
    </w:p>
    <w:p w14:paraId="17293D59">
      <w:pPr>
        <w:ind w:firstLine="411" w:firstLineChars="196"/>
        <w:rPr>
          <w:rFonts w:ascii="宋体" w:hAnsi="宋体"/>
        </w:rPr>
      </w:pPr>
      <w:r>
        <w:rPr>
          <w:rFonts w:hint="eastAsia" w:ascii="宋体" w:hAnsi="宋体"/>
        </w:rPr>
        <w:t>32.4.10主管部门依照法律、法规认定的其他情形。</w:t>
      </w:r>
    </w:p>
    <w:p w14:paraId="49AF725B">
      <w:pPr>
        <w:ind w:firstLine="411" w:firstLineChars="196"/>
        <w:rPr>
          <w:rFonts w:ascii="宋体" w:hAnsi="宋体"/>
        </w:rPr>
      </w:pPr>
      <w:r>
        <w:rPr>
          <w:rFonts w:hint="eastAsia" w:ascii="宋体" w:hAnsi="宋体"/>
        </w:rPr>
        <w:t>32.5对不属于《资格性审查表》和《符合性审查表》所列的其他情形，除专用条款另有规定和32.4条款所列情形外，不得作为投标无效的理由。</w:t>
      </w:r>
    </w:p>
    <w:p w14:paraId="22B9CE48">
      <w:pPr>
        <w:rPr>
          <w:rFonts w:ascii="黑体" w:hAnsi="宋体" w:eastAsia="黑体"/>
          <w:sz w:val="24"/>
        </w:rPr>
      </w:pPr>
      <w:r>
        <w:rPr>
          <w:rFonts w:hint="eastAsia" w:ascii="黑体" w:hAnsi="宋体" w:eastAsia="黑体"/>
          <w:sz w:val="24"/>
        </w:rPr>
        <w:t>33．澄清有关问题</w:t>
      </w:r>
    </w:p>
    <w:p w14:paraId="6612EFBD">
      <w:pPr>
        <w:ind w:firstLine="411" w:firstLineChars="196"/>
        <w:rPr>
          <w:rFonts w:ascii="宋体" w:hAnsi="宋体"/>
        </w:rPr>
      </w:pPr>
      <w:bookmarkStart w:id="54" w:name="_Hlk71407321"/>
      <w:r>
        <w:rPr>
          <w:rFonts w:hint="eastAsia" w:ascii="宋体" w:hAnsi="宋体"/>
        </w:rPr>
        <w:t>3</w:t>
      </w:r>
      <w:r>
        <w:rPr>
          <w:rFonts w:ascii="宋体" w:hAnsi="宋体"/>
        </w:rPr>
        <w:t>3.1</w:t>
      </w:r>
      <w:r>
        <w:rPr>
          <w:rFonts w:hint="eastAsia" w:ascii="宋体" w:hAnsi="宋体"/>
        </w:rPr>
        <w:t>对招标文件中描述有歧义或前后不一致的地方（不含</w:t>
      </w:r>
      <w:r>
        <w:rPr>
          <w:szCs w:val="21"/>
        </w:rPr>
        <w:t>招标文件存在歧义、重大缺陷导致评</w:t>
      </w:r>
      <w:r>
        <w:rPr>
          <w:rFonts w:hint="eastAsia"/>
          <w:szCs w:val="21"/>
        </w:rPr>
        <w:t>审</w:t>
      </w:r>
      <w:r>
        <w:rPr>
          <w:szCs w:val="21"/>
        </w:rPr>
        <w:t>工作无法进行</w:t>
      </w:r>
      <w:r>
        <w:rPr>
          <w:rFonts w:hint="eastAsia"/>
          <w:szCs w:val="21"/>
        </w:rPr>
        <w:t>的情况）</w:t>
      </w:r>
      <w:r>
        <w:rPr>
          <w:rFonts w:hint="eastAsia" w:ascii="宋体" w:hAnsi="宋体"/>
        </w:rPr>
        <w:t>，评审委员会有权进行评判，但对同一条款的评判应适用于每个投标人。</w:t>
      </w:r>
      <w:bookmarkEnd w:id="54"/>
    </w:p>
    <w:p w14:paraId="5FB0679C">
      <w:pPr>
        <w:ind w:firstLine="411" w:firstLineChars="196"/>
        <w:rPr>
          <w:rFonts w:ascii="宋体" w:hAnsi="宋体"/>
        </w:rPr>
      </w:pPr>
      <w:r>
        <w:rPr>
          <w:rFonts w:hint="eastAsia" w:ascii="宋体" w:hAnsi="宋体"/>
        </w:rPr>
        <w:t>3</w:t>
      </w:r>
      <w:r>
        <w:rPr>
          <w:rFonts w:ascii="宋体" w:hAnsi="宋体"/>
        </w:rPr>
        <w:t>3.2</w:t>
      </w:r>
      <w:r>
        <w:rPr>
          <w:szCs w:val="21"/>
        </w:rPr>
        <w:t>评</w:t>
      </w:r>
      <w:r>
        <w:rPr>
          <w:rFonts w:hint="eastAsia"/>
          <w:szCs w:val="21"/>
        </w:rPr>
        <w:t>审</w:t>
      </w:r>
      <w:r>
        <w:rPr>
          <w:szCs w:val="21"/>
        </w:rPr>
        <w:t>委员会发现招标文件存在歧义、重大缺陷导致评</w:t>
      </w:r>
      <w:r>
        <w:rPr>
          <w:rFonts w:hint="eastAsia"/>
          <w:szCs w:val="21"/>
        </w:rPr>
        <w:t>审</w:t>
      </w:r>
      <w:r>
        <w:rPr>
          <w:szCs w:val="21"/>
        </w:rPr>
        <w:t>工作无法进行，或者招标文件内容违反国家有关强制性规定的，应当停止评</w:t>
      </w:r>
      <w:r>
        <w:rPr>
          <w:rFonts w:hint="eastAsia"/>
          <w:szCs w:val="21"/>
        </w:rPr>
        <w:t>审</w:t>
      </w:r>
      <w:r>
        <w:rPr>
          <w:szCs w:val="21"/>
        </w:rPr>
        <w:t>工作，与</w:t>
      </w:r>
      <w:r>
        <w:rPr>
          <w:rFonts w:hint="eastAsia"/>
          <w:szCs w:val="21"/>
        </w:rPr>
        <w:t>政府集中采购机构</w:t>
      </w:r>
      <w:r>
        <w:rPr>
          <w:szCs w:val="21"/>
        </w:rPr>
        <w:t>沟通并作书面记录。</w:t>
      </w:r>
      <w:r>
        <w:rPr>
          <w:rFonts w:hint="eastAsia"/>
          <w:szCs w:val="21"/>
        </w:rPr>
        <w:t>经</w:t>
      </w:r>
      <w:r>
        <w:rPr>
          <w:szCs w:val="21"/>
        </w:rPr>
        <w:t>确认后，</w:t>
      </w:r>
      <w:r>
        <w:rPr>
          <w:rFonts w:hint="eastAsia"/>
          <w:szCs w:val="21"/>
        </w:rPr>
        <w:t>项目</w:t>
      </w:r>
      <w:r>
        <w:rPr>
          <w:szCs w:val="21"/>
        </w:rPr>
        <w:t>应当修改招标文件，重新组织采购活动。</w:t>
      </w:r>
    </w:p>
    <w:p w14:paraId="09F8C1BA">
      <w:pPr>
        <w:ind w:firstLine="411" w:firstLineChars="196"/>
        <w:rPr>
          <w:rFonts w:ascii="宋体" w:hAnsi="宋体"/>
        </w:rPr>
      </w:pPr>
      <w:r>
        <w:rPr>
          <w:rFonts w:ascii="宋体" w:hAnsi="宋体"/>
        </w:rPr>
        <w:t>33.3</w:t>
      </w:r>
      <w:r>
        <w:rPr>
          <w:rFonts w:hint="eastAsia" w:ascii="宋体" w:hAnsi="宋体"/>
        </w:rPr>
        <w:t>对于投标文件中含义不明确、同类问题表述不一致或者有明显文字和计算错误的内容，评审委员会应当以书面形式要求投标人作出必要的澄清、说明或者补正。</w:t>
      </w:r>
    </w:p>
    <w:p w14:paraId="11E384B2">
      <w:pPr>
        <w:ind w:firstLine="411" w:firstLineChars="196"/>
        <w:rPr>
          <w:rFonts w:ascii="宋体" w:hAnsi="宋体"/>
        </w:rPr>
      </w:pPr>
      <w:r>
        <w:rPr>
          <w:rFonts w:hint="eastAsia" w:ascii="宋体" w:hAnsi="宋体"/>
        </w:rPr>
        <w:t>投标人的澄清、说明或者补正应当采用书面形式【书面形式是指文书、信件（含电子邮件）、电报、电传、传真等形式】，并加盖公章（或者由法定代表人或其授权的代表签字）。投标人的澄清、说明或者补正不得超出投标文件的范围或者改变投标文件的实质性内容。</w:t>
      </w:r>
    </w:p>
    <w:p w14:paraId="0A4720EB">
      <w:pPr>
        <w:ind w:firstLine="411" w:firstLineChars="196"/>
        <w:rPr>
          <w:rFonts w:ascii="宋体" w:hAnsi="宋体"/>
          <w:szCs w:val="21"/>
        </w:rPr>
      </w:pPr>
      <w:r>
        <w:rPr>
          <w:rFonts w:hint="eastAsia" w:ascii="宋体" w:hAnsi="宋体"/>
          <w:szCs w:val="21"/>
        </w:rPr>
        <w:t>根据本通用条款第34条，凡属于评审委员会在评审中发现的算术错误进行核实的修改不在此列。</w:t>
      </w:r>
    </w:p>
    <w:p w14:paraId="68E8F7C8">
      <w:pPr>
        <w:rPr>
          <w:rFonts w:ascii="黑体" w:hAnsi="宋体" w:eastAsia="黑体"/>
          <w:sz w:val="24"/>
        </w:rPr>
      </w:pPr>
      <w:bookmarkStart w:id="55" w:name="_Toc73521669"/>
      <w:bookmarkStart w:id="56" w:name="_Toc73517673"/>
      <w:bookmarkStart w:id="57" w:name="_Toc100052400"/>
      <w:bookmarkStart w:id="58" w:name="_Toc73521581"/>
      <w:bookmarkStart w:id="59" w:name="_Toc73518151"/>
      <w:r>
        <w:rPr>
          <w:rFonts w:hint="eastAsia" w:ascii="黑体" w:hAnsi="宋体" w:eastAsia="黑体"/>
          <w:sz w:val="24"/>
        </w:rPr>
        <w:t>34．错误的修正</w:t>
      </w:r>
      <w:bookmarkEnd w:id="55"/>
      <w:bookmarkEnd w:id="56"/>
      <w:bookmarkEnd w:id="57"/>
      <w:bookmarkEnd w:id="58"/>
      <w:bookmarkEnd w:id="59"/>
    </w:p>
    <w:p w14:paraId="66CC7CFC">
      <w:pPr>
        <w:ind w:firstLine="411" w:firstLineChars="196"/>
        <w:rPr>
          <w:rFonts w:ascii="宋体" w:hAnsi="宋体"/>
          <w:szCs w:val="21"/>
        </w:rPr>
      </w:pPr>
      <w:r>
        <w:rPr>
          <w:rFonts w:hint="eastAsia" w:ascii="宋体" w:hAnsi="宋体"/>
          <w:szCs w:val="21"/>
        </w:rPr>
        <w:t>投标文件报价出现前后不一致的，除专用条款另有规定外，按照下列规定修正：</w:t>
      </w:r>
    </w:p>
    <w:p w14:paraId="62F0EA4C">
      <w:pPr>
        <w:ind w:firstLine="411" w:firstLineChars="196"/>
        <w:rPr>
          <w:rFonts w:ascii="宋体" w:hAnsi="宋体"/>
          <w:szCs w:val="21"/>
        </w:rPr>
      </w:pPr>
      <w:r>
        <w:rPr>
          <w:rFonts w:hint="eastAsia" w:ascii="宋体" w:hAnsi="宋体"/>
          <w:szCs w:val="21"/>
        </w:rPr>
        <w:t>34.1投标文件中开标一览表投标报价内容与投标文件中投标报价相应内容不一致的，以开标一览表为准；</w:t>
      </w:r>
    </w:p>
    <w:p w14:paraId="094816AD">
      <w:pPr>
        <w:ind w:firstLine="411" w:firstLineChars="196"/>
        <w:rPr>
          <w:rFonts w:ascii="宋体" w:hAnsi="宋体"/>
          <w:szCs w:val="21"/>
        </w:rPr>
      </w:pPr>
      <w:r>
        <w:rPr>
          <w:rFonts w:hint="eastAsia" w:ascii="宋体" w:hAnsi="宋体"/>
          <w:szCs w:val="21"/>
        </w:rPr>
        <w:t>34.2大写金额和小写金额不一致的，以大写金额为准；</w:t>
      </w:r>
    </w:p>
    <w:p w14:paraId="0391E3AD">
      <w:pPr>
        <w:ind w:firstLine="411" w:firstLineChars="196"/>
        <w:rPr>
          <w:rFonts w:ascii="宋体" w:hAnsi="宋体"/>
          <w:szCs w:val="21"/>
        </w:rPr>
      </w:pPr>
      <w:r>
        <w:rPr>
          <w:rFonts w:hint="eastAsia" w:ascii="宋体" w:hAnsi="宋体"/>
          <w:szCs w:val="21"/>
        </w:rPr>
        <w:t>34.3单价金额小数点或者百分比有明显错位，以开标一览表的总价为准，并修改单价；</w:t>
      </w:r>
    </w:p>
    <w:p w14:paraId="215C11C9">
      <w:pPr>
        <w:ind w:firstLine="411" w:firstLineChars="196"/>
        <w:rPr>
          <w:rFonts w:ascii="宋体" w:hAnsi="宋体"/>
          <w:szCs w:val="21"/>
        </w:rPr>
      </w:pPr>
      <w:r>
        <w:rPr>
          <w:rFonts w:hint="eastAsia" w:ascii="宋体" w:hAnsi="宋体"/>
          <w:szCs w:val="21"/>
        </w:rPr>
        <w:t>34.4总价金额与按单价汇总金额不一致的，以单价金额计算结果为准。</w:t>
      </w:r>
    </w:p>
    <w:p w14:paraId="2DCA2D16">
      <w:pPr>
        <w:ind w:firstLine="411" w:firstLineChars="196"/>
        <w:rPr>
          <w:rFonts w:ascii="宋体" w:hAnsi="宋体"/>
          <w:szCs w:val="21"/>
        </w:rPr>
      </w:pPr>
      <w:r>
        <w:rPr>
          <w:rFonts w:hint="eastAsia" w:ascii="宋体" w:hAnsi="宋体"/>
          <w:szCs w:val="21"/>
        </w:rPr>
        <w:t>34.5同时出现两种以上不一致的，按照前款规定的顺序修正。修正后的报价按照本通用条款33条的规定，经投标人确认后产生约束力，投标人不确认的，其投标无效。</w:t>
      </w:r>
    </w:p>
    <w:p w14:paraId="7023928F">
      <w:pPr>
        <w:rPr>
          <w:rFonts w:ascii="黑体" w:hAnsi="宋体" w:eastAsia="黑体"/>
          <w:sz w:val="24"/>
        </w:rPr>
      </w:pPr>
      <w:r>
        <w:rPr>
          <w:rFonts w:hint="eastAsia" w:ascii="黑体" w:hAnsi="宋体" w:eastAsia="黑体"/>
          <w:sz w:val="24"/>
        </w:rPr>
        <w:t>35．投标文件的比较与评价</w:t>
      </w:r>
    </w:p>
    <w:p w14:paraId="0F8BE655">
      <w:pPr>
        <w:ind w:firstLine="411" w:firstLineChars="196"/>
        <w:rPr>
          <w:rFonts w:ascii="宋体" w:hAnsi="宋体"/>
          <w:szCs w:val="21"/>
        </w:rPr>
      </w:pPr>
      <w:r>
        <w:rPr>
          <w:rFonts w:hint="eastAsia" w:ascii="宋体" w:hAnsi="宋体"/>
          <w:szCs w:val="21"/>
        </w:rPr>
        <w:t>评审委员会将按照《深圳经济特区政府采购条例》、《深圳经济特区政府采购条例实施细则》、《深圳市政府采购评标定标分离管理办法》及政府采购其他法律法规，仅对通过资格性审查和符合性审查的投标文件进行综合比较与评价。</w:t>
      </w:r>
    </w:p>
    <w:p w14:paraId="45C7CC1F">
      <w:pPr>
        <w:ind w:firstLine="411" w:firstLineChars="196"/>
        <w:rPr>
          <w:rFonts w:ascii="宋体" w:hAnsi="宋体"/>
          <w:szCs w:val="21"/>
        </w:rPr>
      </w:pPr>
      <w:r>
        <w:rPr>
          <w:rFonts w:hint="eastAsia" w:ascii="宋体" w:hAnsi="宋体"/>
          <w:szCs w:val="21"/>
        </w:rPr>
        <w:t>评审委员会成员对需要共同认定的事项存在争议的，应当按照少数服从多数的原则作出结论。持不同意见的评审委员会成员应当书面作出说明，否则视为无异议。</w:t>
      </w:r>
    </w:p>
    <w:p w14:paraId="541C6DB1">
      <w:pPr>
        <w:rPr>
          <w:rFonts w:ascii="黑体" w:hAnsi="宋体" w:eastAsia="黑体"/>
          <w:sz w:val="24"/>
        </w:rPr>
      </w:pPr>
      <w:r>
        <w:rPr>
          <w:rFonts w:hint="eastAsia" w:ascii="黑体" w:hAnsi="宋体" w:eastAsia="黑体"/>
          <w:sz w:val="24"/>
        </w:rPr>
        <w:t>36. 实地考察或资料查验</w:t>
      </w:r>
    </w:p>
    <w:p w14:paraId="5E3549BF">
      <w:pPr>
        <w:ind w:firstLine="411" w:firstLineChars="196"/>
        <w:rPr>
          <w:rFonts w:ascii="宋体" w:hAnsi="宋体"/>
          <w:szCs w:val="21"/>
        </w:rPr>
      </w:pPr>
      <w:r>
        <w:rPr>
          <w:rFonts w:hint="eastAsia" w:ascii="宋体" w:hAnsi="宋体"/>
          <w:szCs w:val="21"/>
        </w:rPr>
        <w:t>36.1在评审过程中，评审委员会有权决定是否对本项目投标人进行实地考察或资料查验（原件）。投标人应随时做好接受实地考察或资料查验的准备。</w:t>
      </w:r>
    </w:p>
    <w:p w14:paraId="098CACEA">
      <w:pPr>
        <w:rPr>
          <w:rFonts w:ascii="黑体" w:hAnsi="宋体" w:eastAsia="黑体"/>
          <w:sz w:val="24"/>
        </w:rPr>
      </w:pPr>
      <w:r>
        <w:rPr>
          <w:rFonts w:hint="eastAsia" w:ascii="黑体" w:hAnsi="宋体" w:eastAsia="黑体"/>
          <w:sz w:val="24"/>
        </w:rPr>
        <w:t>37．评审方法</w:t>
      </w:r>
    </w:p>
    <w:p w14:paraId="77F3ACEB">
      <w:pPr>
        <w:ind w:firstLine="413" w:firstLineChars="196"/>
        <w:rPr>
          <w:rFonts w:ascii="宋体" w:hAnsi="宋体"/>
          <w:b/>
          <w:bCs/>
          <w:szCs w:val="21"/>
        </w:rPr>
      </w:pPr>
      <w:r>
        <w:rPr>
          <w:rFonts w:hint="eastAsia" w:ascii="宋体" w:hAnsi="宋体"/>
          <w:b/>
          <w:bCs/>
          <w:szCs w:val="21"/>
        </w:rPr>
        <w:t>37.1.1最低价法</w:t>
      </w:r>
    </w:p>
    <w:p w14:paraId="565ACD14">
      <w:pPr>
        <w:ind w:firstLine="411" w:firstLineChars="196"/>
        <w:rPr>
          <w:rFonts w:hint="eastAsia" w:ascii="ˎ̥" w:hAnsi="ˎ̥"/>
        </w:rPr>
      </w:pPr>
      <w:bookmarkStart w:id="60" w:name="_Hlk72438142"/>
      <w:r>
        <w:rPr>
          <w:rFonts w:ascii="ˎ̥" w:hAnsi="ˎ̥"/>
        </w:rPr>
        <w:t>最低价法，是指</w:t>
      </w:r>
      <w:r>
        <w:rPr>
          <w:rFonts w:hint="eastAsia" w:ascii="ˎ̥" w:hAnsi="ˎ̥"/>
        </w:rPr>
        <w:t>完全</w:t>
      </w:r>
      <w:r>
        <w:rPr>
          <w:rFonts w:ascii="ˎ̥" w:hAnsi="ˎ̥"/>
        </w:rPr>
        <w:t>满足招标文件实质性要求，</w:t>
      </w:r>
      <w:r>
        <w:rPr>
          <w:rFonts w:hint="eastAsia" w:ascii="ˎ̥" w:hAnsi="ˎ̥"/>
        </w:rPr>
        <w:t>按照报价由低到高的顺序，依据招标文件中规定的数量或者比例推荐候选中标供应商。</w:t>
      </w:r>
    </w:p>
    <w:p w14:paraId="5F868601">
      <w:pPr>
        <w:ind w:firstLine="413" w:firstLineChars="196"/>
        <w:rPr>
          <w:rFonts w:ascii="宋体" w:hAnsi="宋体"/>
          <w:b/>
          <w:bCs/>
          <w:szCs w:val="21"/>
        </w:rPr>
      </w:pPr>
      <w:r>
        <w:rPr>
          <w:rFonts w:hint="eastAsia" w:ascii="宋体" w:hAnsi="宋体"/>
          <w:b/>
          <w:bCs/>
          <w:szCs w:val="21"/>
        </w:rPr>
        <w:t>37.1.2综合评分法</w:t>
      </w:r>
    </w:p>
    <w:p w14:paraId="57FB51AA">
      <w:pPr>
        <w:ind w:firstLine="411" w:firstLineChars="196"/>
        <w:rPr>
          <w:rFonts w:hint="eastAsia" w:ascii="ˎ̥" w:hAnsi="ˎ̥"/>
        </w:rPr>
      </w:pPr>
      <w:r>
        <w:rPr>
          <w:rFonts w:ascii="ˎ̥" w:hAnsi="ˎ̥"/>
        </w:rPr>
        <w:t>综合评分法，是指</w:t>
      </w:r>
      <w:r>
        <w:rPr>
          <w:rFonts w:hint="eastAsia" w:ascii="ˎ̥" w:hAnsi="ˎ̥"/>
        </w:rPr>
        <w:t>在</w:t>
      </w:r>
      <w:r>
        <w:rPr>
          <w:rFonts w:ascii="ˎ̥" w:hAnsi="ˎ̥"/>
        </w:rPr>
        <w:t>满足招标文件全部实质性要求</w:t>
      </w:r>
      <w:r>
        <w:rPr>
          <w:rFonts w:hint="eastAsia" w:ascii="ˎ̥" w:hAnsi="ˎ̥"/>
        </w:rPr>
        <w:t>的前提下</w:t>
      </w:r>
      <w:r>
        <w:rPr>
          <w:rFonts w:ascii="ˎ̥" w:hAnsi="ˎ̥"/>
        </w:rPr>
        <w:t>，</w:t>
      </w:r>
      <w:r>
        <w:rPr>
          <w:rFonts w:hint="eastAsia" w:ascii="ˎ̥" w:hAnsi="ˎ̥"/>
        </w:rPr>
        <w:t>按照招标文件中规定的各项因素进行综合评审，评审总得分排名前列的投标人，作为推荐的候选中标供应商。</w:t>
      </w:r>
      <w:bookmarkEnd w:id="60"/>
    </w:p>
    <w:p w14:paraId="5EA70AFA">
      <w:pPr>
        <w:ind w:firstLine="413" w:firstLineChars="196"/>
        <w:rPr>
          <w:rFonts w:ascii="宋体" w:hAnsi="宋体"/>
          <w:b/>
          <w:bCs/>
          <w:szCs w:val="21"/>
        </w:rPr>
      </w:pPr>
      <w:r>
        <w:rPr>
          <w:rFonts w:hint="eastAsia" w:ascii="宋体" w:hAnsi="宋体"/>
          <w:b/>
          <w:bCs/>
          <w:szCs w:val="21"/>
        </w:rPr>
        <w:t>37.2 本项目采用的评审方法见本项目招标文件第一册“专用条款”的相关内容。</w:t>
      </w:r>
    </w:p>
    <w:p w14:paraId="7506EB4A">
      <w:pPr>
        <w:ind w:firstLine="413" w:firstLineChars="196"/>
        <w:rPr>
          <w:rFonts w:ascii="宋体" w:hAnsi="宋体"/>
          <w:b/>
          <w:bCs/>
          <w:szCs w:val="21"/>
        </w:rPr>
      </w:pPr>
      <w:r>
        <w:rPr>
          <w:rFonts w:hint="eastAsia" w:ascii="宋体" w:hAnsi="宋体"/>
          <w:b/>
          <w:bCs/>
          <w:szCs w:val="21"/>
        </w:rPr>
        <w:t>37.3重新评审的情形</w:t>
      </w:r>
    </w:p>
    <w:p w14:paraId="00C3928F">
      <w:pPr>
        <w:ind w:firstLine="411" w:firstLineChars="196"/>
        <w:rPr>
          <w:rFonts w:ascii="宋体" w:hAnsi="宋体"/>
          <w:b/>
          <w:bCs/>
          <w:szCs w:val="21"/>
        </w:rPr>
      </w:pPr>
      <w:r>
        <w:rPr>
          <w:rFonts w:hint="eastAsia" w:ascii="宋体" w:hAnsi="宋体" w:cs="宋体"/>
          <w:kern w:val="0"/>
          <w:szCs w:val="21"/>
        </w:rPr>
        <w:t>评审结果汇总完成后，除下列情形外，任何人不得修改评审结果：</w:t>
      </w:r>
    </w:p>
    <w:p w14:paraId="5C77FC50">
      <w:pPr>
        <w:ind w:firstLine="411" w:firstLineChars="196"/>
        <w:rPr>
          <w:rFonts w:ascii="宋体" w:hAnsi="宋体" w:cs="宋体"/>
          <w:kern w:val="0"/>
          <w:szCs w:val="21"/>
        </w:rPr>
      </w:pPr>
      <w:r>
        <w:rPr>
          <w:rFonts w:hint="eastAsia" w:ascii="宋体" w:hAnsi="宋体" w:cs="宋体"/>
          <w:kern w:val="0"/>
          <w:szCs w:val="21"/>
        </w:rPr>
        <w:t>37.3.1分值汇总计算错误的；</w:t>
      </w:r>
    </w:p>
    <w:p w14:paraId="6F12183A">
      <w:pPr>
        <w:ind w:firstLine="411" w:firstLineChars="196"/>
        <w:rPr>
          <w:rFonts w:ascii="宋体" w:hAnsi="宋体" w:cs="宋体"/>
          <w:kern w:val="0"/>
          <w:szCs w:val="21"/>
        </w:rPr>
      </w:pPr>
      <w:r>
        <w:rPr>
          <w:rFonts w:hint="eastAsia" w:ascii="宋体" w:hAnsi="宋体" w:cs="宋体"/>
          <w:kern w:val="0"/>
          <w:szCs w:val="21"/>
        </w:rPr>
        <w:t>37.3.2分项评分超出评分标准范围的；</w:t>
      </w:r>
    </w:p>
    <w:p w14:paraId="01955040">
      <w:pPr>
        <w:ind w:firstLine="411" w:firstLineChars="196"/>
        <w:rPr>
          <w:rFonts w:ascii="宋体" w:hAnsi="宋体" w:cs="宋体"/>
          <w:kern w:val="0"/>
          <w:szCs w:val="21"/>
        </w:rPr>
      </w:pPr>
      <w:r>
        <w:rPr>
          <w:rFonts w:hint="eastAsia" w:ascii="宋体" w:hAnsi="宋体" w:cs="宋体"/>
          <w:kern w:val="0"/>
          <w:szCs w:val="21"/>
        </w:rPr>
        <w:t>37.3.3评审委员会成员对客观评审因素评分不一致的；</w:t>
      </w:r>
    </w:p>
    <w:p w14:paraId="2E16DF94">
      <w:pPr>
        <w:ind w:firstLine="411" w:firstLineChars="196"/>
        <w:rPr>
          <w:rFonts w:ascii="宋体" w:hAnsi="宋体" w:cs="宋体"/>
          <w:kern w:val="0"/>
          <w:szCs w:val="21"/>
        </w:rPr>
      </w:pPr>
      <w:r>
        <w:rPr>
          <w:rFonts w:hint="eastAsia" w:ascii="宋体" w:hAnsi="宋体" w:cs="宋体"/>
          <w:kern w:val="0"/>
          <w:szCs w:val="21"/>
        </w:rPr>
        <w:t>37.3.4经评审委员会认定评分畸高、畸低的。</w:t>
      </w:r>
    </w:p>
    <w:p w14:paraId="3948970D">
      <w:pPr>
        <w:ind w:firstLine="411" w:firstLineChars="196"/>
        <w:rPr>
          <w:rFonts w:ascii="宋体" w:hAnsi="宋体" w:cs="宋体"/>
          <w:kern w:val="0"/>
          <w:szCs w:val="21"/>
        </w:rPr>
      </w:pPr>
      <w:r>
        <w:rPr>
          <w:rFonts w:hint="eastAsia" w:ascii="宋体" w:hAnsi="宋体" w:cs="宋体"/>
          <w:kern w:val="0"/>
          <w:szCs w:val="21"/>
        </w:rPr>
        <w:t>评审报告签署前，经复核发现存在以上情形之一的，评审委员会应当当场修改评审结果，并进行书面记载；评审报告签署后，采购人或者采购代理机构发现存在以上情形之一的，应当组织原评审委员会进行重新评审，重新评审改变评审结果的，书面报告本级财政部门。</w:t>
      </w:r>
    </w:p>
    <w:p w14:paraId="182E6B96">
      <w:pPr>
        <w:ind w:firstLine="411" w:firstLineChars="196"/>
        <w:rPr>
          <w:rFonts w:ascii="宋体" w:hAnsi="宋体" w:cs="宋体"/>
          <w:kern w:val="0"/>
          <w:szCs w:val="21"/>
        </w:rPr>
      </w:pPr>
      <w:r>
        <w:rPr>
          <w:rFonts w:hint="eastAsia" w:ascii="宋体" w:hAnsi="宋体" w:cs="宋体"/>
          <w:kern w:val="0"/>
          <w:szCs w:val="21"/>
        </w:rPr>
        <w:t>投标人对本条第一款情形提出质疑的，采购人或者采购代理机构可以组织原评审委员会进行重新评审，重新评审改变评审结果的，应当书面报告本级财政部门。</w:t>
      </w:r>
    </w:p>
    <w:p w14:paraId="4AD5DDFB">
      <w:pPr>
        <w:ind w:firstLine="413" w:firstLineChars="196"/>
        <w:rPr>
          <w:rFonts w:ascii="宋体" w:hAnsi="宋体"/>
          <w:b/>
          <w:bCs/>
          <w:szCs w:val="21"/>
        </w:rPr>
      </w:pPr>
      <w:r>
        <w:rPr>
          <w:rFonts w:hint="eastAsia" w:ascii="宋体" w:hAnsi="宋体"/>
          <w:b/>
          <w:bCs/>
          <w:szCs w:val="21"/>
        </w:rPr>
        <w:t xml:space="preserve"> 37.4重新组建评审委员会的情形</w:t>
      </w:r>
    </w:p>
    <w:p w14:paraId="57651C4D">
      <w:pPr>
        <w:ind w:firstLine="411" w:firstLineChars="196"/>
        <w:rPr>
          <w:rFonts w:ascii="宋体" w:hAnsi="宋体" w:cs="宋体"/>
          <w:kern w:val="0"/>
          <w:szCs w:val="21"/>
        </w:rPr>
      </w:pPr>
      <w:r>
        <w:rPr>
          <w:rFonts w:hint="eastAsia" w:ascii="宋体" w:hAnsi="宋体" w:cs="宋体"/>
          <w:kern w:val="0"/>
          <w:szCs w:val="21"/>
        </w:rPr>
        <w:t>评审委员会或者其成员存在下列情形导致评审结果无效的，重新组建评审委员会进行评标，并书面报告本级财政部门：</w:t>
      </w:r>
    </w:p>
    <w:p w14:paraId="616CE468">
      <w:pPr>
        <w:ind w:firstLine="411" w:firstLineChars="196"/>
        <w:rPr>
          <w:rFonts w:ascii="宋体" w:hAnsi="宋体" w:cs="宋体"/>
          <w:kern w:val="0"/>
          <w:szCs w:val="21"/>
        </w:rPr>
      </w:pPr>
      <w:r>
        <w:rPr>
          <w:rFonts w:hint="eastAsia" w:ascii="宋体" w:hAnsi="宋体" w:cs="宋体"/>
          <w:kern w:val="0"/>
          <w:szCs w:val="21"/>
        </w:rPr>
        <w:t>37.4.1评审委员会组成不符合《政府采购货物和服务招标投标管理办法》规定的；</w:t>
      </w:r>
    </w:p>
    <w:p w14:paraId="7129E41B">
      <w:pPr>
        <w:ind w:firstLine="411" w:firstLineChars="196"/>
        <w:rPr>
          <w:rFonts w:ascii="宋体" w:hAnsi="宋体" w:cs="宋体"/>
          <w:kern w:val="0"/>
          <w:szCs w:val="21"/>
        </w:rPr>
      </w:pPr>
      <w:r>
        <w:rPr>
          <w:rFonts w:hint="eastAsia" w:ascii="宋体" w:hAnsi="宋体" w:cs="宋体"/>
          <w:kern w:val="0"/>
          <w:szCs w:val="21"/>
        </w:rPr>
        <w:t>37.4.2有《政府采购货物和服务招标投标管理办法》第六十二条第一至五项情形的；</w:t>
      </w:r>
    </w:p>
    <w:p w14:paraId="12277B2E">
      <w:pPr>
        <w:ind w:firstLine="411" w:firstLineChars="196"/>
        <w:rPr>
          <w:rFonts w:ascii="宋体" w:hAnsi="宋体" w:cs="宋体"/>
          <w:kern w:val="0"/>
          <w:szCs w:val="21"/>
        </w:rPr>
      </w:pPr>
      <w:r>
        <w:rPr>
          <w:rFonts w:hint="eastAsia" w:ascii="宋体" w:hAnsi="宋体" w:cs="宋体"/>
          <w:kern w:val="0"/>
          <w:szCs w:val="21"/>
        </w:rPr>
        <w:t>37.4.3评审委员会及其成员独立评标受到非法干预的；</w:t>
      </w:r>
    </w:p>
    <w:p w14:paraId="59CABF2F">
      <w:pPr>
        <w:ind w:firstLine="411" w:firstLineChars="196"/>
        <w:rPr>
          <w:rFonts w:ascii="宋体" w:hAnsi="宋体" w:cs="宋体"/>
          <w:kern w:val="0"/>
          <w:szCs w:val="21"/>
        </w:rPr>
      </w:pPr>
      <w:r>
        <w:rPr>
          <w:rFonts w:hint="eastAsia" w:ascii="宋体" w:hAnsi="宋体" w:cs="宋体"/>
          <w:kern w:val="0"/>
          <w:szCs w:val="21"/>
        </w:rPr>
        <w:t>37.4.4有政府采购法实施条例第七十五条规定的违法行为的。</w:t>
      </w:r>
    </w:p>
    <w:p w14:paraId="3E3B7A2F">
      <w:pPr>
        <w:ind w:firstLine="411" w:firstLineChars="196"/>
        <w:rPr>
          <w:rFonts w:ascii="宋体" w:hAnsi="宋体" w:cs="宋体"/>
          <w:kern w:val="0"/>
          <w:szCs w:val="21"/>
        </w:rPr>
      </w:pPr>
      <w:r>
        <w:rPr>
          <w:rFonts w:hint="eastAsia" w:ascii="宋体" w:hAnsi="宋体" w:cs="宋体"/>
          <w:kern w:val="0"/>
          <w:szCs w:val="21"/>
        </w:rPr>
        <w:t>有违法违规行为的原评审委员会成员不得参加重新组建的评审委员会。</w:t>
      </w:r>
    </w:p>
    <w:p w14:paraId="659A223C">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r>
        <w:rPr>
          <w:rFonts w:hint="eastAsia" w:ascii="宋体" w:hAnsi="宋体"/>
          <w:b/>
          <w:bCs/>
          <w:kern w:val="0"/>
          <w:sz w:val="28"/>
          <w:szCs w:val="28"/>
        </w:rPr>
        <w:t>定标及公示</w:t>
      </w:r>
    </w:p>
    <w:p w14:paraId="54216F0B">
      <w:pPr>
        <w:rPr>
          <w:rFonts w:ascii="黑体" w:hAnsi="宋体" w:eastAsia="黑体"/>
          <w:sz w:val="24"/>
        </w:rPr>
      </w:pPr>
      <w:r>
        <w:rPr>
          <w:rFonts w:hint="eastAsia" w:ascii="黑体" w:hAnsi="宋体" w:eastAsia="黑体"/>
          <w:sz w:val="24"/>
        </w:rPr>
        <w:t>38．定标方法</w:t>
      </w:r>
    </w:p>
    <w:p w14:paraId="13866BFA">
      <w:pPr>
        <w:ind w:firstLine="411" w:firstLineChars="196"/>
        <w:rPr>
          <w:rFonts w:ascii="宋体" w:hAnsi="宋体"/>
          <w:szCs w:val="21"/>
        </w:rPr>
      </w:pPr>
      <w:bookmarkStart w:id="61" w:name="_Hlk73782795"/>
      <w:r>
        <w:rPr>
          <w:rFonts w:hint="eastAsia" w:ascii="宋体" w:hAnsi="宋体"/>
          <w:szCs w:val="21"/>
        </w:rPr>
        <w:t>38.1非评定分离项目定标方法</w:t>
      </w:r>
    </w:p>
    <w:p w14:paraId="5E236380">
      <w:pPr>
        <w:ind w:firstLine="411" w:firstLineChars="196"/>
        <w:rPr>
          <w:rFonts w:ascii="宋体" w:hAnsi="宋体"/>
          <w:szCs w:val="21"/>
        </w:rPr>
      </w:pPr>
      <w:r>
        <w:rPr>
          <w:rFonts w:hint="eastAsia" w:ascii="宋体" w:hAnsi="宋体"/>
          <w:szCs w:val="21"/>
        </w:rPr>
        <w:t>38</w:t>
      </w:r>
      <w:r>
        <w:rPr>
          <w:rFonts w:ascii="宋体" w:hAnsi="宋体"/>
          <w:szCs w:val="21"/>
        </w:rPr>
        <w:t>.</w:t>
      </w:r>
      <w:r>
        <w:rPr>
          <w:rFonts w:hint="eastAsia" w:ascii="宋体" w:hAnsi="宋体"/>
          <w:szCs w:val="21"/>
        </w:rPr>
        <w:t>1.1评审委员会依据本项目招标文件所约定的评审方法进行评审和比较，向政府集中采购机构提交书面评审报告，并根据评审方法比较评价结果从优到劣进行排序，确定候选中标供应商。</w:t>
      </w:r>
    </w:p>
    <w:p w14:paraId="6C22713D">
      <w:pPr>
        <w:ind w:firstLine="411" w:firstLineChars="196"/>
        <w:rPr>
          <w:rFonts w:hint="eastAsia" w:ascii="ˎ̥" w:hAnsi="ˎ̥"/>
        </w:rPr>
      </w:pPr>
      <w:r>
        <w:rPr>
          <w:rFonts w:hint="eastAsia" w:ascii="宋体" w:hAnsi="宋体"/>
          <w:szCs w:val="21"/>
        </w:rPr>
        <w:t>38</w:t>
      </w:r>
      <w:r>
        <w:rPr>
          <w:rFonts w:ascii="宋体" w:hAnsi="宋体"/>
          <w:szCs w:val="21"/>
        </w:rPr>
        <w:t>.</w:t>
      </w:r>
      <w:r>
        <w:rPr>
          <w:rFonts w:hint="eastAsia" w:ascii="宋体" w:hAnsi="宋体"/>
          <w:szCs w:val="21"/>
        </w:rPr>
        <w:t>1.2</w:t>
      </w:r>
      <w:r>
        <w:rPr>
          <w:rFonts w:ascii="ˎ̥" w:hAnsi="ˎ̥"/>
        </w:rPr>
        <w:t>采用最低价法的，评</w:t>
      </w:r>
      <w:r>
        <w:rPr>
          <w:rFonts w:hint="eastAsia" w:ascii="ˎ̥" w:hAnsi="ˎ̥"/>
        </w:rPr>
        <w:t>审</w:t>
      </w:r>
      <w:r>
        <w:rPr>
          <w:rFonts w:ascii="ˎ̥" w:hAnsi="ˎ̥"/>
        </w:rPr>
        <w:t>结果按投标报价由低到高顺序排列。投标报价相同的并列。投标文件满足招标文件全部实质性要求且投标报价最低的</w:t>
      </w:r>
      <w:r>
        <w:rPr>
          <w:rFonts w:hint="eastAsia" w:ascii="ˎ̥" w:hAnsi="ˎ̥"/>
        </w:rPr>
        <w:t>投标人为</w:t>
      </w:r>
      <w:bookmarkStart w:id="62" w:name="_Hlk73821177"/>
      <w:r>
        <w:rPr>
          <w:rFonts w:hint="eastAsia" w:ascii="ˎ̥" w:hAnsi="ˎ̥"/>
        </w:rPr>
        <w:t>中标供应商</w:t>
      </w:r>
      <w:r>
        <w:rPr>
          <w:rFonts w:ascii="ˎ̥" w:hAnsi="ˎ̥"/>
        </w:rPr>
        <w:t>（</w:t>
      </w:r>
      <w:r>
        <w:rPr>
          <w:rFonts w:hint="eastAsia" w:ascii="ˎ̥" w:hAnsi="ˎ̥"/>
        </w:rPr>
        <w:t>排名</w:t>
      </w:r>
      <w:r>
        <w:rPr>
          <w:rFonts w:ascii="ˎ̥" w:hAnsi="ˎ̥"/>
        </w:rPr>
        <w:t>第二</w:t>
      </w:r>
      <w:r>
        <w:rPr>
          <w:rFonts w:hint="eastAsia" w:ascii="ˎ̥" w:hAnsi="ˎ̥"/>
        </w:rPr>
        <w:t>的投标人为第一替补中标候选人、排名</w:t>
      </w:r>
      <w:r>
        <w:rPr>
          <w:rFonts w:ascii="ˎ̥" w:hAnsi="ˎ̥"/>
        </w:rPr>
        <w:t>第</w:t>
      </w:r>
      <w:r>
        <w:rPr>
          <w:rFonts w:hint="eastAsia" w:ascii="ˎ̥" w:hAnsi="ˎ̥"/>
        </w:rPr>
        <w:t>三的投标人为第二替补中标候选人</w:t>
      </w:r>
      <w:bookmarkEnd w:id="62"/>
      <w:r>
        <w:rPr>
          <w:rFonts w:ascii="ˎ̥" w:hAnsi="ˎ̥"/>
        </w:rPr>
        <w:t>）。</w:t>
      </w:r>
    </w:p>
    <w:p w14:paraId="685EAB45">
      <w:pPr>
        <w:ind w:firstLine="411" w:firstLineChars="196"/>
        <w:rPr>
          <w:rFonts w:hint="eastAsia" w:ascii="ˎ̥" w:hAnsi="ˎ̥"/>
        </w:rPr>
      </w:pPr>
      <w:r>
        <w:rPr>
          <w:rFonts w:hint="eastAsia" w:ascii="宋体" w:hAnsi="宋体"/>
          <w:szCs w:val="21"/>
        </w:rPr>
        <w:t>38</w:t>
      </w:r>
      <w:r>
        <w:rPr>
          <w:rFonts w:ascii="宋体" w:hAnsi="宋体"/>
          <w:szCs w:val="21"/>
        </w:rPr>
        <w:t>.</w:t>
      </w:r>
      <w:r>
        <w:rPr>
          <w:rFonts w:hint="eastAsia" w:ascii="宋体" w:hAnsi="宋体"/>
          <w:szCs w:val="21"/>
        </w:rPr>
        <w:t>1.3</w:t>
      </w:r>
      <w:r>
        <w:rPr>
          <w:rFonts w:ascii="宋体" w:hAnsi="宋体"/>
          <w:szCs w:val="21"/>
        </w:rPr>
        <w:t>采</w:t>
      </w:r>
      <w:r>
        <w:rPr>
          <w:rFonts w:ascii="ˎ̥" w:hAnsi="ˎ̥"/>
        </w:rPr>
        <w:t>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w:t>
      </w:r>
      <w:r>
        <w:rPr>
          <w:rFonts w:hint="eastAsia" w:ascii="ˎ̥" w:hAnsi="ˎ̥"/>
        </w:rPr>
        <w:t>为中标供应商</w:t>
      </w:r>
      <w:r>
        <w:rPr>
          <w:rFonts w:ascii="ˎ̥" w:hAnsi="ˎ̥"/>
        </w:rPr>
        <w:t>（</w:t>
      </w:r>
      <w:r>
        <w:rPr>
          <w:rFonts w:hint="eastAsia" w:ascii="ˎ̥" w:hAnsi="ˎ̥"/>
        </w:rPr>
        <w:t>排名</w:t>
      </w:r>
      <w:r>
        <w:rPr>
          <w:rFonts w:ascii="ˎ̥" w:hAnsi="ˎ̥"/>
        </w:rPr>
        <w:t>第二</w:t>
      </w:r>
      <w:r>
        <w:rPr>
          <w:rFonts w:hint="eastAsia" w:ascii="ˎ̥" w:hAnsi="ˎ̥"/>
        </w:rPr>
        <w:t>的投标人为第一替补中标候选人、排名</w:t>
      </w:r>
      <w:r>
        <w:rPr>
          <w:rFonts w:ascii="ˎ̥" w:hAnsi="ˎ̥"/>
        </w:rPr>
        <w:t>第</w:t>
      </w:r>
      <w:r>
        <w:rPr>
          <w:rFonts w:hint="eastAsia" w:ascii="ˎ̥" w:hAnsi="ˎ̥"/>
        </w:rPr>
        <w:t>三的投标人为第二替补中标候选人</w:t>
      </w:r>
      <w:r>
        <w:rPr>
          <w:rFonts w:ascii="ˎ̥" w:hAnsi="ˎ̥"/>
        </w:rPr>
        <w:t>）。</w:t>
      </w:r>
      <w:r>
        <w:rPr>
          <w:rFonts w:hint="eastAsia" w:ascii="ˎ̥" w:hAnsi="ˎ̥"/>
        </w:rPr>
        <w:t>出现</w:t>
      </w:r>
      <w:r>
        <w:rPr>
          <w:rFonts w:ascii="ˎ̥" w:hAnsi="ˎ̥"/>
        </w:rPr>
        <w:t>得分且投标报价相同的并列</w:t>
      </w:r>
      <w:r>
        <w:rPr>
          <w:rFonts w:hint="eastAsia" w:ascii="ˎ̥" w:hAnsi="ˎ̥"/>
        </w:rPr>
        <w:t>情况时，采取随机抽取的方式确定，具体操作办法及流程由评审委员会确定。</w:t>
      </w:r>
    </w:p>
    <w:p w14:paraId="39D6946B">
      <w:pPr>
        <w:ind w:firstLine="411" w:firstLineChars="196"/>
        <w:rPr>
          <w:rFonts w:ascii="宋体" w:hAnsi="宋体"/>
          <w:szCs w:val="21"/>
        </w:rPr>
      </w:pPr>
      <w:r>
        <w:rPr>
          <w:rFonts w:hint="eastAsia" w:ascii="宋体" w:hAnsi="宋体"/>
          <w:szCs w:val="21"/>
        </w:rPr>
        <w:t>38.2评定分离项目定标方法</w:t>
      </w:r>
    </w:p>
    <w:p w14:paraId="777C7DBC">
      <w:pPr>
        <w:ind w:firstLine="411" w:firstLineChars="196"/>
        <w:rPr>
          <w:rFonts w:ascii="宋体" w:hAnsi="宋体"/>
          <w:szCs w:val="21"/>
        </w:rPr>
      </w:pPr>
      <w:r>
        <w:rPr>
          <w:rFonts w:hint="eastAsia" w:ascii="宋体" w:hAnsi="宋体"/>
          <w:szCs w:val="21"/>
        </w:rPr>
        <w:t>38.2.1评定分离是指在政府集中采购程序中，以公开招标方式执行采购，评审委员会负责对投标文件进行评审、推荐候选中标供应商并出具书面评审报告，由采购人根据评审委员会出具的评审报告从推荐的候选中标供应商中确定中标供应商。单个项目需要确定多家中标供应商的，不适用评定分离。</w:t>
      </w:r>
    </w:p>
    <w:p w14:paraId="5EA76F92">
      <w:pPr>
        <w:ind w:firstLine="411" w:firstLineChars="196"/>
      </w:pPr>
      <w:r>
        <w:rPr>
          <w:rFonts w:ascii="宋体" w:hAnsi="宋体"/>
          <w:szCs w:val="21"/>
        </w:rPr>
        <w:t xml:space="preserve">38.2.2 </w:t>
      </w:r>
      <w:bookmarkStart w:id="63" w:name="_Hlk71469733"/>
      <w:r>
        <w:t>适用评定分离的政府采购项目，采用综合评分法评</w:t>
      </w:r>
      <w:r>
        <w:rPr>
          <w:rFonts w:hint="eastAsia"/>
        </w:rPr>
        <w:t>审。</w:t>
      </w:r>
      <w:r>
        <w:rPr>
          <w:rFonts w:hint="eastAsia" w:ascii="宋体" w:hAnsi="宋体"/>
          <w:szCs w:val="21"/>
        </w:rPr>
        <w:t>评审委员会按照评审结果，推荐</w:t>
      </w:r>
      <w:r>
        <w:t>三个合格的候选中标供应商。</w:t>
      </w:r>
    </w:p>
    <w:p w14:paraId="03A38909">
      <w:pPr>
        <w:ind w:firstLine="411" w:firstLineChars="196"/>
        <w:rPr>
          <w:rFonts w:ascii="宋体" w:hAnsi="宋体"/>
          <w:szCs w:val="21"/>
        </w:rPr>
      </w:pPr>
      <w:r>
        <w:rPr>
          <w:rFonts w:hint="eastAsia" w:ascii="宋体" w:hAnsi="宋体"/>
          <w:szCs w:val="21"/>
        </w:rPr>
        <w:t>38.2.3</w:t>
      </w:r>
      <w:bookmarkStart w:id="64" w:name="_Hlk71469688"/>
      <w:r>
        <w:t>适用评定分离的政府采购项目，</w:t>
      </w:r>
      <w:r>
        <w:rPr>
          <w:rFonts w:hint="eastAsia" w:ascii="宋体" w:hAnsi="宋体"/>
          <w:szCs w:val="21"/>
        </w:rPr>
        <w:t>按照自定法确定中标供应商：自定法是指采购人组织定标委员会，由定标委员会在三家候选中标供应商中确定中标供应商。</w:t>
      </w:r>
      <w:bookmarkEnd w:id="63"/>
      <w:bookmarkEnd w:id="64"/>
    </w:p>
    <w:p w14:paraId="4B9377FD">
      <w:pPr>
        <w:ind w:firstLine="411" w:firstLineChars="196"/>
        <w:rPr>
          <w:rFonts w:ascii="宋体" w:hAnsi="宋体"/>
          <w:szCs w:val="21"/>
        </w:rPr>
      </w:pPr>
      <w:r>
        <w:rPr>
          <w:rFonts w:ascii="宋体" w:hAnsi="宋体"/>
          <w:szCs w:val="21"/>
        </w:rPr>
        <w:t>38.2.4</w:t>
      </w:r>
      <w:r>
        <w:rPr>
          <w:rFonts w:hint="eastAsia" w:ascii="宋体" w:hAnsi="宋体"/>
          <w:szCs w:val="21"/>
        </w:rPr>
        <w:t>政府集中采购机构</w:t>
      </w:r>
      <w:r>
        <w:t>应当自评审结束之日起两个工作日内将候选中标供应商名单及其投标文件、评审报告送交采购人</w:t>
      </w:r>
      <w:r>
        <w:rPr>
          <w:rFonts w:hint="eastAsia" w:ascii="宋体" w:hAnsi="宋体"/>
          <w:szCs w:val="21"/>
        </w:rPr>
        <w:t>。</w:t>
      </w:r>
      <w:r>
        <w:t>采购人应当安排专人对定标过程进行书面记录，形成定标报告，作为采购文件的组成部分存档，并及时将定标结果反馈</w:t>
      </w:r>
      <w:r>
        <w:rPr>
          <w:rFonts w:hint="eastAsia"/>
        </w:rPr>
        <w:t>政府集中采购机构。具体定标程序及相关要求以按照《</w:t>
      </w:r>
      <w:r>
        <w:t>深圳市财政局关于印发</w:t>
      </w:r>
      <w:r>
        <w:rPr>
          <w:rFonts w:hint="eastAsia" w:ascii="宋体" w:hAnsi="宋体"/>
        </w:rPr>
        <w:t>〈</w:t>
      </w:r>
      <w:r>
        <w:t>深圳市政府采购评标定标分离管理办法</w:t>
      </w:r>
      <w:r>
        <w:rPr>
          <w:rFonts w:hint="eastAsia" w:ascii="宋体" w:hAnsi="宋体"/>
        </w:rPr>
        <w:t>〉</w:t>
      </w:r>
      <w:r>
        <w:t>的通知</w:t>
      </w:r>
      <w:r>
        <w:rPr>
          <w:rFonts w:hint="eastAsia"/>
        </w:rPr>
        <w:t>》（深财规【2</w:t>
      </w:r>
      <w:r>
        <w:t>020</w:t>
      </w:r>
      <w:r>
        <w:rPr>
          <w:rFonts w:hint="eastAsia"/>
        </w:rPr>
        <w:t>】1号）执行。</w:t>
      </w:r>
    </w:p>
    <w:p w14:paraId="7F0EE66C">
      <w:pPr>
        <w:ind w:firstLine="411" w:firstLineChars="196"/>
        <w:rPr>
          <w:rFonts w:ascii="宋体" w:hAnsi="宋体"/>
          <w:szCs w:val="21"/>
        </w:rPr>
      </w:pPr>
      <w:r>
        <w:rPr>
          <w:rFonts w:hint="eastAsia" w:ascii="宋体" w:hAnsi="宋体"/>
          <w:szCs w:val="21"/>
        </w:rPr>
        <w:t>说明：采购人及投标供应商应按照上述方法提前做好相关准备。</w:t>
      </w:r>
    </w:p>
    <w:p w14:paraId="40F85E05">
      <w:pPr>
        <w:ind w:firstLine="411" w:firstLineChars="196"/>
        <w:rPr>
          <w:rFonts w:ascii="宋体" w:hAnsi="宋体"/>
          <w:szCs w:val="21"/>
        </w:rPr>
      </w:pPr>
      <w:r>
        <w:rPr>
          <w:rFonts w:hint="eastAsia" w:ascii="宋体" w:hAnsi="宋体"/>
          <w:szCs w:val="21"/>
        </w:rPr>
        <w:t>38.3专用条款另有规定的，按专用条款相关要求定标。</w:t>
      </w:r>
      <w:bookmarkEnd w:id="61"/>
    </w:p>
    <w:p w14:paraId="1988F602">
      <w:pPr>
        <w:rPr>
          <w:rFonts w:ascii="黑体" w:hAnsi="宋体" w:eastAsia="黑体"/>
          <w:sz w:val="24"/>
        </w:rPr>
      </w:pPr>
      <w:r>
        <w:rPr>
          <w:rFonts w:hint="eastAsia" w:ascii="黑体" w:hAnsi="宋体" w:eastAsia="黑体"/>
          <w:sz w:val="24"/>
        </w:rPr>
        <w:t>39．编写评审报告</w:t>
      </w:r>
    </w:p>
    <w:p w14:paraId="1A593A44">
      <w:pPr>
        <w:ind w:firstLine="411" w:firstLineChars="196"/>
        <w:rPr>
          <w:rFonts w:ascii="宋体" w:hAnsi="宋体"/>
          <w:szCs w:val="21"/>
        </w:rPr>
      </w:pPr>
      <w:r>
        <w:rPr>
          <w:rFonts w:hint="eastAsia" w:ascii="宋体" w:hAnsi="宋体"/>
          <w:szCs w:val="21"/>
        </w:rPr>
        <w:t>评审报告是评审委员会根据全体评标成员签字的原始评审记录和评审结果编写的报告，评审报告由评审委员会全体成员签字。对评审结论持有异议的评审委员会成员可以书面方式阐述其不同意见和理由。评审委员会成员拒绝在评审报告上签字且不陈述其不同意见和理由的，视为同意评审结论。评审委员会应当对此作出书面说明并记录存档。</w:t>
      </w:r>
    </w:p>
    <w:p w14:paraId="26E0D5F0">
      <w:pPr>
        <w:rPr>
          <w:rFonts w:ascii="黑体" w:hAnsi="宋体" w:eastAsia="黑体"/>
          <w:sz w:val="24"/>
        </w:rPr>
      </w:pPr>
      <w:r>
        <w:rPr>
          <w:rFonts w:hint="eastAsia" w:ascii="黑体" w:hAnsi="宋体" w:eastAsia="黑体"/>
          <w:sz w:val="24"/>
        </w:rPr>
        <w:t>40．中标公告</w:t>
      </w:r>
    </w:p>
    <w:p w14:paraId="6324B055">
      <w:pPr>
        <w:ind w:firstLine="411" w:firstLineChars="196"/>
        <w:rPr>
          <w:rFonts w:ascii="宋体" w:hAnsi="宋体"/>
          <w:szCs w:val="21"/>
        </w:rPr>
      </w:pPr>
      <w:r>
        <w:rPr>
          <w:rFonts w:hint="eastAsia" w:ascii="宋体" w:hAnsi="宋体"/>
          <w:szCs w:val="21"/>
        </w:rPr>
        <w:t>40.1</w:t>
      </w:r>
      <w:bookmarkStart w:id="65" w:name="_Hlk72438709"/>
      <w:r>
        <w:rPr>
          <w:rFonts w:hint="eastAsia" w:ascii="宋体" w:hAnsi="宋体"/>
          <w:szCs w:val="21"/>
        </w:rPr>
        <w:t>为体现“公开、公平、公正”的原则，评审结束后经采购人确认（确定）评审结果，政府集中采购机构将在“深圳政府采购智慧平台（http://zfcg.szggzy.com/）”上发布中标结果公告。</w:t>
      </w:r>
      <w:bookmarkEnd w:id="65"/>
      <w:bookmarkStart w:id="66" w:name="_Hlk72438751"/>
      <w:r>
        <w:rPr>
          <w:rFonts w:hint="eastAsia" w:ascii="宋体" w:hAnsi="宋体"/>
          <w:szCs w:val="21"/>
        </w:rPr>
        <w:t>供应商如对评审结果有异议，</w:t>
      </w:r>
      <w:r>
        <w:rPr>
          <w:rFonts w:ascii="宋体" w:hAnsi="宋体"/>
          <w:szCs w:val="21"/>
        </w:rPr>
        <w:t>可在发布公示日期起</w:t>
      </w:r>
      <w:r>
        <w:rPr>
          <w:rFonts w:hint="eastAsia" w:ascii="宋体" w:hAnsi="宋体"/>
          <w:szCs w:val="21"/>
        </w:rPr>
        <w:t>七</w:t>
      </w:r>
      <w:r>
        <w:rPr>
          <w:rFonts w:ascii="宋体" w:hAnsi="宋体"/>
          <w:szCs w:val="21"/>
        </w:rPr>
        <w:t>个工作日内向</w:t>
      </w:r>
      <w:r>
        <w:rPr>
          <w:rFonts w:hint="eastAsia" w:ascii="宋体" w:hAnsi="宋体"/>
          <w:szCs w:val="21"/>
        </w:rPr>
        <w:t>政府集中采购机构</w:t>
      </w:r>
      <w:r>
        <w:rPr>
          <w:rFonts w:ascii="宋体" w:hAnsi="宋体"/>
          <w:szCs w:val="21"/>
        </w:rPr>
        <w:t>提出。 监督电话：0755-83948143。</w:t>
      </w:r>
      <w:r>
        <w:rPr>
          <w:rFonts w:hint="eastAsia" w:ascii="宋体" w:hAnsi="宋体"/>
          <w:szCs w:val="21"/>
        </w:rPr>
        <w:t>若在公示期内未提出质疑，则视为认同该评审结果。</w:t>
      </w:r>
    </w:p>
    <w:bookmarkEnd w:id="66"/>
    <w:p w14:paraId="7855DD08">
      <w:pPr>
        <w:ind w:firstLine="411" w:firstLineChars="196"/>
        <w:rPr>
          <w:rFonts w:ascii="宋体" w:hAnsi="宋体"/>
          <w:szCs w:val="21"/>
        </w:rPr>
      </w:pPr>
      <w:r>
        <w:rPr>
          <w:rFonts w:hint="eastAsia" w:ascii="宋体" w:hAnsi="宋体"/>
          <w:szCs w:val="21"/>
        </w:rPr>
        <w:t>40.2质疑、投诉供应商应保证质疑、投诉内容的真实性和可靠性，并承担相应的法律责任。</w:t>
      </w:r>
    </w:p>
    <w:p w14:paraId="622AEE6D">
      <w:pPr>
        <w:rPr>
          <w:rFonts w:ascii="黑体" w:hAnsi="宋体" w:eastAsia="黑体"/>
          <w:sz w:val="24"/>
        </w:rPr>
      </w:pPr>
      <w:r>
        <w:rPr>
          <w:rFonts w:hint="eastAsia" w:ascii="黑体" w:hAnsi="宋体" w:eastAsia="黑体"/>
          <w:sz w:val="24"/>
        </w:rPr>
        <w:t>41．中标通知书</w:t>
      </w:r>
    </w:p>
    <w:p w14:paraId="48F7B0FC">
      <w:pPr>
        <w:ind w:firstLine="411" w:firstLineChars="196"/>
        <w:rPr>
          <w:rFonts w:ascii="宋体" w:hAnsi="宋体"/>
          <w:szCs w:val="21"/>
        </w:rPr>
      </w:pPr>
      <w:r>
        <w:rPr>
          <w:rFonts w:hint="eastAsia" w:ascii="宋体" w:hAnsi="宋体"/>
          <w:szCs w:val="21"/>
        </w:rPr>
        <w:t>41</w:t>
      </w:r>
      <w:r>
        <w:rPr>
          <w:rFonts w:ascii="宋体" w:hAnsi="宋体"/>
          <w:szCs w:val="21"/>
        </w:rPr>
        <w:t>.</w:t>
      </w:r>
      <w:r>
        <w:rPr>
          <w:rFonts w:hint="eastAsia" w:ascii="宋体" w:hAnsi="宋体"/>
          <w:szCs w:val="21"/>
        </w:rPr>
        <w:t>1</w:t>
      </w:r>
      <w:bookmarkStart w:id="67" w:name="_Hlk72438863"/>
      <w:r>
        <w:rPr>
          <w:rFonts w:hint="eastAsia" w:ascii="宋体" w:hAnsi="宋体"/>
          <w:szCs w:val="21"/>
        </w:rPr>
        <w:t>中标公告公布以后无异常的情况下,政府集中采购机构将下发中标通知书。</w:t>
      </w:r>
      <w:bookmarkEnd w:id="67"/>
    </w:p>
    <w:p w14:paraId="13EC517A">
      <w:pPr>
        <w:ind w:firstLine="411" w:firstLineChars="196"/>
        <w:rPr>
          <w:rFonts w:ascii="宋体" w:hAnsi="宋体"/>
          <w:szCs w:val="21"/>
        </w:rPr>
      </w:pPr>
      <w:r>
        <w:rPr>
          <w:rFonts w:hint="eastAsia" w:ascii="宋体" w:hAnsi="宋体"/>
          <w:szCs w:val="21"/>
        </w:rPr>
        <w:t>41</w:t>
      </w:r>
      <w:r>
        <w:rPr>
          <w:rFonts w:ascii="宋体" w:hAnsi="宋体"/>
          <w:szCs w:val="21"/>
        </w:rPr>
        <w:t>.2</w:t>
      </w:r>
      <w:r>
        <w:rPr>
          <w:rFonts w:hint="eastAsia" w:ascii="宋体" w:hAnsi="宋体"/>
          <w:szCs w:val="21"/>
        </w:rPr>
        <w:t>中标通知书是合同的重要组成部分。</w:t>
      </w:r>
    </w:p>
    <w:p w14:paraId="7CD43BAE">
      <w:pPr>
        <w:ind w:firstLine="411" w:firstLineChars="196"/>
        <w:rPr>
          <w:rFonts w:ascii="宋体" w:hAnsi="宋体"/>
          <w:szCs w:val="21"/>
        </w:rPr>
      </w:pPr>
      <w:bookmarkStart w:id="68" w:name="_Hlk71407340"/>
      <w:r>
        <w:rPr>
          <w:rFonts w:hint="eastAsia" w:ascii="宋体" w:hAnsi="宋体"/>
          <w:szCs w:val="21"/>
        </w:rPr>
        <w:t>41.3因质疑投诉或其它原因导致项目结果变更或采购终止的，政府集中采购机构有权吊销中标通知书。</w:t>
      </w:r>
    </w:p>
    <w:bookmarkEnd w:id="68"/>
    <w:p w14:paraId="0AF7E693">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r>
        <w:rPr>
          <w:rFonts w:hint="eastAsia" w:ascii="宋体" w:hAnsi="宋体"/>
          <w:b/>
          <w:bCs/>
          <w:kern w:val="0"/>
          <w:sz w:val="28"/>
          <w:szCs w:val="28"/>
        </w:rPr>
        <w:t>公开招标失败的后续处理</w:t>
      </w:r>
    </w:p>
    <w:p w14:paraId="2192FA64">
      <w:pPr>
        <w:rPr>
          <w:rFonts w:ascii="黑体" w:hAnsi="宋体" w:eastAsia="黑体"/>
          <w:sz w:val="24"/>
        </w:rPr>
      </w:pPr>
      <w:r>
        <w:rPr>
          <w:rFonts w:hint="eastAsia" w:ascii="黑体" w:hAnsi="宋体" w:eastAsia="黑体"/>
          <w:sz w:val="24"/>
        </w:rPr>
        <w:t>42．公开招标失败的处理</w:t>
      </w:r>
    </w:p>
    <w:p w14:paraId="65B03FAB">
      <w:pPr>
        <w:ind w:firstLine="411" w:firstLineChars="196"/>
        <w:rPr>
          <w:rFonts w:ascii="宋体" w:hAnsi="宋体"/>
        </w:rPr>
      </w:pPr>
      <w:r>
        <w:rPr>
          <w:rFonts w:hint="eastAsia" w:ascii="宋体" w:hAnsi="宋体"/>
          <w:szCs w:val="21"/>
        </w:rPr>
        <w:t>42.1本项目公开招标过程中若由于投标截止后</w:t>
      </w:r>
      <w:r>
        <w:rPr>
          <w:rFonts w:hint="eastAsia" w:ascii="宋体" w:hAnsi="宋体"/>
        </w:rPr>
        <w:t>实际递交</w:t>
      </w:r>
      <w:r>
        <w:rPr>
          <w:rFonts w:ascii="宋体" w:hAnsi="宋体"/>
        </w:rPr>
        <w:t>投标</w:t>
      </w:r>
      <w:r>
        <w:rPr>
          <w:rFonts w:hint="eastAsia" w:ascii="宋体" w:hAnsi="宋体"/>
        </w:rPr>
        <w:t>文件的供应商数量不足、经</w:t>
      </w:r>
      <w:r>
        <w:rPr>
          <w:rFonts w:hint="eastAsia" w:ascii="宋体" w:hAnsi="宋体"/>
          <w:szCs w:val="21"/>
        </w:rPr>
        <w:t>评审委员会</w:t>
      </w:r>
      <w:r>
        <w:rPr>
          <w:rFonts w:hint="eastAsia" w:ascii="宋体" w:hAnsi="宋体"/>
        </w:rPr>
        <w:t>评审对招标文件作实质响应的供应商不足等原因造成公开招标失败，可由</w:t>
      </w:r>
      <w:r>
        <w:rPr>
          <w:rFonts w:hint="eastAsia" w:ascii="宋体" w:hAnsi="宋体" w:cs="宋体"/>
        </w:rPr>
        <w:t>政府集中采购机构</w:t>
      </w:r>
      <w:r>
        <w:rPr>
          <w:rFonts w:hint="eastAsia" w:ascii="宋体" w:hAnsi="宋体"/>
        </w:rPr>
        <w:t>重新组织采购。</w:t>
      </w:r>
    </w:p>
    <w:p w14:paraId="7AF187EF">
      <w:pPr>
        <w:ind w:firstLine="411" w:firstLineChars="196"/>
        <w:rPr>
          <w:rFonts w:ascii="宋体" w:hAnsi="宋体"/>
          <w:szCs w:val="21"/>
        </w:rPr>
      </w:pPr>
      <w:r>
        <w:rPr>
          <w:rFonts w:hint="eastAsia" w:ascii="宋体" w:hAnsi="宋体"/>
          <w:szCs w:val="21"/>
        </w:rPr>
        <w:t>42.2对公开招标失败的项目，评审委员会在出具该项目招标失败结论的同时，可以提出重新采购组织形式的建议，以及进一步完善招标文件的资格、技术、商务要求的修改建议。</w:t>
      </w:r>
    </w:p>
    <w:p w14:paraId="12E83C23">
      <w:pPr>
        <w:ind w:firstLine="411" w:firstLineChars="196"/>
        <w:rPr>
          <w:rFonts w:ascii="宋体" w:hAnsi="宋体"/>
          <w:szCs w:val="21"/>
        </w:rPr>
      </w:pPr>
      <w:r>
        <w:rPr>
          <w:rFonts w:hint="eastAsia" w:ascii="宋体" w:hAnsi="宋体"/>
          <w:szCs w:val="21"/>
        </w:rPr>
        <w:t>42.3重新组织采购有以下两种组织形式：</w:t>
      </w:r>
    </w:p>
    <w:p w14:paraId="6461C068">
      <w:pPr>
        <w:ind w:firstLine="411" w:firstLineChars="196"/>
        <w:rPr>
          <w:rFonts w:ascii="宋体" w:hAnsi="宋体"/>
        </w:rPr>
      </w:pPr>
      <w:r>
        <w:rPr>
          <w:rFonts w:hint="eastAsia" w:ascii="宋体" w:hAnsi="宋体"/>
        </w:rPr>
        <w:t>（1）由政府集中采购机构重新组织公开招标；</w:t>
      </w:r>
    </w:p>
    <w:p w14:paraId="41D473C2">
      <w:pPr>
        <w:ind w:firstLine="411" w:firstLineChars="196"/>
        <w:rPr>
          <w:rFonts w:ascii="宋体" w:hAnsi="宋体"/>
        </w:rPr>
      </w:pPr>
      <w:r>
        <w:rPr>
          <w:rFonts w:hint="eastAsia" w:ascii="宋体" w:hAnsi="宋体"/>
        </w:rPr>
        <w:t>（2）根据实际情况需要向同级财政部门提出非公开招标方式申请，经同级财政部门批准，公开招标失败采购项目可转为竞争性谈判或单一来源谈判方式采购。</w:t>
      </w:r>
    </w:p>
    <w:p w14:paraId="491E439D">
      <w:pPr>
        <w:ind w:firstLine="411" w:firstLineChars="196"/>
        <w:rPr>
          <w:rFonts w:ascii="宋体" w:hAnsi="宋体"/>
        </w:rPr>
      </w:pPr>
      <w:r>
        <w:rPr>
          <w:rFonts w:hint="eastAsia" w:ascii="宋体" w:hAnsi="宋体"/>
        </w:rPr>
        <w:t>42.4公开招标失败的采购项目重新组织公开招标，由政府集中采购机构重新按公开招标流程组织采购活动。</w:t>
      </w:r>
    </w:p>
    <w:p w14:paraId="79FC3D24">
      <w:pPr>
        <w:rPr>
          <w:rFonts w:ascii="宋体" w:hAnsi="宋体"/>
        </w:rPr>
      </w:pPr>
      <w:r>
        <w:rPr>
          <w:rFonts w:hint="eastAsia" w:ascii="宋体" w:hAnsi="宋体"/>
        </w:rPr>
        <w:t>42.5公开招标失败的采购项目经同级财政部门批准转为竞争性谈判或单一来源谈判方式采购的，按规定要求组织政府采购工作。</w:t>
      </w:r>
    </w:p>
    <w:p w14:paraId="401532A6">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bookmarkStart w:id="69" w:name="_Hlk72439043"/>
      <w:r>
        <w:rPr>
          <w:rFonts w:hint="eastAsia" w:ascii="宋体" w:hAnsi="宋体"/>
          <w:b/>
          <w:bCs/>
          <w:kern w:val="0"/>
          <w:sz w:val="28"/>
          <w:szCs w:val="28"/>
        </w:rPr>
        <w:t>合同的授予与备案</w:t>
      </w:r>
      <w:bookmarkEnd w:id="69"/>
    </w:p>
    <w:p w14:paraId="6D980308">
      <w:pPr>
        <w:rPr>
          <w:rFonts w:ascii="黑体" w:hAnsi="宋体" w:eastAsia="黑体"/>
          <w:sz w:val="24"/>
        </w:rPr>
      </w:pPr>
      <w:bookmarkStart w:id="70" w:name="_Toc73521674"/>
      <w:bookmarkStart w:id="71" w:name="_Toc73517679"/>
      <w:bookmarkStart w:id="72" w:name="_Toc100052408"/>
      <w:bookmarkStart w:id="73" w:name="_Toc73521586"/>
      <w:bookmarkStart w:id="74" w:name="_Toc73518157"/>
      <w:bookmarkStart w:id="75" w:name="_Hlk72439088"/>
      <w:r>
        <w:rPr>
          <w:rFonts w:hint="eastAsia" w:ascii="黑体" w:hAnsi="宋体" w:eastAsia="黑体"/>
          <w:sz w:val="24"/>
        </w:rPr>
        <w:t>43．合同授予标准</w:t>
      </w:r>
      <w:bookmarkEnd w:id="70"/>
      <w:bookmarkEnd w:id="71"/>
      <w:bookmarkEnd w:id="72"/>
      <w:bookmarkEnd w:id="73"/>
      <w:bookmarkEnd w:id="74"/>
    </w:p>
    <w:p w14:paraId="022CD904">
      <w:pPr>
        <w:ind w:firstLine="411" w:firstLineChars="196"/>
        <w:rPr>
          <w:rFonts w:ascii="宋体" w:hAnsi="宋体"/>
          <w:szCs w:val="21"/>
        </w:rPr>
      </w:pPr>
      <w:r>
        <w:rPr>
          <w:rFonts w:hint="eastAsia" w:ascii="宋体" w:hAnsi="宋体"/>
          <w:szCs w:val="21"/>
        </w:rPr>
        <w:t>本项目的合同将授予经本招标文件规定评审确定的中标供应商。</w:t>
      </w:r>
    </w:p>
    <w:p w14:paraId="2C435065">
      <w:pPr>
        <w:rPr>
          <w:rFonts w:ascii="黑体" w:hAnsi="宋体" w:eastAsia="黑体"/>
          <w:sz w:val="24"/>
        </w:rPr>
      </w:pPr>
      <w:bookmarkStart w:id="76" w:name="_Toc73518158"/>
      <w:bookmarkStart w:id="77" w:name="_Toc73521587"/>
      <w:bookmarkStart w:id="78" w:name="_Toc73521675"/>
      <w:bookmarkStart w:id="79" w:name="_Toc73517680"/>
      <w:bookmarkStart w:id="80" w:name="_Toc100052409"/>
      <w:r>
        <w:rPr>
          <w:rFonts w:hint="eastAsia" w:ascii="黑体" w:hAnsi="宋体" w:eastAsia="黑体"/>
          <w:sz w:val="24"/>
        </w:rPr>
        <w:t>44．</w:t>
      </w:r>
      <w:bookmarkEnd w:id="76"/>
      <w:bookmarkEnd w:id="77"/>
      <w:bookmarkEnd w:id="78"/>
      <w:bookmarkEnd w:id="79"/>
      <w:bookmarkEnd w:id="80"/>
      <w:r>
        <w:rPr>
          <w:rFonts w:hint="eastAsia" w:ascii="黑体" w:hAnsi="宋体" w:eastAsia="黑体"/>
          <w:sz w:val="24"/>
        </w:rPr>
        <w:t>接受和拒绝任何或所有投标的权力</w:t>
      </w:r>
    </w:p>
    <w:p w14:paraId="19389202">
      <w:pPr>
        <w:ind w:firstLine="411" w:firstLineChars="196"/>
        <w:rPr>
          <w:rFonts w:ascii="宋体" w:hAnsi="宋体"/>
          <w:szCs w:val="21"/>
        </w:rPr>
      </w:pPr>
      <w:r>
        <w:rPr>
          <w:rFonts w:hint="eastAsia" w:ascii="宋体" w:hAnsi="宋体"/>
          <w:szCs w:val="21"/>
        </w:rPr>
        <w:t>政府集中采购机构和采购人保留在投标之前任何时候接受或拒绝任何投标或所有投标，以及宣布招标无效的权力，对受影响的投标人不承担任何责任，也无义务向受影响的投标人解释采取这一行动的理由。</w:t>
      </w:r>
    </w:p>
    <w:p w14:paraId="6F78679A">
      <w:pPr>
        <w:rPr>
          <w:rFonts w:ascii="黑体" w:hAnsi="宋体" w:eastAsia="黑体"/>
          <w:sz w:val="24"/>
        </w:rPr>
      </w:pPr>
      <w:bookmarkStart w:id="81" w:name="_Toc73518160"/>
      <w:bookmarkStart w:id="82" w:name="_Toc100052410"/>
      <w:bookmarkStart w:id="83" w:name="_Toc73521589"/>
      <w:bookmarkStart w:id="84" w:name="_Toc73521677"/>
      <w:bookmarkStart w:id="85" w:name="_Toc73517682"/>
      <w:r>
        <w:rPr>
          <w:rFonts w:hint="eastAsia" w:ascii="黑体" w:hAnsi="宋体" w:eastAsia="黑体"/>
          <w:sz w:val="24"/>
        </w:rPr>
        <w:t>45．合同的签订</w:t>
      </w:r>
      <w:bookmarkEnd w:id="81"/>
      <w:bookmarkEnd w:id="82"/>
      <w:bookmarkEnd w:id="83"/>
      <w:bookmarkEnd w:id="84"/>
      <w:bookmarkEnd w:id="85"/>
    </w:p>
    <w:p w14:paraId="394A82BA">
      <w:pPr>
        <w:ind w:firstLine="411" w:firstLineChars="196"/>
        <w:rPr>
          <w:rFonts w:ascii="宋体" w:hAnsi="宋体"/>
          <w:szCs w:val="21"/>
        </w:rPr>
      </w:pPr>
      <w:r>
        <w:rPr>
          <w:rFonts w:hint="eastAsia" w:ascii="宋体" w:hAnsi="宋体"/>
          <w:szCs w:val="21"/>
        </w:rPr>
        <w:t>45.1</w:t>
      </w:r>
      <w:r>
        <w:rPr>
          <w:rFonts w:hint="eastAsia" w:ascii="宋体" w:hAnsi="宋体"/>
          <w:szCs w:val="21"/>
          <w:lang w:eastAsia="zh-CN"/>
        </w:rPr>
        <w:t>中标供应商</w:t>
      </w:r>
      <w:r>
        <w:rPr>
          <w:rFonts w:hint="eastAsia" w:ascii="宋体" w:hAnsi="宋体"/>
          <w:szCs w:val="21"/>
        </w:rPr>
        <w:t>将于中标通知书发出之日起十个工作日内，按照采购文件（招标文件和投标文件等）内容与采购人签订政府采购合同；合同的实质性内容应当符合招标文件的规定；</w:t>
      </w:r>
    </w:p>
    <w:p w14:paraId="25EA6E94">
      <w:pPr>
        <w:ind w:firstLine="411" w:firstLineChars="196"/>
        <w:rPr>
          <w:rFonts w:ascii="宋体" w:hAnsi="宋体"/>
          <w:szCs w:val="21"/>
        </w:rPr>
      </w:pPr>
      <w:r>
        <w:rPr>
          <w:rFonts w:hint="eastAsia" w:ascii="宋体" w:hAnsi="宋体"/>
          <w:szCs w:val="21"/>
        </w:rPr>
        <w:t>45.2</w:t>
      </w:r>
      <w:r>
        <w:rPr>
          <w:rFonts w:hint="eastAsia" w:ascii="宋体" w:hAnsi="宋体"/>
          <w:szCs w:val="21"/>
          <w:lang w:eastAsia="zh-CN"/>
        </w:rPr>
        <w:t>中标供应商</w:t>
      </w:r>
      <w:r>
        <w:rPr>
          <w:rFonts w:hint="eastAsia" w:ascii="宋体" w:hAnsi="宋体"/>
          <w:szCs w:val="21"/>
        </w:rPr>
        <w:t>如不按本通用条款第45</w:t>
      </w:r>
      <w:r>
        <w:rPr>
          <w:rFonts w:ascii="宋体" w:hAnsi="宋体"/>
          <w:szCs w:val="21"/>
        </w:rPr>
        <w:t>.1</w:t>
      </w:r>
      <w:r>
        <w:rPr>
          <w:rFonts w:hint="eastAsia" w:ascii="宋体" w:hAnsi="宋体"/>
          <w:szCs w:val="21"/>
        </w:rPr>
        <w:t>款的规定与采购人签订合同，</w:t>
      </w:r>
      <w:r>
        <w:rPr>
          <w:rFonts w:ascii="宋体" w:hAnsi="宋体" w:cs="宋体"/>
          <w:kern w:val="0"/>
          <w:szCs w:val="21"/>
        </w:rPr>
        <w:t>情节严重的，由</w:t>
      </w:r>
      <w:r>
        <w:rPr>
          <w:rFonts w:hint="eastAsia" w:ascii="宋体" w:hAnsi="宋体" w:cs="宋体"/>
          <w:kern w:val="0"/>
          <w:szCs w:val="21"/>
        </w:rPr>
        <w:t>同级财政</w:t>
      </w:r>
      <w:r>
        <w:rPr>
          <w:rFonts w:ascii="宋体" w:hAnsi="宋体" w:cs="宋体"/>
          <w:kern w:val="0"/>
          <w:szCs w:val="21"/>
        </w:rPr>
        <w:t>部门记入供应商诚信档案，予以通报</w:t>
      </w:r>
      <w:r>
        <w:rPr>
          <w:rFonts w:hint="eastAsia" w:ascii="宋体" w:hAnsi="宋体"/>
          <w:szCs w:val="21"/>
        </w:rPr>
        <w:t>；</w:t>
      </w:r>
    </w:p>
    <w:p w14:paraId="46966F3C">
      <w:pPr>
        <w:ind w:firstLine="411" w:firstLineChars="196"/>
        <w:rPr>
          <w:rFonts w:ascii="宋体" w:hAnsi="宋体"/>
          <w:szCs w:val="21"/>
        </w:rPr>
      </w:pPr>
      <w:r>
        <w:rPr>
          <w:rFonts w:hint="eastAsia" w:ascii="宋体" w:hAnsi="宋体"/>
          <w:szCs w:val="21"/>
        </w:rPr>
        <w:t>45.3</w:t>
      </w:r>
      <w:r>
        <w:rPr>
          <w:rFonts w:hint="eastAsia" w:ascii="宋体" w:hAnsi="宋体"/>
          <w:szCs w:val="21"/>
          <w:lang w:eastAsia="zh-CN"/>
        </w:rPr>
        <w:t>中标供应商</w:t>
      </w:r>
      <w:r>
        <w:rPr>
          <w:rFonts w:hint="eastAsia" w:ascii="宋体" w:hAnsi="宋体"/>
          <w:szCs w:val="21"/>
        </w:rPr>
        <w:t>应当按照合同约定履行义务，完成中标项目，不得将中标项目转让（转包）给他人。</w:t>
      </w:r>
    </w:p>
    <w:p w14:paraId="46A9E958">
      <w:pPr>
        <w:rPr>
          <w:rFonts w:ascii="黑体" w:hAnsi="宋体" w:eastAsia="黑体"/>
          <w:sz w:val="24"/>
        </w:rPr>
      </w:pPr>
      <w:bookmarkStart w:id="86" w:name="_Toc73521678"/>
      <w:bookmarkStart w:id="87" w:name="_Toc73517683"/>
      <w:bookmarkStart w:id="88" w:name="_Toc73518161"/>
      <w:bookmarkStart w:id="89" w:name="_Toc73521590"/>
      <w:bookmarkStart w:id="90" w:name="_Toc100052411"/>
      <w:r>
        <w:rPr>
          <w:rFonts w:hint="eastAsia" w:ascii="黑体" w:hAnsi="宋体" w:eastAsia="黑体"/>
          <w:sz w:val="24"/>
        </w:rPr>
        <w:t>46．履约担保</w:t>
      </w:r>
      <w:bookmarkEnd w:id="86"/>
      <w:bookmarkEnd w:id="87"/>
      <w:bookmarkEnd w:id="88"/>
      <w:bookmarkEnd w:id="89"/>
      <w:bookmarkEnd w:id="90"/>
    </w:p>
    <w:p w14:paraId="560E13E6">
      <w:pPr>
        <w:ind w:firstLine="411" w:firstLineChars="196"/>
        <w:rPr>
          <w:rFonts w:ascii="宋体" w:hAnsi="宋体"/>
          <w:szCs w:val="21"/>
        </w:rPr>
      </w:pPr>
      <w:r>
        <w:rPr>
          <w:rFonts w:hint="eastAsia" w:ascii="宋体" w:hAnsi="宋体"/>
          <w:szCs w:val="21"/>
        </w:rPr>
        <w:t>46.1在签订项目合同的同时，</w:t>
      </w:r>
      <w:r>
        <w:rPr>
          <w:rFonts w:hint="eastAsia" w:ascii="宋体" w:hAnsi="宋体"/>
          <w:szCs w:val="21"/>
          <w:lang w:eastAsia="zh-CN"/>
        </w:rPr>
        <w:t>中标供应商</w:t>
      </w:r>
      <w:r>
        <w:rPr>
          <w:rFonts w:hint="eastAsia" w:ascii="宋体" w:hAnsi="宋体"/>
          <w:szCs w:val="21"/>
        </w:rPr>
        <w:t>应按“对通用条款的补充内容”中规定的金额向采购人提交履约担保；</w:t>
      </w:r>
    </w:p>
    <w:p w14:paraId="0DD9BAA8">
      <w:pPr>
        <w:ind w:firstLine="411" w:firstLineChars="196"/>
        <w:rPr>
          <w:rFonts w:ascii="宋体" w:hAnsi="宋体"/>
          <w:szCs w:val="21"/>
        </w:rPr>
      </w:pPr>
      <w:r>
        <w:rPr>
          <w:rFonts w:hint="eastAsia" w:ascii="宋体" w:hAnsi="宋体"/>
          <w:szCs w:val="21"/>
        </w:rPr>
        <w:t>46.2，允许供应商自主选择以支票、汇票、本票、保函等非现金方式提交履约担保；</w:t>
      </w:r>
      <w:r>
        <w:rPr>
          <w:rFonts w:hint="eastAsia"/>
          <w:lang w:eastAsia="zh-CN"/>
        </w:rPr>
        <w:t>中标供应商</w:t>
      </w:r>
      <w:r>
        <w:t>提交履约</w:t>
      </w:r>
      <w:r>
        <w:rPr>
          <w:rFonts w:hint="eastAsia"/>
        </w:rPr>
        <w:t>担保不是</w:t>
      </w:r>
      <w:r>
        <w:t>合同签订的</w:t>
      </w:r>
      <w:r>
        <w:rPr>
          <w:rFonts w:hint="eastAsia"/>
        </w:rPr>
        <w:t>前提</w:t>
      </w:r>
      <w:r>
        <w:t>条件，不要求</w:t>
      </w:r>
      <w:r>
        <w:rPr>
          <w:rFonts w:hint="eastAsia"/>
          <w:lang w:eastAsia="zh-CN"/>
        </w:rPr>
        <w:t>中标供应商</w:t>
      </w:r>
      <w:r>
        <w:t>提供除法律、法规明确规定外的其他担保</w:t>
      </w:r>
      <w:r>
        <w:rPr>
          <w:rFonts w:hint="eastAsia"/>
        </w:rPr>
        <w:t>。</w:t>
      </w:r>
    </w:p>
    <w:p w14:paraId="1E495BD3">
      <w:pPr>
        <w:rPr>
          <w:rFonts w:ascii="黑体" w:hAnsi="宋体" w:eastAsia="黑体"/>
          <w:sz w:val="24"/>
        </w:rPr>
      </w:pPr>
      <w:r>
        <w:rPr>
          <w:rFonts w:hint="eastAsia" w:ascii="黑体" w:hAnsi="宋体" w:eastAsia="黑体"/>
          <w:sz w:val="24"/>
        </w:rPr>
        <w:t>47. 合同备案</w:t>
      </w:r>
    </w:p>
    <w:p w14:paraId="31796C44">
      <w:pPr>
        <w:ind w:firstLine="411" w:firstLineChars="196"/>
        <w:rPr>
          <w:rFonts w:ascii="宋体" w:hAnsi="宋体"/>
          <w:szCs w:val="21"/>
        </w:rPr>
      </w:pPr>
      <w:r>
        <w:rPr>
          <w:rFonts w:hint="eastAsia" w:ascii="宋体" w:hAnsi="宋体"/>
          <w:szCs w:val="21"/>
        </w:rPr>
        <w:t>采购人与</w:t>
      </w:r>
      <w:r>
        <w:rPr>
          <w:rFonts w:hint="eastAsia" w:ascii="宋体" w:hAnsi="宋体"/>
          <w:szCs w:val="21"/>
          <w:lang w:eastAsia="zh-CN"/>
        </w:rPr>
        <w:t>中标供应商</w:t>
      </w:r>
      <w:r>
        <w:rPr>
          <w:rFonts w:hint="eastAsia" w:ascii="宋体" w:hAnsi="宋体"/>
          <w:szCs w:val="21"/>
        </w:rPr>
        <w:t>应于合同签订之日起十日内，由采购人或委托</w:t>
      </w:r>
      <w:r>
        <w:rPr>
          <w:rFonts w:hint="eastAsia" w:ascii="宋体" w:hAnsi="宋体"/>
          <w:szCs w:val="21"/>
          <w:lang w:eastAsia="zh-CN"/>
        </w:rPr>
        <w:t>中标供应商</w:t>
      </w:r>
      <w:r>
        <w:rPr>
          <w:rFonts w:hint="eastAsia" w:ascii="宋体" w:hAnsi="宋体"/>
          <w:szCs w:val="21"/>
        </w:rPr>
        <w:t>将采购合同副本抄送合同备案工作实施机构备案。</w:t>
      </w:r>
    </w:p>
    <w:p w14:paraId="33B70C7C">
      <w:pPr>
        <w:rPr>
          <w:rFonts w:ascii="黑体" w:hAnsi="宋体" w:eastAsia="黑体"/>
          <w:sz w:val="24"/>
        </w:rPr>
      </w:pPr>
      <w:r>
        <w:rPr>
          <w:rFonts w:hint="eastAsia" w:ascii="黑体" w:hAnsi="宋体" w:eastAsia="黑体"/>
          <w:sz w:val="24"/>
        </w:rPr>
        <w:t>48. 合同变更</w:t>
      </w:r>
    </w:p>
    <w:p w14:paraId="63A8D7BE">
      <w:pPr>
        <w:ind w:firstLine="411" w:firstLineChars="196"/>
        <w:rPr>
          <w:rFonts w:ascii="宋体" w:hAnsi="宋体"/>
          <w:szCs w:val="21"/>
        </w:rPr>
      </w:pPr>
      <w:r>
        <w:rPr>
          <w:rFonts w:hint="eastAsia" w:ascii="宋体" w:hAnsi="宋体"/>
          <w:szCs w:val="21"/>
        </w:rPr>
        <w:t>合同变更事宜按《深圳市财政局 深圳市政府采购中心关于进一步加强市本级政府采购合同备案管理工作的通知》（深财购〔2019〕43号）相关规定执行。</w:t>
      </w:r>
    </w:p>
    <w:p w14:paraId="108781AA">
      <w:pPr>
        <w:rPr>
          <w:rFonts w:ascii="黑体" w:hAnsi="宋体" w:eastAsia="黑体"/>
          <w:sz w:val="24"/>
        </w:rPr>
      </w:pPr>
      <w:r>
        <w:rPr>
          <w:rFonts w:hint="eastAsia" w:ascii="黑体" w:hAnsi="宋体" w:eastAsia="黑体"/>
          <w:sz w:val="24"/>
        </w:rPr>
        <w:t>49. 项目验收</w:t>
      </w:r>
    </w:p>
    <w:p w14:paraId="3C48CF85">
      <w:pPr>
        <w:widowControl/>
        <w:ind w:right="176" w:firstLine="420"/>
        <w:jc w:val="left"/>
        <w:rPr>
          <w:rFonts w:ascii="宋体" w:hAnsi="宋体"/>
        </w:rPr>
      </w:pPr>
      <w:r>
        <w:rPr>
          <w:rFonts w:hint="eastAsia" w:ascii="宋体" w:hAnsi="宋体"/>
        </w:rPr>
        <w:t>49.1采购人应当按照招标文件和合同规定的标准和方法，及时组织验收。</w:t>
      </w:r>
    </w:p>
    <w:p w14:paraId="0D6DD152">
      <w:pPr>
        <w:rPr>
          <w:rFonts w:ascii="黑体" w:hAnsi="宋体" w:eastAsia="黑体"/>
          <w:sz w:val="24"/>
        </w:rPr>
      </w:pPr>
      <w:r>
        <w:rPr>
          <w:rFonts w:hint="eastAsia" w:ascii="黑体" w:hAnsi="宋体" w:eastAsia="黑体"/>
          <w:sz w:val="24"/>
        </w:rPr>
        <w:t>50. 宣传</w:t>
      </w:r>
    </w:p>
    <w:p w14:paraId="788325EE">
      <w:pPr>
        <w:ind w:left="210" w:leftChars="100" w:firstLine="411" w:firstLineChars="196"/>
        <w:rPr>
          <w:rFonts w:ascii="宋体" w:hAnsi="宋体"/>
        </w:rPr>
      </w:pPr>
      <w:r>
        <w:rPr>
          <w:rFonts w:hint="eastAsia" w:ascii="宋体" w:hAnsi="宋体"/>
        </w:rPr>
        <w:t>凡与政府采购活动有关的宣传或广告，若当中提及政府采购，</w:t>
      </w:r>
      <w:r>
        <w:rPr>
          <w:rFonts w:ascii="宋体" w:hAnsi="宋体"/>
        </w:rPr>
        <w:t>必须事先将具体对外宣传方案报</w:t>
      </w:r>
      <w:r>
        <w:rPr>
          <w:rFonts w:hint="eastAsia" w:ascii="宋体" w:hAnsi="宋体"/>
        </w:rPr>
        <w:t>同级财政部门</w:t>
      </w:r>
      <w:r>
        <w:rPr>
          <w:rFonts w:ascii="宋体" w:hAnsi="宋体"/>
        </w:rPr>
        <w:t>和</w:t>
      </w:r>
      <w:r>
        <w:rPr>
          <w:rFonts w:hint="eastAsia" w:ascii="宋体" w:hAnsi="宋体"/>
        </w:rPr>
        <w:t>政府集中采购机构</w:t>
      </w:r>
      <w:r>
        <w:rPr>
          <w:rFonts w:ascii="宋体" w:hAnsi="宋体"/>
        </w:rPr>
        <w:t>，并征得其同意。对外市场宣传包括但不限于以下形式：</w:t>
      </w:r>
    </w:p>
    <w:p w14:paraId="5FC96D44">
      <w:pPr>
        <w:ind w:left="210" w:leftChars="100" w:firstLine="411" w:firstLineChars="196"/>
        <w:rPr>
          <w:rFonts w:ascii="宋体" w:hAnsi="宋体"/>
        </w:rPr>
      </w:pPr>
      <w:r>
        <w:rPr>
          <w:rFonts w:ascii="宋体" w:hAnsi="宋体"/>
        </w:rPr>
        <w:t>a.名片、宣传册、广告标语等；</w:t>
      </w:r>
    </w:p>
    <w:p w14:paraId="2F21C765">
      <w:pPr>
        <w:ind w:left="210" w:leftChars="100" w:firstLine="411" w:firstLineChars="196"/>
        <w:rPr>
          <w:rFonts w:ascii="宋体" w:hAnsi="宋体"/>
        </w:rPr>
      </w:pPr>
      <w:r>
        <w:rPr>
          <w:rFonts w:ascii="宋体" w:hAnsi="宋体"/>
        </w:rPr>
        <w:t>b.案例介绍、推广等；</w:t>
      </w:r>
    </w:p>
    <w:p w14:paraId="69EEB1CA">
      <w:pPr>
        <w:ind w:left="210" w:leftChars="100" w:firstLine="411" w:firstLineChars="196"/>
        <w:rPr>
          <w:rFonts w:ascii="宋体" w:hAnsi="宋体"/>
        </w:rPr>
      </w:pPr>
      <w:r>
        <w:rPr>
          <w:rFonts w:hint="eastAsia" w:ascii="宋体" w:hAnsi="宋体"/>
        </w:rPr>
        <w:t>c.工作</w:t>
      </w:r>
      <w:r>
        <w:rPr>
          <w:rFonts w:ascii="宋体" w:hAnsi="宋体"/>
        </w:rPr>
        <w:t>人员向其他消费群体宣传。</w:t>
      </w:r>
    </w:p>
    <w:p w14:paraId="35F7CDBE">
      <w:pPr>
        <w:rPr>
          <w:rFonts w:ascii="黑体" w:hAnsi="宋体" w:eastAsia="黑体"/>
          <w:sz w:val="24"/>
        </w:rPr>
      </w:pPr>
      <w:r>
        <w:rPr>
          <w:rFonts w:hint="eastAsia" w:ascii="黑体" w:hAnsi="宋体" w:eastAsia="黑体"/>
          <w:sz w:val="24"/>
        </w:rPr>
        <w:t>51. 供应商违法责任</w:t>
      </w:r>
    </w:p>
    <w:p w14:paraId="01F34184">
      <w:pPr>
        <w:ind w:firstLine="411" w:firstLineChars="196"/>
        <w:rPr>
          <w:rFonts w:ascii="宋体" w:hAnsi="宋体"/>
          <w:szCs w:val="21"/>
        </w:rPr>
      </w:pPr>
      <w:r>
        <w:rPr>
          <w:rFonts w:hint="eastAsia" w:ascii="宋体" w:hAnsi="宋体"/>
          <w:szCs w:val="21"/>
        </w:rPr>
        <w:t>5</w:t>
      </w:r>
      <w:r>
        <w:rPr>
          <w:rFonts w:ascii="宋体" w:hAnsi="宋体"/>
          <w:szCs w:val="21"/>
        </w:rPr>
        <w:t>1.1</w:t>
      </w:r>
      <w:r>
        <w:rPr>
          <w:rFonts w:hint="eastAsia" w:ascii="宋体" w:hAnsi="宋体"/>
          <w:szCs w:val="21"/>
        </w:rPr>
        <w:t>《深圳经济特区政府采购条例》第五十七条 供应商在政府采购中，有下列行为之一的，一至三年内禁止其参与本市政府采购，并由主管部门记入供应商诚信档案，处以采购金额千分之十以上千分之二十以下的罚款；情节严重的，取消其参与本市政府采购资格，处以采购金额千分之二十以上千分之三十以下的罚款，并由市场监管部门依法吊销其营业执照；给他人造成损失的，依法承担赔偿责任；构成犯罪的，依法追究刑事责任：</w:t>
      </w:r>
    </w:p>
    <w:p w14:paraId="71083C27">
      <w:pPr>
        <w:ind w:firstLine="411" w:firstLineChars="196"/>
        <w:rPr>
          <w:rFonts w:ascii="宋体" w:hAnsi="宋体"/>
          <w:szCs w:val="21"/>
        </w:rPr>
      </w:pPr>
      <w:r>
        <w:rPr>
          <w:rFonts w:hint="eastAsia" w:ascii="宋体" w:hAnsi="宋体"/>
          <w:szCs w:val="21"/>
        </w:rPr>
        <w:t>（1）在采购活动中应当回避而未回避的；</w:t>
      </w:r>
    </w:p>
    <w:p w14:paraId="794ABCFE">
      <w:pPr>
        <w:ind w:firstLine="411" w:firstLineChars="196"/>
        <w:rPr>
          <w:rFonts w:ascii="宋体" w:hAnsi="宋体"/>
          <w:szCs w:val="21"/>
        </w:rPr>
      </w:pPr>
      <w:r>
        <w:rPr>
          <w:rFonts w:hint="eastAsia" w:ascii="宋体" w:hAnsi="宋体"/>
          <w:szCs w:val="21"/>
        </w:rPr>
        <w:t>（2）未按本条例规定签订、履行采购合同，造成严重后果的；</w:t>
      </w:r>
    </w:p>
    <w:p w14:paraId="1A15506D">
      <w:pPr>
        <w:ind w:firstLine="411" w:firstLineChars="196"/>
        <w:rPr>
          <w:rFonts w:ascii="宋体" w:hAnsi="宋体"/>
          <w:szCs w:val="21"/>
        </w:rPr>
      </w:pPr>
      <w:r>
        <w:rPr>
          <w:rFonts w:hint="eastAsia" w:ascii="宋体" w:hAnsi="宋体"/>
          <w:szCs w:val="21"/>
        </w:rPr>
        <w:t>（3）隐瞒真实情况，提供虚假资料的；</w:t>
      </w:r>
    </w:p>
    <w:p w14:paraId="1DBAA6C2">
      <w:pPr>
        <w:ind w:firstLine="411" w:firstLineChars="196"/>
        <w:rPr>
          <w:rFonts w:ascii="宋体" w:hAnsi="宋体"/>
          <w:szCs w:val="21"/>
        </w:rPr>
      </w:pPr>
      <w:r>
        <w:rPr>
          <w:rFonts w:hint="eastAsia" w:ascii="宋体" w:hAnsi="宋体"/>
          <w:szCs w:val="21"/>
        </w:rPr>
        <w:t>（4）以非法手段排斥其他供应商参与竞争的；</w:t>
      </w:r>
    </w:p>
    <w:p w14:paraId="7EB0F3D6">
      <w:pPr>
        <w:ind w:firstLine="411" w:firstLineChars="196"/>
        <w:rPr>
          <w:rFonts w:ascii="宋体" w:hAnsi="宋体"/>
          <w:szCs w:val="21"/>
        </w:rPr>
      </w:pPr>
      <w:r>
        <w:rPr>
          <w:rFonts w:hint="eastAsia" w:ascii="宋体" w:hAnsi="宋体"/>
          <w:szCs w:val="21"/>
        </w:rPr>
        <w:t>（5）与其他采购参加人串通投标的；</w:t>
      </w:r>
    </w:p>
    <w:p w14:paraId="3643FEBA">
      <w:pPr>
        <w:ind w:firstLine="411" w:firstLineChars="196"/>
        <w:rPr>
          <w:rFonts w:ascii="宋体" w:hAnsi="宋体"/>
          <w:szCs w:val="21"/>
        </w:rPr>
      </w:pPr>
      <w:r>
        <w:rPr>
          <w:rFonts w:hint="eastAsia" w:ascii="宋体" w:hAnsi="宋体"/>
          <w:szCs w:val="21"/>
        </w:rPr>
        <w:t>（6）恶意投诉的；</w:t>
      </w:r>
    </w:p>
    <w:p w14:paraId="60331FBC">
      <w:pPr>
        <w:ind w:firstLine="411" w:firstLineChars="196"/>
        <w:rPr>
          <w:rFonts w:ascii="宋体" w:hAnsi="宋体"/>
          <w:szCs w:val="21"/>
        </w:rPr>
      </w:pPr>
      <w:r>
        <w:rPr>
          <w:rFonts w:hint="eastAsia" w:ascii="宋体" w:hAnsi="宋体"/>
          <w:szCs w:val="21"/>
        </w:rPr>
        <w:t>（7）向采购项目相关人行贿或者提供其他不当利益的；</w:t>
      </w:r>
    </w:p>
    <w:p w14:paraId="2D35FA92">
      <w:pPr>
        <w:ind w:firstLine="411" w:firstLineChars="196"/>
        <w:rPr>
          <w:rFonts w:ascii="宋体" w:hAnsi="宋体"/>
          <w:szCs w:val="21"/>
        </w:rPr>
      </w:pPr>
      <w:r>
        <w:rPr>
          <w:rFonts w:hint="eastAsia" w:ascii="宋体" w:hAnsi="宋体"/>
          <w:szCs w:val="21"/>
        </w:rPr>
        <w:t>（8）阻碍、抗拒主管部门监督检查的；</w:t>
      </w:r>
    </w:p>
    <w:p w14:paraId="521A2345">
      <w:pPr>
        <w:ind w:firstLine="411" w:firstLineChars="196"/>
        <w:rPr>
          <w:rFonts w:ascii="宋体" w:hAnsi="宋体"/>
          <w:szCs w:val="21"/>
        </w:rPr>
      </w:pPr>
      <w:r>
        <w:rPr>
          <w:rFonts w:hint="eastAsia" w:ascii="宋体" w:hAnsi="宋体"/>
          <w:szCs w:val="21"/>
        </w:rPr>
        <w:t>（9）其他违反本条例规定的行为。</w:t>
      </w:r>
    </w:p>
    <w:p w14:paraId="20B8D4B5">
      <w:pPr>
        <w:ind w:firstLine="411" w:firstLineChars="196"/>
        <w:rPr>
          <w:rFonts w:ascii="宋体" w:hAnsi="宋体"/>
          <w:szCs w:val="21"/>
        </w:rPr>
      </w:pPr>
      <w:r>
        <w:rPr>
          <w:rFonts w:hint="eastAsia" w:ascii="宋体" w:hAnsi="宋体"/>
          <w:szCs w:val="21"/>
        </w:rPr>
        <w:t>5</w:t>
      </w:r>
      <w:r>
        <w:rPr>
          <w:rFonts w:ascii="宋体" w:hAnsi="宋体"/>
          <w:szCs w:val="21"/>
        </w:rPr>
        <w:t xml:space="preserve">1.2 </w:t>
      </w:r>
      <w:r>
        <w:rPr>
          <w:rFonts w:hint="eastAsia" w:ascii="宋体" w:hAnsi="宋体"/>
          <w:szCs w:val="21"/>
        </w:rPr>
        <w:t>根据《深圳市财政局关于明确政府采购保证金管理工作的通知》（深财购[2019]42号）的要求，供应商在政府采购活动中出现《深圳经济特区政府采购条例实施细则》第八十四条所列情形的，</w:t>
      </w:r>
      <w:bookmarkStart w:id="91" w:name="_Hlk72440769"/>
      <w:r>
        <w:rPr>
          <w:rFonts w:hint="eastAsia" w:ascii="宋体" w:hAnsi="宋体"/>
          <w:szCs w:val="21"/>
        </w:rPr>
        <w:t>采购人或政府集中采购机构</w:t>
      </w:r>
      <w:bookmarkEnd w:id="91"/>
      <w:r>
        <w:rPr>
          <w:rFonts w:hint="eastAsia" w:ascii="宋体" w:hAnsi="宋体"/>
          <w:szCs w:val="21"/>
        </w:rPr>
        <w:t>可将有关情况报同级财政部门，由财政部门根据实际情况记入供应商诚信档案，予以通报：</w:t>
      </w:r>
    </w:p>
    <w:p w14:paraId="3CBF042A">
      <w:pPr>
        <w:ind w:firstLine="411" w:firstLineChars="196"/>
        <w:rPr>
          <w:rFonts w:ascii="宋体" w:hAnsi="宋体"/>
          <w:szCs w:val="21"/>
        </w:rPr>
      </w:pPr>
      <w:r>
        <w:rPr>
          <w:rFonts w:hint="eastAsia" w:ascii="宋体" w:hAnsi="宋体"/>
          <w:szCs w:val="21"/>
        </w:rPr>
        <w:t>（1</w:t>
      </w:r>
      <w:r>
        <w:rPr>
          <w:rFonts w:ascii="宋体" w:hAnsi="宋体"/>
          <w:szCs w:val="21"/>
        </w:rPr>
        <w:t>）投标截止后，撤销投标的；</w:t>
      </w:r>
    </w:p>
    <w:p w14:paraId="37155198">
      <w:pPr>
        <w:ind w:firstLine="411" w:firstLineChars="196"/>
        <w:rPr>
          <w:rFonts w:ascii="宋体" w:hAnsi="宋体"/>
          <w:szCs w:val="21"/>
        </w:rPr>
      </w:pPr>
      <w:r>
        <w:rPr>
          <w:rFonts w:ascii="宋体" w:hAnsi="宋体"/>
          <w:szCs w:val="21"/>
        </w:rPr>
        <w:t>（</w:t>
      </w:r>
      <w:r>
        <w:rPr>
          <w:rFonts w:hint="eastAsia" w:ascii="宋体" w:hAnsi="宋体"/>
          <w:szCs w:val="21"/>
        </w:rPr>
        <w:t>2</w:t>
      </w:r>
      <w:r>
        <w:rPr>
          <w:rFonts w:ascii="宋体" w:hAnsi="宋体"/>
          <w:szCs w:val="21"/>
        </w:rPr>
        <w:t>）中标后无正当理由未在规定期限内签订合同的；</w:t>
      </w:r>
    </w:p>
    <w:p w14:paraId="0EFD5081">
      <w:pPr>
        <w:ind w:firstLine="411" w:firstLineChars="196"/>
        <w:rPr>
          <w:rFonts w:ascii="宋体" w:hAnsi="宋体"/>
          <w:szCs w:val="21"/>
        </w:rPr>
      </w:pPr>
      <w:r>
        <w:rPr>
          <w:rFonts w:ascii="宋体" w:hAnsi="宋体"/>
          <w:szCs w:val="21"/>
        </w:rPr>
        <w:t>（</w:t>
      </w:r>
      <w:r>
        <w:rPr>
          <w:rFonts w:hint="eastAsia" w:ascii="宋体" w:hAnsi="宋体"/>
          <w:szCs w:val="21"/>
        </w:rPr>
        <w:t>3</w:t>
      </w:r>
      <w:r>
        <w:rPr>
          <w:rFonts w:ascii="宋体" w:hAnsi="宋体"/>
          <w:szCs w:val="21"/>
        </w:rPr>
        <w:t>）将中标项目转让给他人、或者在投标文件中未说明且未经采购人、采购招标机构同意，将中标项目分包给他人的；</w:t>
      </w:r>
    </w:p>
    <w:p w14:paraId="32F23563">
      <w:pPr>
        <w:ind w:firstLine="411" w:firstLineChars="196"/>
        <w:rPr>
          <w:rFonts w:ascii="宋体" w:hAnsi="宋体"/>
          <w:szCs w:val="21"/>
        </w:rPr>
      </w:pPr>
      <w:r>
        <w:rPr>
          <w:rFonts w:ascii="宋体" w:hAnsi="宋体"/>
          <w:szCs w:val="21"/>
        </w:rPr>
        <w:t>（</w:t>
      </w:r>
      <w:r>
        <w:rPr>
          <w:rFonts w:hint="eastAsia" w:ascii="宋体" w:hAnsi="宋体"/>
          <w:szCs w:val="21"/>
        </w:rPr>
        <w:t>4</w:t>
      </w:r>
      <w:r>
        <w:rPr>
          <w:rFonts w:ascii="宋体" w:hAnsi="宋体"/>
          <w:szCs w:val="21"/>
        </w:rPr>
        <w:t>）拒绝履行合同义务的</w:t>
      </w:r>
      <w:r>
        <w:rPr>
          <w:rFonts w:hint="eastAsia" w:ascii="宋体" w:hAnsi="宋体"/>
          <w:szCs w:val="21"/>
        </w:rPr>
        <w:t>。</w:t>
      </w:r>
    </w:p>
    <w:bookmarkEnd w:id="75"/>
    <w:p w14:paraId="1BD05A2B">
      <w:pPr>
        <w:keepNext/>
        <w:keepLines/>
        <w:numPr>
          <w:ilvl w:val="0"/>
          <w:numId w:val="12"/>
        </w:numPr>
        <w:adjustRightInd w:val="0"/>
        <w:spacing w:before="156" w:beforeLines="50" w:after="156" w:afterLines="50"/>
        <w:ind w:left="562" w:hanging="562"/>
        <w:jc w:val="center"/>
        <w:textAlignment w:val="baseline"/>
        <w:outlineLvl w:val="1"/>
        <w:rPr>
          <w:rFonts w:ascii="宋体" w:hAnsi="宋体"/>
          <w:b/>
          <w:bCs/>
          <w:kern w:val="0"/>
          <w:sz w:val="28"/>
          <w:szCs w:val="28"/>
        </w:rPr>
      </w:pPr>
      <w:r>
        <w:rPr>
          <w:rFonts w:hint="eastAsia" w:ascii="宋体" w:hAnsi="宋体"/>
          <w:b/>
          <w:bCs/>
          <w:kern w:val="0"/>
          <w:sz w:val="28"/>
          <w:szCs w:val="28"/>
        </w:rPr>
        <w:t>质疑处理</w:t>
      </w:r>
    </w:p>
    <w:p w14:paraId="131094C6">
      <w:pPr>
        <w:rPr>
          <w:rFonts w:ascii="黑体" w:hAnsi="宋体" w:eastAsia="黑体"/>
          <w:sz w:val="24"/>
        </w:rPr>
      </w:pPr>
      <w:bookmarkStart w:id="92" w:name="_Hlk72439706"/>
      <w:r>
        <w:rPr>
          <w:rFonts w:hint="eastAsia" w:ascii="黑体" w:hAnsi="宋体" w:eastAsia="黑体"/>
          <w:sz w:val="24"/>
        </w:rPr>
        <w:t>52.质疑提出与答复</w:t>
      </w:r>
    </w:p>
    <w:p w14:paraId="0000EB27">
      <w:pPr>
        <w:rPr>
          <w:rFonts w:ascii="宋体" w:hAnsi="宋体"/>
          <w:szCs w:val="21"/>
        </w:rPr>
      </w:pPr>
      <w:r>
        <w:rPr>
          <w:rFonts w:hint="eastAsia" w:ascii="宋体" w:hAnsi="宋体"/>
          <w:szCs w:val="21"/>
        </w:rPr>
        <w:t xml:space="preserve">    52.1提出质疑</w:t>
      </w:r>
    </w:p>
    <w:p w14:paraId="43CB3671">
      <w:pPr>
        <w:rPr>
          <w:rFonts w:ascii="宋体" w:hAnsi="宋体"/>
          <w:szCs w:val="21"/>
        </w:rPr>
      </w:pPr>
      <w:r>
        <w:rPr>
          <w:rFonts w:hint="eastAsia" w:ascii="宋体" w:hAnsi="宋体"/>
          <w:szCs w:val="21"/>
        </w:rPr>
        <w:t xml:space="preserve">    参与政府采购活动的供应商认为自己的权益在采购活动中受到损害的，应当自知道或者应当知道其权益受到损害之日起七个工作日内向采购人、政府集中采购机构以书面形式提出质疑。</w:t>
      </w:r>
    </w:p>
    <w:p w14:paraId="1C2EAC8E">
      <w:pPr>
        <w:rPr>
          <w:rFonts w:ascii="宋体" w:hAnsi="宋体"/>
          <w:szCs w:val="21"/>
        </w:rPr>
      </w:pPr>
      <w:r>
        <w:rPr>
          <w:rFonts w:hint="eastAsia" w:ascii="宋体" w:hAnsi="宋体"/>
          <w:szCs w:val="21"/>
        </w:rPr>
        <w:t xml:space="preserve">    52.2</w:t>
      </w:r>
      <w:r>
        <w:rPr>
          <w:rFonts w:ascii="宋体" w:hAnsi="宋体"/>
          <w:szCs w:val="21"/>
        </w:rPr>
        <w:t>法律依据</w:t>
      </w:r>
    </w:p>
    <w:p w14:paraId="6A7326E7">
      <w:pPr>
        <w:rPr>
          <w:rFonts w:ascii="宋体" w:hAnsi="宋体"/>
          <w:szCs w:val="21"/>
        </w:rPr>
      </w:pPr>
      <w:r>
        <w:rPr>
          <w:rFonts w:hint="eastAsia" w:ascii="宋体" w:hAnsi="宋体"/>
          <w:szCs w:val="21"/>
        </w:rPr>
        <w:t xml:space="preserve">    《中华人民共和国政府采购法》、《中华人民共和国政府采购法实施条例》、</w:t>
      </w:r>
      <w:r>
        <w:rPr>
          <w:rFonts w:ascii="宋体" w:hAnsi="宋体"/>
          <w:szCs w:val="21"/>
        </w:rPr>
        <w:t>《</w:t>
      </w:r>
      <w:r>
        <w:rPr>
          <w:rFonts w:hint="eastAsia" w:ascii="宋体" w:hAnsi="宋体"/>
          <w:szCs w:val="21"/>
        </w:rPr>
        <w:t>深圳经济特区政府采购</w:t>
      </w:r>
      <w:r>
        <w:rPr>
          <w:rFonts w:ascii="宋体" w:hAnsi="宋体"/>
          <w:szCs w:val="21"/>
        </w:rPr>
        <w:t>条例</w:t>
      </w:r>
      <w:r>
        <w:rPr>
          <w:rFonts w:hint="eastAsia" w:ascii="宋体" w:hAnsi="宋体"/>
          <w:szCs w:val="21"/>
        </w:rPr>
        <w:t>》、《深圳经济特区政府采购条例实施细则》、《政府采购质疑和投诉办法》（财政部令第94号）和其他有关法律法规规定。</w:t>
      </w:r>
    </w:p>
    <w:p w14:paraId="04DD4E06">
      <w:pPr>
        <w:rPr>
          <w:rFonts w:ascii="宋体" w:hAnsi="宋体"/>
          <w:szCs w:val="21"/>
        </w:rPr>
      </w:pPr>
      <w:r>
        <w:rPr>
          <w:rFonts w:hint="eastAsia" w:ascii="宋体" w:hAnsi="宋体"/>
          <w:szCs w:val="21"/>
        </w:rPr>
        <w:t>52.3质疑条件</w:t>
      </w:r>
    </w:p>
    <w:p w14:paraId="36AA698C">
      <w:pPr>
        <w:rPr>
          <w:rFonts w:ascii="宋体" w:hAnsi="宋体"/>
          <w:szCs w:val="21"/>
        </w:rPr>
      </w:pPr>
      <w:r>
        <w:rPr>
          <w:rFonts w:hint="eastAsia" w:ascii="宋体" w:hAnsi="宋体"/>
          <w:szCs w:val="21"/>
        </w:rPr>
        <w:t xml:space="preserve">    52.3.1提出质疑的供应商应当是参与所质疑项目采购活动的供应商；</w:t>
      </w:r>
      <w:bookmarkStart w:id="93" w:name="_Hlk75374941"/>
      <w:r>
        <w:rPr>
          <w:rFonts w:hint="eastAsia" w:ascii="宋体" w:hAnsi="宋体"/>
          <w:szCs w:val="21"/>
        </w:rPr>
        <w:t>以联合体形式参与的，质疑应当由组成联合体的所有成员共同提出</w:t>
      </w:r>
      <w:bookmarkEnd w:id="93"/>
      <w:r>
        <w:rPr>
          <w:rFonts w:hint="eastAsia" w:ascii="宋体" w:hAnsi="宋体"/>
          <w:szCs w:val="21"/>
        </w:rPr>
        <w:t>；</w:t>
      </w:r>
    </w:p>
    <w:p w14:paraId="33081E6F">
      <w:pPr>
        <w:rPr>
          <w:rFonts w:ascii="宋体" w:hAnsi="宋体"/>
          <w:szCs w:val="21"/>
        </w:rPr>
      </w:pPr>
      <w:r>
        <w:rPr>
          <w:rFonts w:hint="eastAsia" w:ascii="宋体" w:hAnsi="宋体"/>
          <w:szCs w:val="21"/>
        </w:rPr>
        <w:t xml:space="preserve">    52.3.2应当在法定质疑期内一次性提出针对同一采购程序环节的质疑，法定质疑期为自知道或应当知道权益受到损害之日起7个工作日内。应当知道其权益受到损害之日是指：对招标文件的质疑，为招标文件公布之日；对采购过程的质疑，为各采购程序环节结束之日；对中标结果以及评审委员会组成人员的质疑，为中标结果公示之日；</w:t>
      </w:r>
    </w:p>
    <w:p w14:paraId="666BFBB4">
      <w:pPr>
        <w:ind w:firstLine="420"/>
        <w:rPr>
          <w:rFonts w:ascii="宋体" w:hAnsi="宋体"/>
          <w:szCs w:val="21"/>
        </w:rPr>
      </w:pPr>
      <w:r>
        <w:rPr>
          <w:rFonts w:hint="eastAsia" w:ascii="宋体" w:hAnsi="宋体"/>
          <w:szCs w:val="21"/>
        </w:rPr>
        <w:t>52.3.3应提交书面质疑函，质疑函应当包括以下内容：</w:t>
      </w:r>
    </w:p>
    <w:p w14:paraId="3571FCCA">
      <w:pPr>
        <w:ind w:firstLine="420"/>
        <w:rPr>
          <w:rFonts w:ascii="宋体" w:hAnsi="宋体"/>
          <w:szCs w:val="21"/>
        </w:rPr>
      </w:pPr>
      <w:r>
        <w:rPr>
          <w:rFonts w:hint="eastAsia" w:ascii="宋体" w:hAnsi="宋体"/>
          <w:szCs w:val="21"/>
        </w:rPr>
        <w:t>（1）供应商的名称（或者姓名）、地址、邮编、邮箱、联系人及联系电话；</w:t>
      </w:r>
    </w:p>
    <w:p w14:paraId="7C0B6DBF">
      <w:pPr>
        <w:ind w:firstLine="420"/>
        <w:rPr>
          <w:rFonts w:ascii="宋体" w:hAnsi="宋体"/>
          <w:szCs w:val="21"/>
        </w:rPr>
      </w:pPr>
      <w:r>
        <w:rPr>
          <w:rFonts w:hint="eastAsia" w:ascii="宋体" w:hAnsi="宋体"/>
          <w:szCs w:val="21"/>
        </w:rPr>
        <w:t>（2）质疑项目的名称、编号；</w:t>
      </w:r>
    </w:p>
    <w:p w14:paraId="2742F93C">
      <w:pPr>
        <w:ind w:firstLine="420"/>
        <w:rPr>
          <w:rFonts w:ascii="宋体" w:hAnsi="宋体"/>
          <w:szCs w:val="21"/>
        </w:rPr>
      </w:pPr>
      <w:r>
        <w:rPr>
          <w:rFonts w:hint="eastAsia" w:ascii="宋体" w:hAnsi="宋体"/>
          <w:szCs w:val="21"/>
        </w:rPr>
        <w:t>（3）具体、明确的质疑对象、质疑事项和质疑请求；</w:t>
      </w:r>
    </w:p>
    <w:p w14:paraId="36567623">
      <w:pPr>
        <w:ind w:firstLine="420"/>
        <w:rPr>
          <w:rFonts w:ascii="宋体" w:hAnsi="宋体"/>
          <w:szCs w:val="21"/>
        </w:rPr>
      </w:pPr>
      <w:r>
        <w:rPr>
          <w:rFonts w:hint="eastAsia" w:ascii="宋体" w:hAnsi="宋体"/>
          <w:szCs w:val="21"/>
        </w:rPr>
        <w:t>（4）因质疑事项而受损害的权益；</w:t>
      </w:r>
    </w:p>
    <w:p w14:paraId="0EF0DC56">
      <w:pPr>
        <w:ind w:firstLine="420"/>
        <w:rPr>
          <w:rFonts w:ascii="宋体" w:hAnsi="宋体"/>
          <w:szCs w:val="21"/>
        </w:rPr>
      </w:pPr>
      <w:r>
        <w:rPr>
          <w:rFonts w:hint="eastAsia" w:ascii="宋体" w:hAnsi="宋体"/>
          <w:szCs w:val="21"/>
        </w:rPr>
        <w:t>（5）事实依据；</w:t>
      </w:r>
    </w:p>
    <w:p w14:paraId="4C439D2B">
      <w:pPr>
        <w:ind w:firstLine="420"/>
        <w:rPr>
          <w:rFonts w:ascii="宋体" w:hAnsi="宋体"/>
          <w:szCs w:val="21"/>
        </w:rPr>
      </w:pPr>
      <w:r>
        <w:rPr>
          <w:rFonts w:hint="eastAsia" w:ascii="宋体" w:hAnsi="宋体"/>
          <w:szCs w:val="21"/>
        </w:rPr>
        <w:t>（6）必要的法律依据；</w:t>
      </w:r>
    </w:p>
    <w:p w14:paraId="780DA9AF">
      <w:pPr>
        <w:ind w:firstLine="420"/>
        <w:rPr>
          <w:rFonts w:ascii="宋体" w:hAnsi="宋体"/>
          <w:szCs w:val="21"/>
        </w:rPr>
      </w:pPr>
      <w:r>
        <w:rPr>
          <w:rFonts w:hint="eastAsia" w:ascii="宋体" w:hAnsi="宋体"/>
          <w:szCs w:val="21"/>
        </w:rPr>
        <w:t>（7）提出质疑的日期。</w:t>
      </w:r>
    </w:p>
    <w:p w14:paraId="396575B3">
      <w:pPr>
        <w:ind w:firstLine="420"/>
        <w:rPr>
          <w:rFonts w:ascii="宋体" w:hAnsi="宋体"/>
          <w:szCs w:val="21"/>
        </w:rPr>
      </w:pPr>
      <w:r>
        <w:rPr>
          <w:rFonts w:hint="eastAsia" w:ascii="宋体" w:hAnsi="宋体"/>
          <w:szCs w:val="21"/>
        </w:rPr>
        <w:t>供应商为自然人的，应当由本人签字；供应商为法人或者其他组织的，应当由法定代表人（负责人），或者其授权代理人签字或者盖章，并加盖公章。</w:t>
      </w:r>
    </w:p>
    <w:p w14:paraId="3A06E9A9">
      <w:pPr>
        <w:ind w:firstLine="420"/>
        <w:rPr>
          <w:rFonts w:ascii="宋体" w:hAnsi="宋体"/>
          <w:szCs w:val="21"/>
        </w:rPr>
      </w:pPr>
      <w:r>
        <w:rPr>
          <w:rFonts w:hint="eastAsia" w:ascii="宋体" w:hAnsi="宋体"/>
          <w:szCs w:val="21"/>
        </w:rPr>
        <w:t>52.4提交</w:t>
      </w:r>
      <w:r>
        <w:rPr>
          <w:rFonts w:ascii="宋体" w:hAnsi="宋体"/>
          <w:szCs w:val="21"/>
        </w:rPr>
        <w:t>材料</w:t>
      </w:r>
    </w:p>
    <w:p w14:paraId="61CFDAFB">
      <w:pPr>
        <w:ind w:firstLine="420"/>
        <w:rPr>
          <w:rFonts w:ascii="宋体" w:hAnsi="宋体"/>
          <w:szCs w:val="21"/>
        </w:rPr>
      </w:pPr>
      <w:r>
        <w:rPr>
          <w:rFonts w:hint="eastAsia" w:ascii="宋体" w:hAnsi="宋体"/>
          <w:szCs w:val="21"/>
        </w:rPr>
        <w:t>供应商质疑实行实名制。供应商为自然人的，应当提交本人身份证复印件；供应商为法人或者其他组织的，应当根据自身性质提交营业执照复印件或者其他证明文件（如事业单位法人证书等）复印件。</w:t>
      </w:r>
    </w:p>
    <w:p w14:paraId="4A4D0014">
      <w:pPr>
        <w:ind w:firstLine="420"/>
        <w:rPr>
          <w:rFonts w:ascii="宋体" w:hAnsi="宋体"/>
          <w:szCs w:val="21"/>
        </w:rPr>
      </w:pPr>
      <w:r>
        <w:rPr>
          <w:rFonts w:hint="eastAsia" w:ascii="宋体" w:hAnsi="宋体"/>
          <w:szCs w:val="21"/>
        </w:rPr>
        <w:t>供应商可以委托代理人进行质疑。</w:t>
      </w:r>
      <w:r>
        <w:rPr>
          <w:rFonts w:ascii="宋体" w:hAnsi="宋体"/>
          <w:szCs w:val="21"/>
        </w:rPr>
        <w:t>其授权委托书应当载明代理人的姓名或者名称、代理事项、具体权限、期限和相关事项。供应商为自然人的，应当由本人签字；供应商为法人或者其他组织的，应当由法定代表人、主要负责人签字或者盖章，并加盖公章。</w:t>
      </w:r>
    </w:p>
    <w:p w14:paraId="79F0645E">
      <w:pPr>
        <w:ind w:firstLine="420"/>
        <w:rPr>
          <w:rFonts w:ascii="宋体" w:hAnsi="宋体"/>
          <w:szCs w:val="21"/>
        </w:rPr>
      </w:pPr>
      <w:r>
        <w:rPr>
          <w:rFonts w:hint="eastAsia" w:ascii="宋体" w:hAnsi="宋体"/>
          <w:szCs w:val="21"/>
        </w:rPr>
        <w:t>52.5提交方式</w:t>
      </w:r>
    </w:p>
    <w:p w14:paraId="37BE6084">
      <w:pPr>
        <w:ind w:firstLine="420"/>
        <w:rPr>
          <w:rFonts w:ascii="宋体" w:hAnsi="宋体"/>
          <w:szCs w:val="21"/>
        </w:rPr>
      </w:pPr>
      <w:r>
        <w:rPr>
          <w:rFonts w:hint="eastAsia" w:ascii="宋体" w:hAnsi="宋体"/>
          <w:szCs w:val="21"/>
        </w:rPr>
        <w:t>5</w:t>
      </w:r>
      <w:r>
        <w:rPr>
          <w:rFonts w:ascii="宋体" w:hAnsi="宋体"/>
          <w:szCs w:val="21"/>
        </w:rPr>
        <w:t>2.5.1</w:t>
      </w:r>
      <w:r>
        <w:rPr>
          <w:rFonts w:hint="eastAsia" w:ascii="宋体" w:hAnsi="宋体"/>
          <w:szCs w:val="21"/>
        </w:rPr>
        <w:t>登录“深圳政府采购智慧平台用户网上办事子系统（http://zfcg.szggzy.com/TPBidder/memberLogin）”提出或以书面形式向采购人或者采购代理机构一次性提出针对同一采购程序环节的质疑。</w:t>
      </w:r>
    </w:p>
    <w:p w14:paraId="3CB1E6B7">
      <w:pPr>
        <w:ind w:firstLine="420"/>
        <w:rPr>
          <w:rFonts w:ascii="宋体" w:hAnsi="宋体"/>
          <w:szCs w:val="21"/>
        </w:rPr>
      </w:pPr>
      <w:r>
        <w:rPr>
          <w:rFonts w:hint="eastAsia" w:ascii="宋体" w:hAnsi="宋体"/>
          <w:szCs w:val="21"/>
        </w:rPr>
        <w:t>52.6收文办理</w:t>
      </w:r>
      <w:r>
        <w:rPr>
          <w:rFonts w:ascii="宋体" w:hAnsi="宋体"/>
          <w:szCs w:val="21"/>
        </w:rPr>
        <w:t>程序</w:t>
      </w:r>
    </w:p>
    <w:p w14:paraId="1B86E38A">
      <w:pPr>
        <w:ind w:firstLine="420"/>
        <w:rPr>
          <w:rFonts w:ascii="宋体" w:hAnsi="宋体"/>
          <w:szCs w:val="21"/>
        </w:rPr>
      </w:pPr>
      <w:r>
        <w:rPr>
          <w:rFonts w:hint="eastAsia" w:ascii="宋体" w:hAnsi="宋体"/>
          <w:szCs w:val="21"/>
        </w:rPr>
        <w:t>52.6.1供应商提交的质疑符合受理条件的，政府集中采购机构自收到质疑材料之日起即为受理，应当向供应商出具质疑函收文回执并可以要求其递交质疑的法定代表人（负责人）或者授权代理人签署质疑文书送达地址确认书。</w:t>
      </w:r>
    </w:p>
    <w:p w14:paraId="057ADEE3">
      <w:pPr>
        <w:ind w:firstLine="420"/>
        <w:rPr>
          <w:rFonts w:ascii="仿宋" w:hAnsi="仿宋" w:eastAsia="仿宋"/>
          <w:sz w:val="28"/>
          <w:szCs w:val="28"/>
        </w:rPr>
      </w:pPr>
      <w:r>
        <w:rPr>
          <w:rFonts w:hint="eastAsia" w:ascii="宋体" w:hAnsi="宋体"/>
          <w:szCs w:val="21"/>
        </w:rPr>
        <w:t>52.6.2供应商提交的质疑材料不符合质疑条件的，视情况处理：</w:t>
      </w:r>
    </w:p>
    <w:p w14:paraId="67F4A65C">
      <w:pPr>
        <w:ind w:firstLine="420"/>
        <w:rPr>
          <w:rFonts w:ascii="宋体" w:hAnsi="宋体"/>
          <w:szCs w:val="21"/>
        </w:rPr>
      </w:pPr>
      <w:r>
        <w:rPr>
          <w:rFonts w:hint="eastAsia" w:ascii="宋体" w:hAnsi="宋体"/>
          <w:szCs w:val="21"/>
        </w:rPr>
        <w:t>供应商提交的质疑材料不全或者未按要求签字或者盖章的，政府集中采购机构应当一次性告知供应商需补正的内容和补正期限。</w:t>
      </w:r>
    </w:p>
    <w:p w14:paraId="4249ABC6">
      <w:pPr>
        <w:ind w:firstLine="420"/>
        <w:rPr>
          <w:rFonts w:ascii="宋体" w:hAnsi="宋体"/>
          <w:szCs w:val="21"/>
        </w:rPr>
      </w:pPr>
      <w:r>
        <w:rPr>
          <w:rFonts w:hint="eastAsia" w:ascii="宋体" w:hAnsi="宋体"/>
          <w:szCs w:val="21"/>
        </w:rPr>
        <w:t>供应商提交的质疑存在下列情形之一的，不予受理：</w:t>
      </w:r>
    </w:p>
    <w:p w14:paraId="1A763CDF">
      <w:pPr>
        <w:ind w:firstLine="420"/>
        <w:rPr>
          <w:rFonts w:ascii="宋体" w:hAnsi="宋体"/>
          <w:szCs w:val="21"/>
        </w:rPr>
      </w:pPr>
      <w:r>
        <w:rPr>
          <w:rFonts w:hint="eastAsia" w:ascii="宋体" w:hAnsi="宋体"/>
          <w:szCs w:val="21"/>
        </w:rPr>
        <w:t>（1）质疑主体不满足要求的；</w:t>
      </w:r>
    </w:p>
    <w:p w14:paraId="3FB17D44">
      <w:pPr>
        <w:ind w:firstLine="420"/>
        <w:rPr>
          <w:rFonts w:ascii="宋体" w:hAnsi="宋体"/>
          <w:szCs w:val="21"/>
        </w:rPr>
      </w:pPr>
      <w:r>
        <w:rPr>
          <w:rFonts w:hint="eastAsia" w:ascii="宋体" w:hAnsi="宋体"/>
          <w:szCs w:val="21"/>
        </w:rPr>
        <w:t>（2）供应商自身权益未受到损害的；</w:t>
      </w:r>
    </w:p>
    <w:p w14:paraId="6D8737D4">
      <w:pPr>
        <w:ind w:firstLine="420"/>
        <w:rPr>
          <w:rFonts w:ascii="宋体" w:hAnsi="宋体"/>
          <w:szCs w:val="21"/>
        </w:rPr>
      </w:pPr>
      <w:r>
        <w:rPr>
          <w:rFonts w:hint="eastAsia" w:ascii="宋体" w:hAnsi="宋体"/>
          <w:szCs w:val="21"/>
        </w:rPr>
        <w:t>（3）供应商未在法定质疑期限内提出质疑的；</w:t>
      </w:r>
    </w:p>
    <w:p w14:paraId="2A60F844">
      <w:pPr>
        <w:ind w:firstLine="420"/>
        <w:rPr>
          <w:rFonts w:ascii="宋体" w:hAnsi="宋体"/>
          <w:szCs w:val="21"/>
        </w:rPr>
      </w:pPr>
      <w:r>
        <w:rPr>
          <w:rFonts w:hint="eastAsia" w:ascii="宋体" w:hAnsi="宋体"/>
          <w:szCs w:val="21"/>
        </w:rPr>
        <w:t>（4）质疑材料不全或者未按要求签字或者盖章的情况下，要求补正后，逾期未补正或者补正后仍不符合规定的；</w:t>
      </w:r>
    </w:p>
    <w:p w14:paraId="29532594">
      <w:pPr>
        <w:ind w:firstLine="420"/>
        <w:rPr>
          <w:rFonts w:ascii="宋体" w:hAnsi="宋体"/>
          <w:szCs w:val="21"/>
        </w:rPr>
      </w:pPr>
      <w:r>
        <w:rPr>
          <w:rFonts w:hint="eastAsia" w:ascii="宋体" w:hAnsi="宋体"/>
          <w:szCs w:val="21"/>
        </w:rPr>
        <w:t>（5）其他不符合受理条件情形的。</w:t>
      </w:r>
    </w:p>
    <w:p w14:paraId="699578C2">
      <w:pPr>
        <w:ind w:firstLine="420"/>
        <w:rPr>
          <w:rFonts w:ascii="宋体" w:hAnsi="宋体"/>
          <w:szCs w:val="21"/>
        </w:rPr>
      </w:pPr>
      <w:r>
        <w:rPr>
          <w:rFonts w:hint="eastAsia" w:ascii="宋体" w:hAnsi="宋体"/>
          <w:szCs w:val="21"/>
        </w:rPr>
        <w:t>质疑事项不予受理的，政府集中采购机构应当向供应商出具不符合质疑条件告知书。</w:t>
      </w:r>
    </w:p>
    <w:p w14:paraId="0B7CDC2F">
      <w:pPr>
        <w:rPr>
          <w:rFonts w:ascii="宋体" w:hAnsi="宋体"/>
          <w:szCs w:val="21"/>
        </w:rPr>
      </w:pPr>
      <w:r>
        <w:rPr>
          <w:rFonts w:hint="eastAsia" w:ascii="宋体" w:hAnsi="宋体"/>
          <w:szCs w:val="21"/>
        </w:rPr>
        <w:t xml:space="preserve">  52.7质疑答复时限</w:t>
      </w:r>
    </w:p>
    <w:p w14:paraId="5700A22A">
      <w:pPr>
        <w:rPr>
          <w:rFonts w:ascii="宋体" w:hAnsi="宋体"/>
          <w:szCs w:val="21"/>
        </w:rPr>
      </w:pPr>
      <w:r>
        <w:rPr>
          <w:rFonts w:hint="eastAsia" w:ascii="宋体" w:hAnsi="宋体"/>
          <w:szCs w:val="21"/>
        </w:rPr>
        <w:t xml:space="preserve">    自收文之日起七个工作日内。</w:t>
      </w:r>
    </w:p>
    <w:p w14:paraId="2D425447">
      <w:pPr>
        <w:rPr>
          <w:rFonts w:ascii="宋体" w:hAnsi="宋体"/>
          <w:szCs w:val="21"/>
        </w:rPr>
      </w:pPr>
      <w:r>
        <w:rPr>
          <w:rFonts w:hint="eastAsia" w:ascii="宋体" w:hAnsi="宋体"/>
          <w:szCs w:val="21"/>
        </w:rPr>
        <w:t xml:space="preserve">    52.8投诉</w:t>
      </w:r>
    </w:p>
    <w:p w14:paraId="6A6CEE67">
      <w:pPr>
        <w:rPr>
          <w:rFonts w:ascii="宋体" w:hAnsi="宋体"/>
          <w:szCs w:val="21"/>
        </w:rPr>
      </w:pPr>
      <w:r>
        <w:rPr>
          <w:rFonts w:hint="eastAsia" w:ascii="宋体" w:hAnsi="宋体"/>
          <w:szCs w:val="21"/>
        </w:rPr>
        <w:t xml:space="preserve">    对质疑答复不满意或者未在规定时间内答复的，提出质疑的供应商可以在答复期满后15个工作日内向同级财政部门投诉。</w:t>
      </w:r>
    </w:p>
    <w:p w14:paraId="22F5B316">
      <w:pPr>
        <w:rPr>
          <w:rFonts w:ascii="黑体" w:hAnsi="宋体" w:eastAsia="黑体"/>
          <w:sz w:val="24"/>
        </w:rPr>
      </w:pPr>
      <w:r>
        <w:rPr>
          <w:rFonts w:hint="eastAsia" w:ascii="黑体" w:hAnsi="宋体" w:eastAsia="黑体"/>
          <w:sz w:val="24"/>
        </w:rPr>
        <w:t>53. 质疑后续处理</w:t>
      </w:r>
    </w:p>
    <w:p w14:paraId="7DFE0082">
      <w:pPr>
        <w:rPr>
          <w:rFonts w:ascii="宋体" w:hAnsi="宋体"/>
          <w:szCs w:val="21"/>
        </w:rPr>
      </w:pPr>
      <w:r>
        <w:rPr>
          <w:rFonts w:hint="eastAsia" w:ascii="宋体" w:hAnsi="宋体"/>
          <w:szCs w:val="21"/>
        </w:rPr>
        <w:t xml:space="preserve">    53.1供应商质疑不成立，或者成立但未对中标、成交结果构成影响的，继续开展采购活动。</w:t>
      </w:r>
    </w:p>
    <w:p w14:paraId="1701E6EB">
      <w:pPr>
        <w:rPr>
          <w:rFonts w:ascii="宋体" w:hAnsi="宋体"/>
          <w:szCs w:val="21"/>
        </w:rPr>
      </w:pPr>
      <w:r>
        <w:rPr>
          <w:rFonts w:hint="eastAsia" w:ascii="宋体" w:hAnsi="宋体"/>
          <w:szCs w:val="21"/>
        </w:rPr>
        <w:t xml:space="preserve">    53.2供应商质疑成立且影响或者可能影响中标、成交结果的，按照下列情况处理：（1）对采购文件提出的质疑，依法通过澄清或者修改可以继续开展采购活动的，澄清或者修改采购文件后继续开展采购活动；否则应当修改采购文件后重新开展采购活动。（2）对采购过程、中标或者成交结果提出的质疑，如果合格供应商符合法定数量，依法从合格的中标或者成交候选人中另行确定中标、成交供应商；如果合格供应商不符合法定数量，应当重新开展采购活动。</w:t>
      </w:r>
    </w:p>
    <w:p w14:paraId="2BE3FE33">
      <w:pPr>
        <w:jc w:val="center"/>
      </w:pPr>
      <w:r>
        <w:t>---- END ----</w:t>
      </w:r>
      <w:bookmarkEnd w:id="92"/>
    </w:p>
    <w:p w14:paraId="231C445D"/>
    <w:p w14:paraId="0FC9369B">
      <w:pPr>
        <w:spacing w:line="360" w:lineRule="auto"/>
        <w:rPr>
          <w:b/>
          <w:bCs/>
          <w:sz w:val="24"/>
        </w:rPr>
      </w:pPr>
    </w:p>
    <w:p w14:paraId="0AA8E5DD">
      <w:pPr>
        <w:autoSpaceDE w:val="0"/>
        <w:autoSpaceDN w:val="0"/>
        <w:adjustRightInd w:val="0"/>
        <w:rPr>
          <w:rFonts w:ascii="H Yb 2gj" w:eastAsia="H Yb 2gj" w:cs="H Yb 2gj"/>
          <w:color w:val="000000"/>
          <w:sz w:val="24"/>
        </w:rPr>
      </w:pPr>
    </w:p>
    <w:p w14:paraId="5A6BE843">
      <w:pPr>
        <w:pStyle w:val="3"/>
        <w:rPr>
          <w:kern w:val="2"/>
        </w:rPr>
      </w:pPr>
    </w:p>
    <w:p w14:paraId="411C6260"/>
    <w:sectPr>
      <w:headerReference r:id="rId4" w:type="first"/>
      <w:footerReference r:id="rId5" w:type="default"/>
      <w:footerReference r:id="rId6" w:type="even"/>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modern"/>
    <w:pitch w:val="default"/>
    <w:sig w:usb0="E10002FF" w:usb1="4000FCFF" w:usb2="00000009" w:usb3="00000000" w:csb0="6000019F" w:csb1="DFD70000"/>
  </w:font>
  <w:font w:name="H Yb 2gj">
    <w:altName w:val="宋体"/>
    <w:panose1 w:val="00000000000000000000"/>
    <w:charset w:val="86"/>
    <w:family w:val="auto"/>
    <w:pitch w:val="default"/>
    <w:sig w:usb0="00000000" w:usb1="00000000" w:usb2="00000010" w:usb3="00000000" w:csb0="00040000" w:csb1="00000000"/>
  </w:font>
  <w:font w:name="长城仿宋">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文鼎粗黑">
    <w:altName w:val="黑体"/>
    <w:panose1 w:val="00000000000000000000"/>
    <w:charset w:val="00"/>
    <w:family w:val="modern"/>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9" w:usb3="00000000" w:csb0="000001FF" w:csb1="00000000"/>
  </w:font>
  <w:font w:name="Cambria">
    <w:panose1 w:val="02040503050406030204"/>
    <w:charset w:val="00"/>
    <w:family w:val="roman"/>
    <w:pitch w:val="default"/>
    <w:sig w:usb0="E00002FF" w:usb1="400004FF" w:usb2="00000000" w:usb3="00000000" w:csb0="2000019F" w:csb1="00000000"/>
  </w:font>
  <w:font w:name="??">
    <w:altName w:val="微软雅黑"/>
    <w:panose1 w:val="00000000000000000000"/>
    <w:charset w:val="00"/>
    <w:family w:val="auto"/>
    <w:pitch w:val="default"/>
    <w:sig w:usb0="00000000" w:usb1="00000000" w:usb2="00000000" w:usb3="00000000" w:csb0="00040001" w:csb1="00000000"/>
  </w:font>
  <w:font w:name="汉仪细等线简">
    <w:altName w:val="宋体"/>
    <w:panose1 w:val="00000000000000000000"/>
    <w:charset w:val="86"/>
    <w:family w:val="auto"/>
    <w:pitch w:val="default"/>
    <w:sig w:usb0="00000000" w:usb1="00000000" w:usb2="00000012"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PMingLiUfalt">
    <w:altName w:val="Microsoft JhengHei"/>
    <w:panose1 w:val="00000000000000000000"/>
    <w:charset w:val="88"/>
    <w:family w:val="roman"/>
    <w:pitch w:val="default"/>
    <w:sig w:usb0="00000000" w:usb1="00000000" w:usb2="00000010" w:usb3="00000000" w:csb0="00100000" w:csb1="00000000"/>
  </w:font>
  <w:font w:name="Microsoft JhengHei">
    <w:panose1 w:val="020B0604030504040204"/>
    <w:charset w:val="88"/>
    <w:family w:val="auto"/>
    <w:pitch w:val="default"/>
    <w:sig w:usb0="00000087" w:usb1="28AF4000" w:usb2="00000016" w:usb3="00000000" w:csb0="00100009" w:csb1="00000000"/>
  </w:font>
  <w:font w:name="PMingLiU">
    <w:panose1 w:val="02020500000000000000"/>
    <w:charset w:val="88"/>
    <w:family w:val="roman"/>
    <w:pitch w:val="default"/>
    <w:sig w:usb0="A00002FF" w:usb1="28CFFCFA" w:usb2="00000016" w:usb3="00000000" w:csb0="00100001" w:csb1="00000000"/>
  </w:font>
  <w:font w:name="Wingdings 2">
    <w:altName w:val="Wingdings"/>
    <w:panose1 w:val="05020102010507070707"/>
    <w:charset w:val="02"/>
    <w:family w:val="auto"/>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ˎ̥">
    <w:altName w:val="Segoe Print"/>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9CA8F">
    <w:pPr>
      <w:pStyle w:val="27"/>
      <w:framePr w:wrap="around" w:vAnchor="text" w:hAnchor="margin" w:xAlign="center" w:y="1"/>
      <w:rPr>
        <w:rStyle w:val="49"/>
      </w:rPr>
    </w:pPr>
    <w:r>
      <w:t xml:space="preserve">- </w:t>
    </w:r>
    <w:r>
      <w:fldChar w:fldCharType="begin"/>
    </w:r>
    <w:r>
      <w:instrText xml:space="preserve"> PAGE </w:instrText>
    </w:r>
    <w:r>
      <w:fldChar w:fldCharType="separate"/>
    </w:r>
    <w:r>
      <w:t>67</w:t>
    </w:r>
    <w:r>
      <w:fldChar w:fldCharType="end"/>
    </w:r>
    <w:r>
      <w:t xml:space="preserve"> -</w:t>
    </w:r>
  </w:p>
  <w:p w14:paraId="5AE64FF3">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1EC24">
    <w:pPr>
      <w:pStyle w:val="27"/>
      <w:framePr w:wrap="around" w:vAnchor="text" w:hAnchor="margin" w:xAlign="center" w:y="1"/>
      <w:rPr>
        <w:rStyle w:val="49"/>
      </w:rPr>
    </w:pPr>
    <w:r>
      <w:rPr>
        <w:rStyle w:val="49"/>
      </w:rPr>
      <w:fldChar w:fldCharType="begin"/>
    </w:r>
    <w:r>
      <w:rPr>
        <w:rStyle w:val="49"/>
      </w:rPr>
      <w:instrText xml:space="preserve">PAGE  </w:instrText>
    </w:r>
    <w:r>
      <w:rPr>
        <w:rStyle w:val="49"/>
      </w:rPr>
      <w:fldChar w:fldCharType="separate"/>
    </w:r>
    <w:r>
      <w:rPr>
        <w:rStyle w:val="49"/>
      </w:rPr>
      <w:fldChar w:fldCharType="end"/>
    </w:r>
  </w:p>
  <w:p w14:paraId="413997D3">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9ED7E">
    <w:pPr>
      <w:pStyle w:val="28"/>
      <w:pBdr>
        <w:bottom w:val="none" w:color="auto" w:sz="0" w:space="0"/>
      </w:pBdr>
    </w:pPr>
  </w:p>
  <w:p w14:paraId="7C61B0E2">
    <w:pPr>
      <w:pStyle w:val="2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2E8E7">
    <w:pPr>
      <w:pStyle w:val="2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A4D08"/>
    <w:multiLevelType w:val="singleLevel"/>
    <w:tmpl w:val="867A4D08"/>
    <w:lvl w:ilvl="0" w:tentative="0">
      <w:start w:val="1"/>
      <w:numFmt w:val="decimal"/>
      <w:lvlText w:val="%1"/>
      <w:lvlJc w:val="left"/>
      <w:pPr>
        <w:tabs>
          <w:tab w:val="left" w:pos="420"/>
        </w:tabs>
        <w:ind w:left="425" w:hanging="425"/>
      </w:pPr>
      <w:rPr>
        <w:rFonts w:hint="default"/>
      </w:rPr>
    </w:lvl>
  </w:abstractNum>
  <w:abstractNum w:abstractNumId="1">
    <w:nsid w:val="8A13198B"/>
    <w:multiLevelType w:val="singleLevel"/>
    <w:tmpl w:val="8A13198B"/>
    <w:lvl w:ilvl="0" w:tentative="0">
      <w:start w:val="3"/>
      <w:numFmt w:val="chineseCounting"/>
      <w:suff w:val="nothing"/>
      <w:lvlText w:val="%1、"/>
      <w:lvlJc w:val="left"/>
      <w:rPr>
        <w:rFonts w:hint="eastAsia"/>
      </w:rPr>
    </w:lvl>
  </w:abstractNum>
  <w:abstractNum w:abstractNumId="2">
    <w:nsid w:val="D4CAA1C9"/>
    <w:multiLevelType w:val="singleLevel"/>
    <w:tmpl w:val="D4CAA1C9"/>
    <w:lvl w:ilvl="0" w:tentative="0">
      <w:start w:val="2"/>
      <w:numFmt w:val="decimal"/>
      <w:lvlText w:val="%1."/>
      <w:lvlJc w:val="left"/>
      <w:pPr>
        <w:tabs>
          <w:tab w:val="left" w:pos="312"/>
        </w:tabs>
      </w:pPr>
    </w:lvl>
  </w:abstractNum>
  <w:abstractNum w:abstractNumId="3">
    <w:nsid w:val="FFFFFF7C"/>
    <w:multiLevelType w:val="singleLevel"/>
    <w:tmpl w:val="FFFFFF7C"/>
    <w:lvl w:ilvl="0" w:tentative="0">
      <w:start w:val="1"/>
      <w:numFmt w:val="decimal"/>
      <w:pStyle w:val="97"/>
      <w:lvlText w:val="%1."/>
      <w:lvlJc w:val="left"/>
      <w:pPr>
        <w:tabs>
          <w:tab w:val="left" w:pos="2040"/>
        </w:tabs>
        <w:ind w:left="2040" w:hanging="360"/>
      </w:pPr>
      <w:rPr>
        <w:rFonts w:cs="Times New Roman"/>
      </w:rPr>
    </w:lvl>
  </w:abstractNum>
  <w:abstractNum w:abstractNumId="4">
    <w:nsid w:val="FFFFFF89"/>
    <w:multiLevelType w:val="singleLevel"/>
    <w:tmpl w:val="FFFFFF89"/>
    <w:lvl w:ilvl="0" w:tentative="0">
      <w:start w:val="1"/>
      <w:numFmt w:val="bullet"/>
      <w:pStyle w:val="14"/>
      <w:lvlText w:val=""/>
      <w:lvlJc w:val="left"/>
      <w:pPr>
        <w:tabs>
          <w:tab w:val="left" w:pos="360"/>
        </w:tabs>
        <w:ind w:left="360" w:hanging="360"/>
      </w:pPr>
      <w:rPr>
        <w:rFonts w:hint="default" w:ascii="Wingdings" w:hAnsi="Wingdings"/>
      </w:rPr>
    </w:lvl>
  </w:abstractNum>
  <w:abstractNum w:abstractNumId="5">
    <w:nsid w:val="00000005"/>
    <w:multiLevelType w:val="multilevel"/>
    <w:tmpl w:val="00000005"/>
    <w:lvl w:ilvl="0" w:tentative="0">
      <w:start w:val="1"/>
      <w:numFmt w:val="japaneseCounting"/>
      <w:lvlText w:val="第%1章"/>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972A1CF"/>
    <w:multiLevelType w:val="singleLevel"/>
    <w:tmpl w:val="0972A1CF"/>
    <w:lvl w:ilvl="0" w:tentative="0">
      <w:start w:val="1"/>
      <w:numFmt w:val="chineseCounting"/>
      <w:suff w:val="nothing"/>
      <w:lvlText w:val="%1、"/>
      <w:lvlJc w:val="left"/>
      <w:pPr>
        <w:ind w:left="3360" w:firstLine="420"/>
      </w:pPr>
      <w:rPr>
        <w:rFonts w:hint="eastAsia"/>
      </w:rPr>
    </w:lvl>
  </w:abstractNum>
  <w:abstractNum w:abstractNumId="7">
    <w:nsid w:val="12503483"/>
    <w:multiLevelType w:val="multilevel"/>
    <w:tmpl w:val="12503483"/>
    <w:lvl w:ilvl="0" w:tentative="0">
      <w:start w:val="1"/>
      <w:numFmt w:val="bullet"/>
      <w:pStyle w:val="124"/>
      <w:lvlText w:val=""/>
      <w:lvlJc w:val="left"/>
      <w:pPr>
        <w:tabs>
          <w:tab w:val="left" w:pos="420"/>
        </w:tabs>
        <w:ind w:left="420" w:hanging="420"/>
      </w:pPr>
      <w:rPr>
        <w:rFonts w:hint="default" w:ascii="Wingdings" w:hAnsi="Wingdings"/>
      </w:rPr>
    </w:lvl>
    <w:lvl w:ilvl="1" w:tentative="0">
      <w:start w:val="1"/>
      <w:numFmt w:val="bullet"/>
      <w:pStyle w:val="123"/>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160D20D0"/>
    <w:multiLevelType w:val="multilevel"/>
    <w:tmpl w:val="160D20D0"/>
    <w:lvl w:ilvl="0" w:tentative="0">
      <w:start w:val="1"/>
      <w:numFmt w:val="bullet"/>
      <w:pStyle w:val="111"/>
      <w:lvlText w:val=""/>
      <w:lvlJc w:val="left"/>
      <w:pPr>
        <w:tabs>
          <w:tab w:val="left" w:pos="840"/>
        </w:tabs>
        <w:ind w:left="840" w:hanging="420"/>
      </w:pPr>
      <w:rPr>
        <w:rFonts w:hint="default" w:ascii="Wingdings" w:hAnsi="Wingdings"/>
      </w:rPr>
    </w:lvl>
    <w:lvl w:ilvl="1" w:tentative="0">
      <w:start w:val="1"/>
      <w:numFmt w:val="bullet"/>
      <w:pStyle w:val="112"/>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9">
    <w:nsid w:val="1FFA4384"/>
    <w:multiLevelType w:val="singleLevel"/>
    <w:tmpl w:val="1FFA4384"/>
    <w:lvl w:ilvl="0" w:tentative="0">
      <w:start w:val="1"/>
      <w:numFmt w:val="decimal"/>
      <w:lvlText w:val="%1."/>
      <w:lvlJc w:val="left"/>
      <w:pPr>
        <w:tabs>
          <w:tab w:val="left" w:pos="312"/>
        </w:tabs>
      </w:pPr>
    </w:lvl>
  </w:abstractNum>
  <w:abstractNum w:abstractNumId="10">
    <w:nsid w:val="2F395B7B"/>
    <w:multiLevelType w:val="multilevel"/>
    <w:tmpl w:val="2F395B7B"/>
    <w:lvl w:ilvl="0" w:tentative="0">
      <w:start w:val="1"/>
      <w:numFmt w:val="bullet"/>
      <w:pStyle w:val="182"/>
      <w:lvlText w:val=""/>
      <w:lvlJc w:val="left"/>
      <w:pPr>
        <w:tabs>
          <w:tab w:val="left" w:pos="360"/>
        </w:tabs>
        <w:ind w:left="360" w:hanging="360"/>
      </w:pPr>
      <w:rPr>
        <w:rFonts w:hint="default" w:ascii="Symbol" w:hAnsi="Symbol"/>
      </w:rPr>
    </w:lvl>
    <w:lvl w:ilvl="1" w:tentative="0">
      <w:start w:val="1"/>
      <w:numFmt w:val="bullet"/>
      <w:lvlText w:val=""/>
      <w:lvlJc w:val="left"/>
      <w:pPr>
        <w:tabs>
          <w:tab w:val="left" w:pos="1140"/>
        </w:tabs>
        <w:ind w:left="1140" w:hanging="420"/>
      </w:pPr>
      <w:rPr>
        <w:rFonts w:hint="default" w:ascii="Wingdings" w:hAnsi="Wingdings"/>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rPr>
    </w:lvl>
    <w:lvl w:ilvl="8" w:tentative="0">
      <w:start w:val="1"/>
      <w:numFmt w:val="bullet"/>
      <w:lvlText w:val=""/>
      <w:lvlJc w:val="left"/>
      <w:pPr>
        <w:tabs>
          <w:tab w:val="left" w:pos="6120"/>
        </w:tabs>
        <w:ind w:left="6120" w:hanging="360"/>
      </w:pPr>
      <w:rPr>
        <w:rFonts w:hint="default" w:ascii="Wingdings" w:hAnsi="Wingdings"/>
      </w:rPr>
    </w:lvl>
  </w:abstractNum>
  <w:abstractNum w:abstractNumId="11">
    <w:nsid w:val="7AEF7716"/>
    <w:multiLevelType w:val="multilevel"/>
    <w:tmpl w:val="7AEF7716"/>
    <w:lvl w:ilvl="0" w:tentative="0">
      <w:start w:val="1"/>
      <w:numFmt w:val="chineseCountingThousand"/>
      <w:pStyle w:val="137"/>
      <w:lvlText w:val="%1"/>
      <w:lvlJc w:val="left"/>
      <w:pPr>
        <w:tabs>
          <w:tab w:val="left" w:pos="1290"/>
        </w:tabs>
        <w:ind w:left="630" w:hanging="420"/>
      </w:pPr>
      <w:rPr>
        <w:rFonts w:hint="eastAsia" w:cs="Times New Roman"/>
        <w:sz w:val="32"/>
        <w:szCs w:val="32"/>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4"/>
  </w:num>
  <w:num w:numId="2">
    <w:abstractNumId w:val="3"/>
  </w:num>
  <w:num w:numId="3">
    <w:abstractNumId w:val="8"/>
  </w:num>
  <w:num w:numId="4">
    <w:abstractNumId w:val="7"/>
  </w:num>
  <w:num w:numId="5">
    <w:abstractNumId w:val="11"/>
  </w:num>
  <w:num w:numId="6">
    <w:abstractNumId w:val="10"/>
  </w:num>
  <w:num w:numId="7">
    <w:abstractNumId w:val="0"/>
  </w:num>
  <w:num w:numId="8">
    <w:abstractNumId w:val="6"/>
  </w:num>
  <w:num w:numId="9">
    <w:abstractNumId w:val="9"/>
  </w:num>
  <w:num w:numId="10">
    <w:abstractNumId w:val="2"/>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U4Y2QyOGIwMzNjMzNhMzE0NTgxZDk0MGMxZTMwZjAifQ=="/>
  </w:docVars>
  <w:rsids>
    <w:rsidRoot w:val="00000000"/>
    <w:rsid w:val="011C014F"/>
    <w:rsid w:val="02016455"/>
    <w:rsid w:val="037F5D71"/>
    <w:rsid w:val="047944AE"/>
    <w:rsid w:val="0570558C"/>
    <w:rsid w:val="06E527EC"/>
    <w:rsid w:val="06E94E42"/>
    <w:rsid w:val="06FA74CE"/>
    <w:rsid w:val="094F01AF"/>
    <w:rsid w:val="09B666EC"/>
    <w:rsid w:val="0A3E4B9E"/>
    <w:rsid w:val="0ACB2AE8"/>
    <w:rsid w:val="0C6C454B"/>
    <w:rsid w:val="0D0D0276"/>
    <w:rsid w:val="0E0013EF"/>
    <w:rsid w:val="0FD3043D"/>
    <w:rsid w:val="10710382"/>
    <w:rsid w:val="12016853"/>
    <w:rsid w:val="12FB466A"/>
    <w:rsid w:val="13FB4611"/>
    <w:rsid w:val="13FB7F63"/>
    <w:rsid w:val="150826C0"/>
    <w:rsid w:val="150A2B53"/>
    <w:rsid w:val="16B234A2"/>
    <w:rsid w:val="178932DE"/>
    <w:rsid w:val="17D2722C"/>
    <w:rsid w:val="1880365D"/>
    <w:rsid w:val="199B021E"/>
    <w:rsid w:val="19C92FDD"/>
    <w:rsid w:val="1B430616"/>
    <w:rsid w:val="1E5F672D"/>
    <w:rsid w:val="201725C8"/>
    <w:rsid w:val="230C5CE8"/>
    <w:rsid w:val="23E74439"/>
    <w:rsid w:val="25845748"/>
    <w:rsid w:val="25875AFA"/>
    <w:rsid w:val="26262408"/>
    <w:rsid w:val="26E3376C"/>
    <w:rsid w:val="27693A21"/>
    <w:rsid w:val="28CF57EE"/>
    <w:rsid w:val="28F21696"/>
    <w:rsid w:val="2A583C4F"/>
    <w:rsid w:val="2ACF6883"/>
    <w:rsid w:val="2BE70E1A"/>
    <w:rsid w:val="2C9034E6"/>
    <w:rsid w:val="2D5C5ABE"/>
    <w:rsid w:val="2DAD5552"/>
    <w:rsid w:val="2F29790A"/>
    <w:rsid w:val="2F61782C"/>
    <w:rsid w:val="30EC0F07"/>
    <w:rsid w:val="34A83397"/>
    <w:rsid w:val="35067E71"/>
    <w:rsid w:val="363E2205"/>
    <w:rsid w:val="375909AC"/>
    <w:rsid w:val="38A65E3F"/>
    <w:rsid w:val="390C0398"/>
    <w:rsid w:val="3AEB29F5"/>
    <w:rsid w:val="3C157564"/>
    <w:rsid w:val="3F9A4950"/>
    <w:rsid w:val="3FEF3AB0"/>
    <w:rsid w:val="40FB76FB"/>
    <w:rsid w:val="428B1219"/>
    <w:rsid w:val="42B23D5F"/>
    <w:rsid w:val="42D92F5A"/>
    <w:rsid w:val="43210EE4"/>
    <w:rsid w:val="434C406B"/>
    <w:rsid w:val="43DD4C6D"/>
    <w:rsid w:val="44A92F3F"/>
    <w:rsid w:val="47723ABC"/>
    <w:rsid w:val="47DF1535"/>
    <w:rsid w:val="48F07A5E"/>
    <w:rsid w:val="49885819"/>
    <w:rsid w:val="4A0F3823"/>
    <w:rsid w:val="4A907D6A"/>
    <w:rsid w:val="4C431ECB"/>
    <w:rsid w:val="4CC6456C"/>
    <w:rsid w:val="4CF25395"/>
    <w:rsid w:val="51C969CF"/>
    <w:rsid w:val="540B3A76"/>
    <w:rsid w:val="546450D5"/>
    <w:rsid w:val="583C1E47"/>
    <w:rsid w:val="59821704"/>
    <w:rsid w:val="59C42947"/>
    <w:rsid w:val="5A6E6CB1"/>
    <w:rsid w:val="5B590DC3"/>
    <w:rsid w:val="5D284EF1"/>
    <w:rsid w:val="5D2B49E2"/>
    <w:rsid w:val="5ED30E8D"/>
    <w:rsid w:val="60745FCF"/>
    <w:rsid w:val="613F280A"/>
    <w:rsid w:val="659E12BD"/>
    <w:rsid w:val="65AD2600"/>
    <w:rsid w:val="66455DA1"/>
    <w:rsid w:val="68115A04"/>
    <w:rsid w:val="69F22AA0"/>
    <w:rsid w:val="6B551871"/>
    <w:rsid w:val="6CBE3BFE"/>
    <w:rsid w:val="6DF4576E"/>
    <w:rsid w:val="6F8A031E"/>
    <w:rsid w:val="71A72E09"/>
    <w:rsid w:val="72C14834"/>
    <w:rsid w:val="72E8136F"/>
    <w:rsid w:val="72F33A41"/>
    <w:rsid w:val="76866C66"/>
    <w:rsid w:val="76AA25C8"/>
    <w:rsid w:val="770A671E"/>
    <w:rsid w:val="783F628E"/>
    <w:rsid w:val="7BA5080C"/>
    <w:rsid w:val="7C563370"/>
    <w:rsid w:val="7CD9190C"/>
    <w:rsid w:val="7CF624BE"/>
    <w:rsid w:val="7F3B06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0"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qFormat="1" w:unhideWhenUsed="0" w:uiPriority="99" w:semiHidden="0" w:name="List Bullet"/>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iPriority="99" w:name="HTML Acronym" w:locked="1"/>
    <w:lsdException w:uiPriority="99" w:name="HTML Address" w:locked="1"/>
    <w:lsdException w:qFormat="1" w:uiPriority="99" w:name="HTML Cite" w:locked="1"/>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iPriority="99" w:name="HTML Typewriter" w:locked="1"/>
    <w:lsdException w:qFormat="1" w:uiPriority="99" w:name="HTML Variable" w:locked="1"/>
    <w:lsdException w:qFormat="1" w:uiPriority="99" w:name="Normal Table"/>
    <w:lsdException w:qFormat="1" w:unhideWhenUsed="0" w:uiPriority="99"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qFormat="1" w:unhideWhenUsed="0" w:uiPriority="99" w:semiHidden="0" w:name="Table Elegant"/>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3"/>
    <w:qFormat/>
    <w:uiPriority w:val="99"/>
    <w:pPr>
      <w:spacing w:before="340" w:after="330" w:line="360" w:lineRule="auto"/>
      <w:jc w:val="center"/>
      <w:outlineLvl w:val="0"/>
    </w:pPr>
    <w:rPr>
      <w:rFonts w:eastAsia="黑体"/>
      <w:kern w:val="44"/>
      <w:szCs w:val="44"/>
    </w:rPr>
  </w:style>
  <w:style w:type="paragraph" w:styleId="3">
    <w:name w:val="heading 2"/>
    <w:basedOn w:val="4"/>
    <w:next w:val="5"/>
    <w:link w:val="68"/>
    <w:qFormat/>
    <w:uiPriority w:val="99"/>
    <w:pPr>
      <w:adjustRightInd w:val="0"/>
      <w:jc w:val="center"/>
      <w:textAlignment w:val="baseline"/>
      <w:outlineLvl w:val="1"/>
    </w:pPr>
    <w:rPr>
      <w:kern w:val="0"/>
      <w:sz w:val="24"/>
      <w:szCs w:val="20"/>
    </w:rPr>
  </w:style>
  <w:style w:type="paragraph" w:styleId="4">
    <w:name w:val="heading 3"/>
    <w:basedOn w:val="1"/>
    <w:next w:val="1"/>
    <w:link w:val="69"/>
    <w:qFormat/>
    <w:uiPriority w:val="99"/>
    <w:pPr>
      <w:spacing w:before="260" w:after="260"/>
      <w:outlineLvl w:val="2"/>
    </w:pPr>
    <w:rPr>
      <w:rFonts w:ascii="宋体" w:hAnsi="宋体"/>
      <w:szCs w:val="32"/>
    </w:rPr>
  </w:style>
  <w:style w:type="paragraph" w:styleId="5">
    <w:name w:val="heading 4"/>
    <w:basedOn w:val="1"/>
    <w:next w:val="1"/>
    <w:link w:val="70"/>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7"/>
    <w:link w:val="71"/>
    <w:qFormat/>
    <w:uiPriority w:val="99"/>
    <w:pPr>
      <w:keepNext/>
      <w:keepLines/>
      <w:spacing w:before="280" w:after="290" w:line="376" w:lineRule="auto"/>
      <w:outlineLvl w:val="4"/>
    </w:pPr>
    <w:rPr>
      <w:b/>
      <w:sz w:val="28"/>
      <w:szCs w:val="20"/>
    </w:rPr>
  </w:style>
  <w:style w:type="paragraph" w:styleId="8">
    <w:name w:val="heading 6"/>
    <w:basedOn w:val="1"/>
    <w:next w:val="7"/>
    <w:link w:val="72"/>
    <w:qFormat/>
    <w:uiPriority w:val="99"/>
    <w:pPr>
      <w:keepNext/>
      <w:keepLines/>
      <w:spacing w:before="240" w:after="64" w:line="320" w:lineRule="auto"/>
      <w:outlineLvl w:val="5"/>
    </w:pPr>
    <w:rPr>
      <w:rFonts w:ascii="Arial" w:hAnsi="Arial" w:eastAsia="黑体"/>
      <w:b/>
      <w:sz w:val="24"/>
      <w:szCs w:val="20"/>
    </w:rPr>
  </w:style>
  <w:style w:type="paragraph" w:styleId="9">
    <w:name w:val="heading 7"/>
    <w:basedOn w:val="1"/>
    <w:next w:val="7"/>
    <w:link w:val="73"/>
    <w:qFormat/>
    <w:uiPriority w:val="99"/>
    <w:pPr>
      <w:keepNext/>
      <w:keepLines/>
      <w:spacing w:before="240" w:after="64" w:line="320" w:lineRule="auto"/>
      <w:outlineLvl w:val="6"/>
    </w:pPr>
    <w:rPr>
      <w:b/>
      <w:sz w:val="24"/>
      <w:szCs w:val="20"/>
    </w:rPr>
  </w:style>
  <w:style w:type="paragraph" w:styleId="10">
    <w:name w:val="heading 8"/>
    <w:basedOn w:val="1"/>
    <w:next w:val="7"/>
    <w:link w:val="74"/>
    <w:qFormat/>
    <w:uiPriority w:val="99"/>
    <w:pPr>
      <w:keepNext/>
      <w:keepLines/>
      <w:spacing w:before="240" w:after="64" w:line="320" w:lineRule="auto"/>
      <w:outlineLvl w:val="7"/>
    </w:pPr>
    <w:rPr>
      <w:rFonts w:ascii="Arial" w:hAnsi="Arial" w:eastAsia="黑体"/>
      <w:sz w:val="24"/>
      <w:szCs w:val="20"/>
    </w:rPr>
  </w:style>
  <w:style w:type="paragraph" w:styleId="11">
    <w:name w:val="heading 9"/>
    <w:basedOn w:val="1"/>
    <w:next w:val="7"/>
    <w:link w:val="75"/>
    <w:qFormat/>
    <w:uiPriority w:val="99"/>
    <w:pPr>
      <w:keepNext/>
      <w:keepLines/>
      <w:spacing w:before="240" w:after="64" w:line="320"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96"/>
    <w:qFormat/>
    <w:uiPriority w:val="99"/>
    <w:pPr>
      <w:ind w:firstLine="420"/>
    </w:pPr>
    <w:rPr>
      <w:szCs w:val="20"/>
    </w:rPr>
  </w:style>
  <w:style w:type="paragraph" w:styleId="12">
    <w:name w:val="toc 7"/>
    <w:basedOn w:val="1"/>
    <w:next w:val="1"/>
    <w:semiHidden/>
    <w:qFormat/>
    <w:uiPriority w:val="99"/>
    <w:pPr>
      <w:ind w:left="1260"/>
      <w:jc w:val="left"/>
    </w:pPr>
    <w:rPr>
      <w:szCs w:val="21"/>
    </w:rPr>
  </w:style>
  <w:style w:type="paragraph" w:styleId="13">
    <w:name w:val="caption"/>
    <w:basedOn w:val="1"/>
    <w:next w:val="1"/>
    <w:qFormat/>
    <w:uiPriority w:val="99"/>
    <w:pPr>
      <w:widowControl/>
      <w:spacing w:line="360" w:lineRule="auto"/>
      <w:ind w:firstLine="1940" w:firstLineChars="920"/>
      <w:jc w:val="left"/>
    </w:pPr>
    <w:rPr>
      <w:rFonts w:ascii="宋体" w:hAnsi="宋体"/>
      <w:b/>
      <w:bCs/>
      <w:kern w:val="0"/>
      <w:sz w:val="20"/>
      <w:szCs w:val="20"/>
    </w:rPr>
  </w:style>
  <w:style w:type="paragraph" w:styleId="14">
    <w:name w:val="List Bullet"/>
    <w:basedOn w:val="1"/>
    <w:qFormat/>
    <w:uiPriority w:val="99"/>
    <w:pPr>
      <w:numPr>
        <w:ilvl w:val="0"/>
        <w:numId w:val="1"/>
      </w:numPr>
      <w:ind w:hanging="200" w:hangingChars="200"/>
    </w:pPr>
    <w:rPr>
      <w:szCs w:val="20"/>
    </w:rPr>
  </w:style>
  <w:style w:type="paragraph" w:styleId="15">
    <w:name w:val="Document Map"/>
    <w:basedOn w:val="1"/>
    <w:link w:val="78"/>
    <w:semiHidden/>
    <w:qFormat/>
    <w:uiPriority w:val="99"/>
    <w:pPr>
      <w:shd w:val="clear" w:color="auto" w:fill="000080"/>
    </w:pPr>
  </w:style>
  <w:style w:type="paragraph" w:styleId="16">
    <w:name w:val="annotation text"/>
    <w:basedOn w:val="1"/>
    <w:link w:val="79"/>
    <w:qFormat/>
    <w:uiPriority w:val="99"/>
    <w:pPr>
      <w:autoSpaceDE w:val="0"/>
      <w:autoSpaceDN w:val="0"/>
      <w:adjustRightInd w:val="0"/>
      <w:jc w:val="left"/>
      <w:textAlignment w:val="baseline"/>
    </w:pPr>
    <w:rPr>
      <w:rFonts w:ascii="宋体"/>
      <w:kern w:val="0"/>
      <w:sz w:val="34"/>
      <w:szCs w:val="20"/>
    </w:rPr>
  </w:style>
  <w:style w:type="paragraph" w:styleId="17">
    <w:name w:val="Body Text 3"/>
    <w:basedOn w:val="1"/>
    <w:link w:val="80"/>
    <w:qFormat/>
    <w:uiPriority w:val="99"/>
    <w:pPr>
      <w:spacing w:after="120"/>
    </w:pPr>
    <w:rPr>
      <w:sz w:val="16"/>
      <w:szCs w:val="16"/>
    </w:rPr>
  </w:style>
  <w:style w:type="paragraph" w:styleId="18">
    <w:name w:val="Body Text"/>
    <w:basedOn w:val="1"/>
    <w:next w:val="1"/>
    <w:link w:val="81"/>
    <w:qFormat/>
    <w:uiPriority w:val="99"/>
    <w:pPr>
      <w:spacing w:line="360" w:lineRule="auto"/>
    </w:pPr>
    <w:rPr>
      <w:b/>
      <w:bCs/>
      <w:sz w:val="24"/>
    </w:rPr>
  </w:style>
  <w:style w:type="paragraph" w:styleId="19">
    <w:name w:val="Body Text Indent"/>
    <w:basedOn w:val="1"/>
    <w:link w:val="76"/>
    <w:qFormat/>
    <w:uiPriority w:val="99"/>
    <w:pPr>
      <w:spacing w:line="360" w:lineRule="auto"/>
      <w:ind w:firstLine="420" w:firstLineChars="200"/>
    </w:pPr>
  </w:style>
  <w:style w:type="paragraph" w:styleId="20">
    <w:name w:val="toc 5"/>
    <w:basedOn w:val="1"/>
    <w:next w:val="1"/>
    <w:semiHidden/>
    <w:qFormat/>
    <w:uiPriority w:val="99"/>
    <w:pPr>
      <w:ind w:left="840"/>
      <w:jc w:val="left"/>
    </w:pPr>
    <w:rPr>
      <w:szCs w:val="21"/>
    </w:rPr>
  </w:style>
  <w:style w:type="paragraph" w:styleId="21">
    <w:name w:val="toc 3"/>
    <w:basedOn w:val="1"/>
    <w:next w:val="1"/>
    <w:semiHidden/>
    <w:qFormat/>
    <w:uiPriority w:val="99"/>
    <w:pPr>
      <w:ind w:left="420"/>
      <w:jc w:val="left"/>
    </w:pPr>
    <w:rPr>
      <w:i/>
      <w:iCs/>
    </w:rPr>
  </w:style>
  <w:style w:type="paragraph" w:styleId="22">
    <w:name w:val="Plain Text"/>
    <w:basedOn w:val="1"/>
    <w:link w:val="82"/>
    <w:qFormat/>
    <w:uiPriority w:val="99"/>
    <w:rPr>
      <w:rFonts w:ascii="宋体" w:hAnsi="Courier New"/>
      <w:szCs w:val="20"/>
    </w:rPr>
  </w:style>
  <w:style w:type="paragraph" w:styleId="23">
    <w:name w:val="toc 8"/>
    <w:basedOn w:val="1"/>
    <w:next w:val="1"/>
    <w:semiHidden/>
    <w:qFormat/>
    <w:uiPriority w:val="99"/>
    <w:pPr>
      <w:ind w:left="1470"/>
      <w:jc w:val="left"/>
    </w:pPr>
    <w:rPr>
      <w:szCs w:val="21"/>
    </w:rPr>
  </w:style>
  <w:style w:type="paragraph" w:styleId="24">
    <w:name w:val="Date"/>
    <w:basedOn w:val="1"/>
    <w:next w:val="1"/>
    <w:link w:val="83"/>
    <w:qFormat/>
    <w:uiPriority w:val="99"/>
    <w:rPr>
      <w:rFonts w:ascii="宋体" w:hAnsi="Courier New"/>
      <w:sz w:val="32"/>
      <w:szCs w:val="20"/>
    </w:rPr>
  </w:style>
  <w:style w:type="paragraph" w:styleId="25">
    <w:name w:val="Body Text Indent 2"/>
    <w:basedOn w:val="1"/>
    <w:link w:val="84"/>
    <w:qFormat/>
    <w:uiPriority w:val="99"/>
    <w:pPr>
      <w:spacing w:beforeLines="50" w:afterLines="50" w:line="120" w:lineRule="auto"/>
      <w:ind w:firstLine="840" w:firstLineChars="400"/>
      <w:jc w:val="left"/>
    </w:pPr>
    <w:rPr>
      <w:rFonts w:ascii="宋体" w:hAnsi="宋体"/>
    </w:rPr>
  </w:style>
  <w:style w:type="paragraph" w:styleId="26">
    <w:name w:val="Balloon Text"/>
    <w:basedOn w:val="1"/>
    <w:link w:val="85"/>
    <w:semiHidden/>
    <w:qFormat/>
    <w:uiPriority w:val="99"/>
    <w:rPr>
      <w:sz w:val="18"/>
      <w:szCs w:val="18"/>
    </w:rPr>
  </w:style>
  <w:style w:type="paragraph" w:styleId="27">
    <w:name w:val="footer"/>
    <w:basedOn w:val="1"/>
    <w:link w:val="86"/>
    <w:qFormat/>
    <w:uiPriority w:val="99"/>
    <w:pPr>
      <w:tabs>
        <w:tab w:val="center" w:pos="4153"/>
        <w:tab w:val="right" w:pos="8306"/>
      </w:tabs>
      <w:snapToGrid w:val="0"/>
      <w:jc w:val="left"/>
    </w:pPr>
    <w:rPr>
      <w:sz w:val="18"/>
      <w:szCs w:val="18"/>
    </w:rPr>
  </w:style>
  <w:style w:type="paragraph" w:styleId="28">
    <w:name w:val="header"/>
    <w:basedOn w:val="1"/>
    <w:next w:val="1"/>
    <w:link w:val="87"/>
    <w:qFormat/>
    <w:uiPriority w:val="99"/>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99"/>
    <w:pPr>
      <w:spacing w:before="120" w:after="120"/>
      <w:jc w:val="left"/>
    </w:pPr>
    <w:rPr>
      <w:b/>
      <w:bCs/>
      <w:caps/>
    </w:rPr>
  </w:style>
  <w:style w:type="paragraph" w:styleId="30">
    <w:name w:val="toc 4"/>
    <w:basedOn w:val="1"/>
    <w:next w:val="1"/>
    <w:semiHidden/>
    <w:qFormat/>
    <w:uiPriority w:val="99"/>
    <w:pPr>
      <w:ind w:left="630"/>
      <w:jc w:val="left"/>
    </w:pPr>
    <w:rPr>
      <w:szCs w:val="21"/>
    </w:rPr>
  </w:style>
  <w:style w:type="paragraph" w:styleId="31">
    <w:name w:val="Subtitle"/>
    <w:basedOn w:val="1"/>
    <w:next w:val="1"/>
    <w:link w:val="88"/>
    <w:qFormat/>
    <w:uiPriority w:val="99"/>
    <w:pPr>
      <w:widowControl/>
      <w:wordWrap w:val="0"/>
      <w:spacing w:after="60"/>
      <w:jc w:val="center"/>
    </w:pPr>
    <w:rPr>
      <w:rFonts w:ascii="Calibri" w:hAnsi="Calibri"/>
      <w:kern w:val="0"/>
      <w:sz w:val="24"/>
      <w:szCs w:val="20"/>
    </w:rPr>
  </w:style>
  <w:style w:type="paragraph" w:styleId="32">
    <w:name w:val="toc 6"/>
    <w:basedOn w:val="1"/>
    <w:next w:val="1"/>
    <w:semiHidden/>
    <w:qFormat/>
    <w:uiPriority w:val="99"/>
    <w:pPr>
      <w:ind w:left="1050"/>
      <w:jc w:val="left"/>
    </w:pPr>
    <w:rPr>
      <w:szCs w:val="21"/>
    </w:rPr>
  </w:style>
  <w:style w:type="paragraph" w:styleId="33">
    <w:name w:val="Body Text Indent 3"/>
    <w:basedOn w:val="1"/>
    <w:link w:val="89"/>
    <w:qFormat/>
    <w:uiPriority w:val="99"/>
    <w:pPr>
      <w:spacing w:line="360" w:lineRule="auto"/>
      <w:ind w:firstLine="482" w:firstLineChars="200"/>
    </w:pPr>
    <w:rPr>
      <w:rFonts w:ascii="宋体"/>
      <w:b/>
      <w:bCs/>
      <w:sz w:val="24"/>
    </w:rPr>
  </w:style>
  <w:style w:type="paragraph" w:styleId="34">
    <w:name w:val="toc 2"/>
    <w:basedOn w:val="1"/>
    <w:next w:val="1"/>
    <w:semiHidden/>
    <w:qFormat/>
    <w:uiPriority w:val="99"/>
    <w:pPr>
      <w:tabs>
        <w:tab w:val="right" w:leader="dot" w:pos="8296"/>
      </w:tabs>
      <w:ind w:left="210"/>
      <w:jc w:val="left"/>
    </w:pPr>
    <w:rPr>
      <w:smallCaps/>
    </w:rPr>
  </w:style>
  <w:style w:type="paragraph" w:styleId="35">
    <w:name w:val="toc 9"/>
    <w:basedOn w:val="1"/>
    <w:next w:val="1"/>
    <w:semiHidden/>
    <w:qFormat/>
    <w:uiPriority w:val="99"/>
    <w:pPr>
      <w:ind w:left="1680"/>
      <w:jc w:val="left"/>
    </w:pPr>
    <w:rPr>
      <w:szCs w:val="21"/>
    </w:rPr>
  </w:style>
  <w:style w:type="paragraph" w:styleId="36">
    <w:name w:val="Body Text 2"/>
    <w:basedOn w:val="1"/>
    <w:link w:val="90"/>
    <w:qFormat/>
    <w:uiPriority w:val="99"/>
    <w:pPr>
      <w:spacing w:line="360" w:lineRule="auto"/>
    </w:pPr>
    <w:rPr>
      <w:sz w:val="24"/>
    </w:rPr>
  </w:style>
  <w:style w:type="paragraph" w:styleId="37">
    <w:name w:val="HTML Preformatted"/>
    <w:basedOn w:val="1"/>
    <w:link w:val="9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color w:val="000000"/>
      <w:kern w:val="0"/>
      <w:sz w:val="20"/>
      <w:szCs w:val="20"/>
    </w:rPr>
  </w:style>
  <w:style w:type="paragraph" w:styleId="38">
    <w:name w:val="Normal (Web)"/>
    <w:basedOn w:val="1"/>
    <w:qFormat/>
    <w:uiPriority w:val="99"/>
    <w:pPr>
      <w:spacing w:beforeAutospacing="1" w:afterAutospacing="1"/>
      <w:jc w:val="left"/>
    </w:pPr>
    <w:rPr>
      <w:kern w:val="0"/>
      <w:sz w:val="24"/>
    </w:rPr>
  </w:style>
  <w:style w:type="paragraph" w:styleId="39">
    <w:name w:val="index 1"/>
    <w:basedOn w:val="1"/>
    <w:next w:val="1"/>
    <w:semiHidden/>
    <w:qFormat/>
    <w:uiPriority w:val="99"/>
    <w:pPr>
      <w:tabs>
        <w:tab w:val="left" w:pos="3360"/>
      </w:tabs>
      <w:spacing w:line="520" w:lineRule="exact"/>
      <w:ind w:left="419" w:leftChars="50" w:hanging="314" w:hangingChars="131"/>
      <w:jc w:val="center"/>
      <w:outlineLvl w:val="3"/>
    </w:pPr>
    <w:rPr>
      <w:rFonts w:ascii="宋体" w:hAnsi="宋体"/>
      <w:sz w:val="24"/>
    </w:rPr>
  </w:style>
  <w:style w:type="paragraph" w:styleId="40">
    <w:name w:val="Title"/>
    <w:basedOn w:val="1"/>
    <w:link w:val="92"/>
    <w:qFormat/>
    <w:uiPriority w:val="99"/>
    <w:pPr>
      <w:spacing w:before="240" w:after="60"/>
      <w:jc w:val="center"/>
      <w:outlineLvl w:val="0"/>
    </w:pPr>
    <w:rPr>
      <w:rFonts w:ascii="Arial" w:hAnsi="Arial" w:eastAsia="隶书" w:cs="Arial"/>
      <w:b/>
      <w:bCs/>
      <w:sz w:val="32"/>
      <w:szCs w:val="32"/>
    </w:rPr>
  </w:style>
  <w:style w:type="paragraph" w:styleId="41">
    <w:name w:val="annotation subject"/>
    <w:basedOn w:val="16"/>
    <w:next w:val="16"/>
    <w:link w:val="93"/>
    <w:qFormat/>
    <w:uiPriority w:val="99"/>
    <w:pPr>
      <w:autoSpaceDE/>
      <w:autoSpaceDN/>
      <w:adjustRightInd/>
      <w:textAlignment w:val="auto"/>
    </w:pPr>
    <w:rPr>
      <w:rFonts w:ascii="Times New Roman"/>
      <w:b/>
      <w:bCs/>
      <w:kern w:val="2"/>
      <w:sz w:val="21"/>
      <w:szCs w:val="24"/>
    </w:rPr>
  </w:style>
  <w:style w:type="paragraph" w:styleId="42">
    <w:name w:val="Body Text First Indent"/>
    <w:basedOn w:val="18"/>
    <w:link w:val="94"/>
    <w:qFormat/>
    <w:uiPriority w:val="99"/>
    <w:pPr>
      <w:spacing w:after="120" w:line="240" w:lineRule="auto"/>
      <w:ind w:firstLine="420" w:firstLineChars="100"/>
    </w:pPr>
    <w:rPr>
      <w:sz w:val="21"/>
    </w:rPr>
  </w:style>
  <w:style w:type="paragraph" w:styleId="43">
    <w:name w:val="Body Text First Indent 2"/>
    <w:basedOn w:val="19"/>
    <w:link w:val="77"/>
    <w:qFormat/>
    <w:uiPriority w:val="99"/>
    <w:rPr>
      <w:rFonts w:ascii="Calibri" w:hAnsi="Calibri"/>
    </w:rPr>
  </w:style>
  <w:style w:type="table" w:styleId="45">
    <w:name w:val="Table Grid"/>
    <w:basedOn w:val="4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6">
    <w:name w:val="Table Elegant"/>
    <w:basedOn w:val="44"/>
    <w:qFormat/>
    <w:uiPriority w:val="99"/>
    <w:pPr>
      <w:widowControl w:val="0"/>
      <w:jc w:val="both"/>
    </w:pPr>
    <w:rPr>
      <w:rFonts w:ascii="Calibri" w:hAnsi="Calibri"/>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rFonts w:cs="Times New Roman"/>
        <w:caps/>
        <w:color w:val="auto"/>
      </w:rPr>
      <w:tblPr/>
      <w:tcPr>
        <w:tcBorders>
          <w:top w:val="nil"/>
          <w:left w:val="nil"/>
          <w:bottom w:val="nil"/>
          <w:right w:val="nil"/>
          <w:insideH w:val="nil"/>
          <w:insideV w:val="nil"/>
          <w:tl2br w:val="nil"/>
          <w:tr2bl w:val="nil"/>
        </w:tcBorders>
      </w:tcPr>
    </w:tblStylePr>
  </w:style>
  <w:style w:type="character" w:styleId="48">
    <w:name w:val="Strong"/>
    <w:qFormat/>
    <w:uiPriority w:val="99"/>
    <w:rPr>
      <w:rFonts w:cs="Times New Roman"/>
      <w:b/>
    </w:rPr>
  </w:style>
  <w:style w:type="character" w:styleId="49">
    <w:name w:val="page number"/>
    <w:qFormat/>
    <w:uiPriority w:val="99"/>
    <w:rPr>
      <w:rFonts w:cs="Times New Roman"/>
    </w:rPr>
  </w:style>
  <w:style w:type="character" w:styleId="50">
    <w:name w:val="FollowedHyperlink"/>
    <w:qFormat/>
    <w:uiPriority w:val="99"/>
    <w:rPr>
      <w:rFonts w:cs="Times New Roman"/>
      <w:color w:val="800080"/>
      <w:u w:val="single"/>
    </w:rPr>
  </w:style>
  <w:style w:type="character" w:styleId="51">
    <w:name w:val="Emphasis"/>
    <w:qFormat/>
    <w:uiPriority w:val="99"/>
    <w:rPr>
      <w:rFonts w:cs="Times New Roman"/>
      <w:sz w:val="20"/>
    </w:rPr>
  </w:style>
  <w:style w:type="character" w:styleId="52">
    <w:name w:val="HTML Definition"/>
    <w:qFormat/>
    <w:uiPriority w:val="99"/>
    <w:rPr>
      <w:rFonts w:cs="Times New Roman"/>
      <w:i/>
    </w:rPr>
  </w:style>
  <w:style w:type="character" w:styleId="53">
    <w:name w:val="HTML Typewriter"/>
    <w:basedOn w:val="47"/>
    <w:semiHidden/>
    <w:unhideWhenUsed/>
    <w:qFormat/>
    <w:locked/>
    <w:uiPriority w:val="99"/>
    <w:rPr>
      <w:rFonts w:ascii="monospace" w:hAnsi="monospace" w:eastAsia="monospace" w:cs="monospace"/>
      <w:sz w:val="20"/>
    </w:rPr>
  </w:style>
  <w:style w:type="character" w:styleId="54">
    <w:name w:val="HTML Acronym"/>
    <w:basedOn w:val="47"/>
    <w:semiHidden/>
    <w:unhideWhenUsed/>
    <w:qFormat/>
    <w:locked/>
    <w:uiPriority w:val="99"/>
  </w:style>
  <w:style w:type="character" w:styleId="55">
    <w:name w:val="HTML Variable"/>
    <w:basedOn w:val="47"/>
    <w:semiHidden/>
    <w:unhideWhenUsed/>
    <w:qFormat/>
    <w:locked/>
    <w:uiPriority w:val="99"/>
  </w:style>
  <w:style w:type="character" w:styleId="56">
    <w:name w:val="Hyperlink"/>
    <w:basedOn w:val="47"/>
    <w:qFormat/>
    <w:uiPriority w:val="99"/>
    <w:rPr>
      <w:rFonts w:cs="Times New Roman"/>
      <w:color w:val="0000FF"/>
      <w:u w:val="single"/>
    </w:rPr>
  </w:style>
  <w:style w:type="character" w:styleId="57">
    <w:name w:val="HTML Code"/>
    <w:qFormat/>
    <w:uiPriority w:val="99"/>
    <w:rPr>
      <w:rFonts w:ascii="Consolas" w:hAnsi="Consolas" w:cs="Consolas"/>
      <w:color w:val="C7254E"/>
      <w:sz w:val="21"/>
      <w:szCs w:val="21"/>
      <w:shd w:val="clear" w:color="auto" w:fill="F9F2F4"/>
    </w:rPr>
  </w:style>
  <w:style w:type="character" w:styleId="58">
    <w:name w:val="annotation reference"/>
    <w:qFormat/>
    <w:uiPriority w:val="0"/>
    <w:rPr>
      <w:rFonts w:cs="Times New Roman"/>
      <w:sz w:val="21"/>
      <w:szCs w:val="21"/>
    </w:rPr>
  </w:style>
  <w:style w:type="character" w:styleId="59">
    <w:name w:val="HTML Cite"/>
    <w:basedOn w:val="47"/>
    <w:semiHidden/>
    <w:unhideWhenUsed/>
    <w:qFormat/>
    <w:locked/>
    <w:uiPriority w:val="99"/>
  </w:style>
  <w:style w:type="character" w:styleId="60">
    <w:name w:val="HTML Keyboard"/>
    <w:qFormat/>
    <w:uiPriority w:val="99"/>
    <w:rPr>
      <w:rFonts w:ascii="Consolas" w:hAnsi="Consolas" w:cs="Consolas"/>
      <w:color w:val="FFFFFF"/>
      <w:sz w:val="21"/>
      <w:szCs w:val="21"/>
      <w:shd w:val="clear" w:color="auto" w:fill="333333"/>
    </w:rPr>
  </w:style>
  <w:style w:type="character" w:styleId="61">
    <w:name w:val="HTML Sample"/>
    <w:qFormat/>
    <w:uiPriority w:val="99"/>
    <w:rPr>
      <w:rFonts w:ascii="Consolas" w:hAnsi="Consolas" w:cs="Consolas"/>
      <w:sz w:val="21"/>
      <w:szCs w:val="21"/>
    </w:rPr>
  </w:style>
  <w:style w:type="paragraph" w:customStyle="1" w:styleId="62">
    <w:name w:val="Default"/>
    <w:qFormat/>
    <w:uiPriority w:val="99"/>
    <w:pPr>
      <w:widowControl w:val="0"/>
      <w:autoSpaceDE w:val="0"/>
      <w:autoSpaceDN w:val="0"/>
      <w:adjustRightInd w:val="0"/>
    </w:pPr>
    <w:rPr>
      <w:rFonts w:ascii="H Yb 2gj" w:hAnsi="Times New Roman" w:eastAsia="H Yb 2gj" w:cs="H Yb 2gj"/>
      <w:color w:val="000000"/>
      <w:sz w:val="24"/>
      <w:szCs w:val="24"/>
      <w:lang w:val="en-US" w:eastAsia="zh-CN" w:bidi="ar-SA"/>
    </w:rPr>
  </w:style>
  <w:style w:type="character" w:customStyle="1" w:styleId="63">
    <w:name w:val="标题 1 Char"/>
    <w:link w:val="2"/>
    <w:qFormat/>
    <w:locked/>
    <w:uiPriority w:val="99"/>
    <w:rPr>
      <w:rFonts w:ascii="宋体" w:hAnsi="宋体" w:eastAsia="黑体" w:cs="Times New Roman"/>
      <w:b/>
      <w:kern w:val="44"/>
      <w:sz w:val="44"/>
      <w:lang w:val="en-US" w:eastAsia="zh-CN"/>
    </w:rPr>
  </w:style>
  <w:style w:type="character" w:customStyle="1" w:styleId="64">
    <w:name w:val="标题 3 Char"/>
    <w:qFormat/>
    <w:uiPriority w:val="99"/>
    <w:rPr>
      <w:rFonts w:ascii="黑体" w:eastAsia="黑体"/>
      <w:sz w:val="30"/>
    </w:rPr>
  </w:style>
  <w:style w:type="paragraph" w:customStyle="1" w:styleId="65">
    <w:name w:val="样式1"/>
    <w:basedOn w:val="40"/>
    <w:next w:val="1"/>
    <w:qFormat/>
    <w:uiPriority w:val="99"/>
    <w:pPr>
      <w:spacing w:before="120" w:after="120"/>
    </w:pPr>
    <w:rPr>
      <w:rFonts w:eastAsia="黑体"/>
      <w:b w:val="0"/>
      <w:sz w:val="30"/>
      <w:szCs w:val="21"/>
    </w:rPr>
  </w:style>
  <w:style w:type="paragraph" w:customStyle="1" w:styleId="66">
    <w:name w:val="Heading2"/>
    <w:basedOn w:val="1"/>
    <w:next w:val="1"/>
    <w:qFormat/>
    <w:uiPriority w:val="0"/>
    <w:pPr>
      <w:keepNext/>
      <w:keepLines/>
      <w:spacing w:before="260" w:after="260" w:line="416" w:lineRule="auto"/>
      <w:textAlignment w:val="baseline"/>
    </w:pPr>
    <w:rPr>
      <w:rFonts w:ascii="Arial" w:hAnsi="Arial" w:eastAsia="黑体"/>
      <w:b/>
      <w:bCs/>
      <w:sz w:val="32"/>
      <w:szCs w:val="32"/>
    </w:rPr>
  </w:style>
  <w:style w:type="paragraph" w:customStyle="1" w:styleId="67">
    <w:name w:val="文档正文"/>
    <w:basedOn w:val="1"/>
    <w:qFormat/>
    <w:uiPriority w:val="99"/>
    <w:pPr>
      <w:adjustRightInd w:val="0"/>
      <w:spacing w:line="480" w:lineRule="atLeast"/>
      <w:ind w:firstLine="567" w:firstLineChars="200"/>
      <w:textAlignment w:val="baseline"/>
    </w:pPr>
    <w:rPr>
      <w:rFonts w:ascii="长城仿宋"/>
      <w:kern w:val="0"/>
      <w:szCs w:val="20"/>
    </w:rPr>
  </w:style>
  <w:style w:type="character" w:customStyle="1" w:styleId="68">
    <w:name w:val="标题 2 Char"/>
    <w:link w:val="3"/>
    <w:qFormat/>
    <w:locked/>
    <w:uiPriority w:val="99"/>
    <w:rPr>
      <w:rFonts w:ascii="宋体" w:hAnsi="宋体" w:eastAsia="宋体" w:cs="Times New Roman"/>
      <w:b/>
      <w:sz w:val="24"/>
      <w:lang w:val="en-US" w:eastAsia="zh-CN"/>
    </w:rPr>
  </w:style>
  <w:style w:type="character" w:customStyle="1" w:styleId="69">
    <w:name w:val="标题 3 Char1"/>
    <w:link w:val="4"/>
    <w:qFormat/>
    <w:locked/>
    <w:uiPriority w:val="99"/>
    <w:rPr>
      <w:rFonts w:ascii="宋体" w:hAnsi="宋体" w:eastAsia="宋体" w:cs="Times New Roman"/>
      <w:b/>
      <w:kern w:val="2"/>
      <w:sz w:val="32"/>
      <w:lang w:val="en-US" w:eastAsia="zh-CN"/>
    </w:rPr>
  </w:style>
  <w:style w:type="character" w:customStyle="1" w:styleId="70">
    <w:name w:val="标题 4 Char"/>
    <w:link w:val="5"/>
    <w:qFormat/>
    <w:locked/>
    <w:uiPriority w:val="99"/>
    <w:rPr>
      <w:rFonts w:ascii="Arial" w:hAnsi="Arial" w:eastAsia="黑体" w:cs="Times New Roman"/>
      <w:b/>
      <w:kern w:val="2"/>
      <w:sz w:val="28"/>
      <w:lang w:val="en-US" w:eastAsia="zh-CN"/>
    </w:rPr>
  </w:style>
  <w:style w:type="character" w:customStyle="1" w:styleId="71">
    <w:name w:val="标题 5 Char"/>
    <w:link w:val="6"/>
    <w:qFormat/>
    <w:locked/>
    <w:uiPriority w:val="99"/>
    <w:rPr>
      <w:rFonts w:eastAsia="宋体" w:cs="Times New Roman"/>
      <w:b/>
      <w:kern w:val="2"/>
      <w:sz w:val="28"/>
      <w:lang w:val="en-US" w:eastAsia="zh-CN"/>
    </w:rPr>
  </w:style>
  <w:style w:type="character" w:customStyle="1" w:styleId="72">
    <w:name w:val="标题 6 Char"/>
    <w:link w:val="8"/>
    <w:qFormat/>
    <w:locked/>
    <w:uiPriority w:val="99"/>
    <w:rPr>
      <w:rFonts w:ascii="Arial" w:hAnsi="Arial" w:eastAsia="黑体" w:cs="Times New Roman"/>
      <w:b/>
      <w:kern w:val="2"/>
      <w:sz w:val="24"/>
      <w:lang w:val="en-US" w:eastAsia="zh-CN"/>
    </w:rPr>
  </w:style>
  <w:style w:type="character" w:customStyle="1" w:styleId="73">
    <w:name w:val="标题 7 Char"/>
    <w:link w:val="9"/>
    <w:qFormat/>
    <w:locked/>
    <w:uiPriority w:val="99"/>
    <w:rPr>
      <w:rFonts w:eastAsia="宋体" w:cs="Times New Roman"/>
      <w:b/>
      <w:kern w:val="2"/>
      <w:sz w:val="24"/>
      <w:lang w:val="en-US" w:eastAsia="zh-CN"/>
    </w:rPr>
  </w:style>
  <w:style w:type="character" w:customStyle="1" w:styleId="74">
    <w:name w:val="标题 8 Char"/>
    <w:link w:val="10"/>
    <w:qFormat/>
    <w:locked/>
    <w:uiPriority w:val="99"/>
    <w:rPr>
      <w:rFonts w:ascii="Arial" w:hAnsi="Arial" w:eastAsia="黑体" w:cs="Times New Roman"/>
      <w:kern w:val="2"/>
      <w:sz w:val="24"/>
      <w:lang w:val="en-US" w:eastAsia="zh-CN"/>
    </w:rPr>
  </w:style>
  <w:style w:type="character" w:customStyle="1" w:styleId="75">
    <w:name w:val="标题 9 Char"/>
    <w:link w:val="11"/>
    <w:qFormat/>
    <w:locked/>
    <w:uiPriority w:val="99"/>
    <w:rPr>
      <w:rFonts w:ascii="Arial" w:hAnsi="Arial" w:eastAsia="黑体" w:cs="Times New Roman"/>
      <w:kern w:val="2"/>
      <w:sz w:val="21"/>
      <w:lang w:val="en-US" w:eastAsia="zh-CN"/>
    </w:rPr>
  </w:style>
  <w:style w:type="character" w:customStyle="1" w:styleId="76">
    <w:name w:val="正文文本缩进 Char"/>
    <w:link w:val="19"/>
    <w:qFormat/>
    <w:locked/>
    <w:uiPriority w:val="99"/>
    <w:rPr>
      <w:rFonts w:eastAsia="宋体" w:cs="Times New Roman"/>
      <w:kern w:val="2"/>
      <w:sz w:val="24"/>
      <w:lang w:val="en-US" w:eastAsia="zh-CN"/>
    </w:rPr>
  </w:style>
  <w:style w:type="character" w:customStyle="1" w:styleId="77">
    <w:name w:val="正文首行缩进 2 Char"/>
    <w:link w:val="43"/>
    <w:semiHidden/>
    <w:qFormat/>
    <w:locked/>
    <w:uiPriority w:val="99"/>
    <w:rPr>
      <w:rFonts w:eastAsia="宋体" w:cs="Times New Roman"/>
      <w:kern w:val="2"/>
      <w:sz w:val="24"/>
      <w:szCs w:val="24"/>
      <w:lang w:val="en-US" w:eastAsia="zh-CN"/>
    </w:rPr>
  </w:style>
  <w:style w:type="character" w:customStyle="1" w:styleId="78">
    <w:name w:val="文档结构图 Char2"/>
    <w:link w:val="15"/>
    <w:semiHidden/>
    <w:qFormat/>
    <w:locked/>
    <w:uiPriority w:val="99"/>
    <w:rPr>
      <w:rFonts w:cs="Times New Roman"/>
      <w:sz w:val="2"/>
    </w:rPr>
  </w:style>
  <w:style w:type="character" w:customStyle="1" w:styleId="79">
    <w:name w:val="批注文字 Char"/>
    <w:link w:val="16"/>
    <w:semiHidden/>
    <w:qFormat/>
    <w:locked/>
    <w:uiPriority w:val="99"/>
    <w:rPr>
      <w:rFonts w:ascii="宋体" w:cs="Times New Roman"/>
      <w:sz w:val="34"/>
    </w:rPr>
  </w:style>
  <w:style w:type="character" w:customStyle="1" w:styleId="80">
    <w:name w:val="正文文本 3 Char"/>
    <w:link w:val="17"/>
    <w:qFormat/>
    <w:locked/>
    <w:uiPriority w:val="99"/>
    <w:rPr>
      <w:rFonts w:eastAsia="宋体" w:cs="Times New Roman"/>
      <w:kern w:val="2"/>
      <w:sz w:val="16"/>
      <w:lang w:val="en-US" w:eastAsia="zh-CN"/>
    </w:rPr>
  </w:style>
  <w:style w:type="character" w:customStyle="1" w:styleId="81">
    <w:name w:val="正文文本 Char"/>
    <w:link w:val="18"/>
    <w:qFormat/>
    <w:locked/>
    <w:uiPriority w:val="99"/>
    <w:rPr>
      <w:rFonts w:eastAsia="宋体" w:cs="Times New Roman"/>
      <w:b/>
      <w:kern w:val="2"/>
      <w:sz w:val="24"/>
      <w:lang w:val="en-US" w:eastAsia="zh-CN"/>
    </w:rPr>
  </w:style>
  <w:style w:type="character" w:customStyle="1" w:styleId="82">
    <w:name w:val="纯文本 Char"/>
    <w:link w:val="22"/>
    <w:qFormat/>
    <w:locked/>
    <w:uiPriority w:val="99"/>
    <w:rPr>
      <w:rFonts w:ascii="宋体" w:hAnsi="Courier New" w:eastAsia="宋体" w:cs="Times New Roman"/>
      <w:kern w:val="2"/>
      <w:sz w:val="21"/>
      <w:lang w:val="en-US" w:eastAsia="zh-CN"/>
    </w:rPr>
  </w:style>
  <w:style w:type="character" w:customStyle="1" w:styleId="83">
    <w:name w:val="日期 Char"/>
    <w:link w:val="24"/>
    <w:qFormat/>
    <w:locked/>
    <w:uiPriority w:val="99"/>
    <w:rPr>
      <w:rFonts w:ascii="宋体" w:hAnsi="Courier New" w:eastAsia="宋体" w:cs="Times New Roman"/>
      <w:kern w:val="2"/>
      <w:sz w:val="32"/>
      <w:lang w:val="en-US" w:eastAsia="zh-CN"/>
    </w:rPr>
  </w:style>
  <w:style w:type="character" w:customStyle="1" w:styleId="84">
    <w:name w:val="正文文本缩进 2 Char"/>
    <w:link w:val="25"/>
    <w:qFormat/>
    <w:locked/>
    <w:uiPriority w:val="99"/>
    <w:rPr>
      <w:rFonts w:ascii="宋体" w:hAnsi="宋体" w:eastAsia="宋体" w:cs="Times New Roman"/>
      <w:kern w:val="2"/>
      <w:sz w:val="24"/>
      <w:lang w:val="en-US" w:eastAsia="zh-CN"/>
    </w:rPr>
  </w:style>
  <w:style w:type="character" w:customStyle="1" w:styleId="85">
    <w:name w:val="批注框文本 Char"/>
    <w:link w:val="26"/>
    <w:semiHidden/>
    <w:qFormat/>
    <w:locked/>
    <w:uiPriority w:val="99"/>
    <w:rPr>
      <w:rFonts w:eastAsia="宋体" w:cs="Times New Roman"/>
      <w:kern w:val="2"/>
      <w:sz w:val="18"/>
      <w:lang w:val="en-US" w:eastAsia="zh-CN"/>
    </w:rPr>
  </w:style>
  <w:style w:type="character" w:customStyle="1" w:styleId="86">
    <w:name w:val="页脚 Char"/>
    <w:link w:val="27"/>
    <w:qFormat/>
    <w:locked/>
    <w:uiPriority w:val="99"/>
    <w:rPr>
      <w:rFonts w:eastAsia="宋体" w:cs="Times New Roman"/>
      <w:kern w:val="2"/>
      <w:sz w:val="18"/>
      <w:lang w:val="en-US" w:eastAsia="zh-CN"/>
    </w:rPr>
  </w:style>
  <w:style w:type="character" w:customStyle="1" w:styleId="87">
    <w:name w:val="页眉 Char"/>
    <w:link w:val="28"/>
    <w:qFormat/>
    <w:locked/>
    <w:uiPriority w:val="99"/>
    <w:rPr>
      <w:rFonts w:eastAsia="宋体" w:cs="Times New Roman"/>
      <w:kern w:val="2"/>
      <w:sz w:val="18"/>
      <w:lang w:val="en-US" w:eastAsia="zh-CN"/>
    </w:rPr>
  </w:style>
  <w:style w:type="character" w:customStyle="1" w:styleId="88">
    <w:name w:val="副标题 Char"/>
    <w:link w:val="31"/>
    <w:qFormat/>
    <w:locked/>
    <w:uiPriority w:val="99"/>
    <w:rPr>
      <w:rFonts w:ascii="Calibri" w:hAnsi="Calibri" w:cs="Times New Roman"/>
      <w:sz w:val="24"/>
      <w:lang w:val="en-US" w:eastAsia="zh-CN" w:bidi="ar-SA"/>
    </w:rPr>
  </w:style>
  <w:style w:type="character" w:customStyle="1" w:styleId="89">
    <w:name w:val="正文文本缩进 3 Char"/>
    <w:link w:val="33"/>
    <w:qFormat/>
    <w:locked/>
    <w:uiPriority w:val="99"/>
    <w:rPr>
      <w:rFonts w:ascii="宋体" w:eastAsia="宋体" w:cs="Times New Roman"/>
      <w:b/>
      <w:kern w:val="2"/>
      <w:sz w:val="24"/>
      <w:lang w:val="en-US" w:eastAsia="zh-CN"/>
    </w:rPr>
  </w:style>
  <w:style w:type="character" w:customStyle="1" w:styleId="90">
    <w:name w:val="正文文本 2 Char"/>
    <w:link w:val="36"/>
    <w:qFormat/>
    <w:locked/>
    <w:uiPriority w:val="99"/>
    <w:rPr>
      <w:rFonts w:eastAsia="宋体" w:cs="Times New Roman"/>
      <w:kern w:val="2"/>
      <w:sz w:val="24"/>
      <w:lang w:val="en-US" w:eastAsia="zh-CN"/>
    </w:rPr>
  </w:style>
  <w:style w:type="character" w:customStyle="1" w:styleId="91">
    <w:name w:val="HTML 预设格式 Char"/>
    <w:link w:val="37"/>
    <w:qFormat/>
    <w:locked/>
    <w:uiPriority w:val="99"/>
    <w:rPr>
      <w:rFonts w:ascii="Arial Unicode MS" w:hAnsi="Arial Unicode MS" w:cs="Times New Roman"/>
      <w:color w:val="000000"/>
      <w:lang w:val="en-US" w:eastAsia="zh-CN"/>
    </w:rPr>
  </w:style>
  <w:style w:type="character" w:customStyle="1" w:styleId="92">
    <w:name w:val="标题 Char"/>
    <w:link w:val="40"/>
    <w:qFormat/>
    <w:locked/>
    <w:uiPriority w:val="99"/>
    <w:rPr>
      <w:rFonts w:ascii="Arial" w:hAnsi="Arial" w:eastAsia="隶书" w:cs="Times New Roman"/>
      <w:b/>
      <w:kern w:val="2"/>
      <w:sz w:val="32"/>
      <w:lang w:val="en-US" w:eastAsia="zh-CN"/>
    </w:rPr>
  </w:style>
  <w:style w:type="character" w:customStyle="1" w:styleId="93">
    <w:name w:val="批注主题 Char"/>
    <w:link w:val="41"/>
    <w:qFormat/>
    <w:locked/>
    <w:uiPriority w:val="99"/>
    <w:rPr>
      <w:rFonts w:ascii="宋体" w:cs="Times New Roman"/>
      <w:sz w:val="34"/>
    </w:rPr>
  </w:style>
  <w:style w:type="character" w:customStyle="1" w:styleId="94">
    <w:name w:val="正文首行缩进 Char"/>
    <w:link w:val="42"/>
    <w:qFormat/>
    <w:locked/>
    <w:uiPriority w:val="99"/>
    <w:rPr>
      <w:rFonts w:eastAsia="宋体" w:cs="Times New Roman"/>
      <w:b/>
      <w:kern w:val="2"/>
      <w:sz w:val="24"/>
      <w:lang w:val="en-US" w:eastAsia="zh-CN"/>
    </w:rPr>
  </w:style>
  <w:style w:type="paragraph" w:customStyle="1" w:styleId="95">
    <w:name w:val="Char"/>
    <w:basedOn w:val="1"/>
    <w:qFormat/>
    <w:uiPriority w:val="99"/>
    <w:pPr>
      <w:widowControl/>
      <w:spacing w:after="160" w:line="240" w:lineRule="exact"/>
      <w:jc w:val="left"/>
    </w:pPr>
    <w:rPr>
      <w:rFonts w:ascii="Verdana" w:hAnsi="Verdana" w:eastAsia="仿宋_GB2312"/>
      <w:kern w:val="0"/>
      <w:sz w:val="24"/>
      <w:szCs w:val="20"/>
      <w:lang w:eastAsia="en-US"/>
    </w:rPr>
  </w:style>
  <w:style w:type="character" w:customStyle="1" w:styleId="96">
    <w:name w:val="正文缩进 Char"/>
    <w:link w:val="7"/>
    <w:qFormat/>
    <w:locked/>
    <w:uiPriority w:val="99"/>
    <w:rPr>
      <w:rFonts w:eastAsia="宋体"/>
      <w:kern w:val="2"/>
      <w:sz w:val="21"/>
      <w:lang w:val="en-US" w:eastAsia="zh-CN"/>
    </w:rPr>
  </w:style>
  <w:style w:type="paragraph" w:customStyle="1" w:styleId="97">
    <w:name w:val="样式41"/>
    <w:basedOn w:val="1"/>
    <w:qFormat/>
    <w:uiPriority w:val="99"/>
    <w:pPr>
      <w:numPr>
        <w:ilvl w:val="0"/>
        <w:numId w:val="2"/>
      </w:numPr>
      <w:tabs>
        <w:tab w:val="left" w:pos="945"/>
      </w:tabs>
      <w:spacing w:line="360" w:lineRule="auto"/>
      <w:ind w:left="800" w:leftChars="800" w:hanging="200" w:hangingChars="200"/>
    </w:pPr>
    <w:rPr>
      <w:b/>
      <w:color w:val="000000"/>
      <w:sz w:val="24"/>
      <w:szCs w:val="20"/>
    </w:rPr>
  </w:style>
  <w:style w:type="paragraph" w:customStyle="1" w:styleId="98">
    <w:name w:val="图"/>
    <w:basedOn w:val="1"/>
    <w:qFormat/>
    <w:uiPriority w:val="99"/>
    <w:pPr>
      <w:keepNext/>
      <w:adjustRightInd w:val="0"/>
      <w:snapToGrid w:val="0"/>
      <w:spacing w:before="60" w:after="60" w:line="300" w:lineRule="auto"/>
      <w:jc w:val="center"/>
    </w:pPr>
    <w:rPr>
      <w:spacing w:val="20"/>
      <w:kern w:val="0"/>
      <w:sz w:val="24"/>
      <w:szCs w:val="20"/>
    </w:rPr>
  </w:style>
  <w:style w:type="paragraph" w:customStyle="1" w:styleId="99">
    <w:name w:val="Char Char Char Char"/>
    <w:basedOn w:val="1"/>
    <w:qFormat/>
    <w:uiPriority w:val="99"/>
    <w:pPr>
      <w:widowControl/>
      <w:spacing w:after="160" w:line="240" w:lineRule="exact"/>
      <w:jc w:val="left"/>
    </w:pPr>
    <w:rPr>
      <w:rFonts w:ascii="Verdana" w:hAnsi="Verdana" w:eastAsia="仿宋_GB2312"/>
      <w:kern w:val="0"/>
      <w:sz w:val="24"/>
      <w:szCs w:val="20"/>
      <w:lang w:eastAsia="en-US"/>
    </w:rPr>
  </w:style>
  <w:style w:type="paragraph" w:customStyle="1" w:styleId="100">
    <w:name w:val="Char11"/>
    <w:basedOn w:val="1"/>
    <w:qFormat/>
    <w:uiPriority w:val="99"/>
    <w:pPr>
      <w:widowControl/>
      <w:spacing w:after="160" w:line="240" w:lineRule="exact"/>
      <w:jc w:val="left"/>
    </w:pPr>
    <w:rPr>
      <w:rFonts w:ascii="Verdana" w:hAnsi="Verdana" w:eastAsia="仿宋_GB2312"/>
      <w:kern w:val="0"/>
      <w:sz w:val="24"/>
      <w:szCs w:val="20"/>
      <w:lang w:eastAsia="en-US"/>
    </w:rPr>
  </w:style>
  <w:style w:type="paragraph" w:customStyle="1" w:styleId="101">
    <w:name w:val="Char Char Char Char11"/>
    <w:basedOn w:val="1"/>
    <w:qFormat/>
    <w:uiPriority w:val="99"/>
    <w:pPr>
      <w:widowControl/>
      <w:spacing w:after="160" w:line="240" w:lineRule="exact"/>
      <w:jc w:val="left"/>
    </w:pPr>
    <w:rPr>
      <w:rFonts w:ascii="Verdana" w:hAnsi="Verdana" w:eastAsia="仿宋_GB2312"/>
      <w:kern w:val="0"/>
      <w:sz w:val="24"/>
      <w:szCs w:val="20"/>
      <w:lang w:eastAsia="en-US"/>
    </w:rPr>
  </w:style>
  <w:style w:type="paragraph" w:customStyle="1" w:styleId="102">
    <w:name w:val="Table Contents"/>
    <w:basedOn w:val="1"/>
    <w:qFormat/>
    <w:uiPriority w:val="99"/>
    <w:pPr>
      <w:suppressAutoHyphens/>
      <w:autoSpaceDE w:val="0"/>
      <w:spacing w:after="120"/>
      <w:jc w:val="left"/>
    </w:pPr>
    <w:rPr>
      <w:rFonts w:ascii="Helvetica" w:hAnsi="Helvetica"/>
      <w:kern w:val="1"/>
      <w:sz w:val="20"/>
      <w:szCs w:val="20"/>
    </w:rPr>
  </w:style>
  <w:style w:type="paragraph" w:customStyle="1" w:styleId="103">
    <w:name w:val="自定义正文"/>
    <w:basedOn w:val="1"/>
    <w:qFormat/>
    <w:uiPriority w:val="99"/>
    <w:pPr>
      <w:spacing w:afterLines="50"/>
      <w:ind w:left="600" w:leftChars="600"/>
    </w:pPr>
  </w:style>
  <w:style w:type="paragraph" w:customStyle="1" w:styleId="104">
    <w:name w:val="Char Char Char Char Char"/>
    <w:basedOn w:val="1"/>
    <w:qFormat/>
    <w:uiPriority w:val="99"/>
    <w:rPr>
      <w:rFonts w:ascii="Tahoma" w:hAnsi="Tahoma"/>
      <w:sz w:val="24"/>
      <w:szCs w:val="20"/>
    </w:rPr>
  </w:style>
  <w:style w:type="paragraph" w:customStyle="1" w:styleId="105">
    <w:name w:val="小标题 1"/>
    <w:basedOn w:val="1"/>
    <w:qFormat/>
    <w:uiPriority w:val="99"/>
    <w:pPr>
      <w:autoSpaceDE w:val="0"/>
      <w:autoSpaceDN w:val="0"/>
      <w:adjustRightInd w:val="0"/>
      <w:spacing w:line="360" w:lineRule="atLeast"/>
    </w:pPr>
    <w:rPr>
      <w:rFonts w:ascii="文鼎粗黑" w:eastAsia="文鼎粗黑"/>
      <w:kern w:val="0"/>
      <w:sz w:val="22"/>
      <w:szCs w:val="20"/>
    </w:rPr>
  </w:style>
  <w:style w:type="paragraph" w:customStyle="1" w:styleId="106">
    <w:name w:val="Char Char"/>
    <w:basedOn w:val="1"/>
    <w:qFormat/>
    <w:uiPriority w:val="99"/>
    <w:rPr>
      <w:rFonts w:ascii="Tahoma" w:hAnsi="Tahoma"/>
      <w:sz w:val="24"/>
      <w:szCs w:val="20"/>
    </w:rPr>
  </w:style>
  <w:style w:type="paragraph" w:customStyle="1" w:styleId="107">
    <w:name w:val="È¡ÀÊ¡ÎÄ¡À¾"/>
    <w:basedOn w:val="1"/>
    <w:qFormat/>
    <w:uiPriority w:val="99"/>
    <w:pPr>
      <w:widowControl/>
      <w:overflowPunct w:val="0"/>
      <w:autoSpaceDE w:val="0"/>
      <w:autoSpaceDN w:val="0"/>
      <w:adjustRightInd w:val="0"/>
      <w:jc w:val="left"/>
      <w:textAlignment w:val="baseline"/>
    </w:pPr>
    <w:rPr>
      <w:kern w:val="0"/>
      <w:sz w:val="24"/>
      <w:szCs w:val="20"/>
    </w:rPr>
  </w:style>
  <w:style w:type="paragraph" w:customStyle="1" w:styleId="108">
    <w:name w:val="Char Char Char Char Char Char1 Char"/>
    <w:basedOn w:val="1"/>
    <w:qFormat/>
    <w:uiPriority w:val="99"/>
    <w:pPr>
      <w:widowControl/>
      <w:spacing w:after="160" w:line="240" w:lineRule="exact"/>
      <w:jc w:val="left"/>
    </w:pPr>
    <w:rPr>
      <w:rFonts w:ascii="Verdana" w:hAnsi="Verdana"/>
      <w:kern w:val="0"/>
      <w:szCs w:val="20"/>
      <w:lang w:eastAsia="en-US"/>
    </w:rPr>
  </w:style>
  <w:style w:type="paragraph" w:styleId="109">
    <w:name w:val="List Paragraph"/>
    <w:basedOn w:val="1"/>
    <w:qFormat/>
    <w:uiPriority w:val="99"/>
    <w:pPr>
      <w:ind w:firstLine="420" w:firstLineChars="200"/>
    </w:pPr>
    <w:rPr>
      <w:rFonts w:ascii="Calibri" w:hAnsi="Calibri"/>
      <w:szCs w:val="22"/>
    </w:rPr>
  </w:style>
  <w:style w:type="paragraph" w:customStyle="1" w:styleId="110">
    <w:name w:val="USE 1"/>
    <w:basedOn w:val="1"/>
    <w:qFormat/>
    <w:uiPriority w:val="99"/>
    <w:pPr>
      <w:spacing w:line="200" w:lineRule="atLeast"/>
      <w:jc w:val="left"/>
    </w:pPr>
    <w:rPr>
      <w:rFonts w:ascii="宋体" w:hAnsi="宋体"/>
      <w:b/>
      <w:sz w:val="24"/>
      <w:szCs w:val="28"/>
    </w:rPr>
  </w:style>
  <w:style w:type="paragraph" w:customStyle="1" w:styleId="111">
    <w:name w:val="RFI text from 3rd Level"/>
    <w:basedOn w:val="1"/>
    <w:qFormat/>
    <w:uiPriority w:val="99"/>
    <w:pPr>
      <w:widowControl/>
      <w:numPr>
        <w:ilvl w:val="0"/>
        <w:numId w:val="3"/>
      </w:numPr>
      <w:tabs>
        <w:tab w:val="left" w:pos="1080"/>
        <w:tab w:val="clear" w:pos="840"/>
      </w:tabs>
      <w:spacing w:beforeLines="50" w:line="360" w:lineRule="auto"/>
      <w:ind w:left="0" w:firstLine="0"/>
    </w:pPr>
    <w:rPr>
      <w:rFonts w:ascii="Arial (W1)" w:hAnsi="Arial (W1)"/>
      <w:bCs/>
      <w:kern w:val="0"/>
      <w:sz w:val="24"/>
      <w:lang w:val="en-GB"/>
    </w:rPr>
  </w:style>
  <w:style w:type="paragraph" w:customStyle="1" w:styleId="112">
    <w:name w:val="正文文字缩进项目"/>
    <w:basedOn w:val="19"/>
    <w:qFormat/>
    <w:uiPriority w:val="99"/>
    <w:pPr>
      <w:numPr>
        <w:ilvl w:val="1"/>
        <w:numId w:val="3"/>
      </w:numPr>
      <w:tabs>
        <w:tab w:val="left" w:pos="840"/>
        <w:tab w:val="clear" w:pos="1260"/>
      </w:tabs>
      <w:spacing w:after="120" w:line="240" w:lineRule="auto"/>
      <w:ind w:left="840" w:firstLine="0" w:firstLineChars="0"/>
    </w:pPr>
    <w:rPr>
      <w:rFonts w:ascii="Tahoma" w:hAnsi="Tahoma"/>
      <w:sz w:val="22"/>
      <w:szCs w:val="20"/>
    </w:rPr>
  </w:style>
  <w:style w:type="paragraph" w:customStyle="1" w:styleId="113">
    <w:name w:val="样式 标题 2 + 段前: 13 磅 段后: 13 磅 行距: 单倍行距"/>
    <w:basedOn w:val="3"/>
    <w:qFormat/>
    <w:uiPriority w:val="99"/>
    <w:pPr>
      <w:adjustRightInd/>
      <w:jc w:val="both"/>
      <w:textAlignment w:val="auto"/>
    </w:pPr>
    <w:rPr>
      <w:rFonts w:ascii="Cambria" w:hAnsi="Cambria" w:cs="宋体"/>
      <w:kern w:val="2"/>
      <w:sz w:val="32"/>
    </w:rPr>
  </w:style>
  <w:style w:type="character" w:customStyle="1" w:styleId="114">
    <w:name w:val="H4 Char2"/>
    <w:qFormat/>
    <w:uiPriority w:val="99"/>
    <w:rPr>
      <w:rFonts w:ascii="Arial" w:hAnsi="Arial" w:eastAsia="黑体"/>
      <w:b/>
      <w:kern w:val="2"/>
      <w:sz w:val="28"/>
      <w:lang w:val="en-US" w:eastAsia="zh-CN"/>
    </w:rPr>
  </w:style>
  <w:style w:type="character" w:customStyle="1" w:styleId="115">
    <w:name w:val="第*章 Char"/>
    <w:qFormat/>
    <w:uiPriority w:val="99"/>
    <w:rPr>
      <w:rFonts w:ascii="Arial" w:hAnsi="Arial" w:eastAsia="黑体"/>
      <w:b/>
      <w:kern w:val="2"/>
      <w:sz w:val="32"/>
    </w:rPr>
  </w:style>
  <w:style w:type="character" w:customStyle="1" w:styleId="116">
    <w:name w:val="章标题1 Char"/>
    <w:qFormat/>
    <w:uiPriority w:val="99"/>
    <w:rPr>
      <w:rFonts w:eastAsia="宋体"/>
      <w:b/>
      <w:kern w:val="2"/>
      <w:sz w:val="32"/>
      <w:lang w:val="en-US" w:eastAsia="zh-CN"/>
    </w:rPr>
  </w:style>
  <w:style w:type="character" w:customStyle="1" w:styleId="117">
    <w:name w:val="正文文字首行缩进 Char"/>
    <w:qFormat/>
    <w:uiPriority w:val="99"/>
    <w:rPr>
      <w:kern w:val="2"/>
      <w:sz w:val="24"/>
    </w:rPr>
  </w:style>
  <w:style w:type="paragraph" w:customStyle="1" w:styleId="118">
    <w:name w:val="样式2"/>
    <w:basedOn w:val="40"/>
    <w:next w:val="65"/>
    <w:qFormat/>
    <w:uiPriority w:val="99"/>
    <w:pPr>
      <w:spacing w:before="120" w:after="120"/>
    </w:pPr>
    <w:rPr>
      <w:rFonts w:eastAsia="黑体"/>
      <w:b w:val="0"/>
      <w:sz w:val="30"/>
      <w:szCs w:val="30"/>
    </w:rPr>
  </w:style>
  <w:style w:type="character" w:customStyle="1" w:styleId="119">
    <w:name w:val="标题 3 Char Char"/>
    <w:qFormat/>
    <w:uiPriority w:val="99"/>
    <w:rPr>
      <w:rFonts w:eastAsia="宋体"/>
      <w:b/>
      <w:kern w:val="2"/>
      <w:sz w:val="32"/>
      <w:lang w:val="en-US" w:eastAsia="zh-CN"/>
    </w:rPr>
  </w:style>
  <w:style w:type="paragraph" w:customStyle="1" w:styleId="120">
    <w:name w:val="Char Char Char Char Char Char1 Char Char Char Char Char Char Char Char Char Char Char Char Char"/>
    <w:basedOn w:val="1"/>
    <w:qFormat/>
    <w:uiPriority w:val="99"/>
    <w:pPr>
      <w:widowControl/>
      <w:spacing w:after="160" w:line="240" w:lineRule="exact"/>
      <w:jc w:val="left"/>
    </w:pPr>
    <w:rPr>
      <w:rFonts w:ascii="Arial" w:hAnsi="Arial" w:cs="Verdana"/>
      <w:b/>
      <w:kern w:val="0"/>
      <w:sz w:val="24"/>
      <w:lang w:eastAsia="en-US"/>
    </w:rPr>
  </w:style>
  <w:style w:type="paragraph" w:customStyle="1" w:styleId="121">
    <w:name w:val="cont"/>
    <w:basedOn w:val="1"/>
    <w:qFormat/>
    <w:uiPriority w:val="99"/>
    <w:pPr>
      <w:adjustRightInd w:val="0"/>
      <w:spacing w:before="100" w:after="100" w:line="360" w:lineRule="auto"/>
      <w:ind w:firstLine="200" w:firstLineChars="200"/>
      <w:jc w:val="left"/>
      <w:textAlignment w:val="baseline"/>
    </w:pPr>
    <w:rPr>
      <w:rFonts w:ascii="Arial" w:hAnsi="Arial"/>
      <w:kern w:val="0"/>
      <w:sz w:val="24"/>
      <w:szCs w:val="20"/>
    </w:rPr>
  </w:style>
  <w:style w:type="paragraph" w:customStyle="1" w:styleId="122">
    <w:name w:val="--规划正文"/>
    <w:basedOn w:val="1"/>
    <w:qFormat/>
    <w:uiPriority w:val="99"/>
    <w:pPr>
      <w:spacing w:line="360" w:lineRule="auto"/>
      <w:ind w:firstLine="200" w:firstLineChars="200"/>
    </w:pPr>
    <w:rPr>
      <w:szCs w:val="20"/>
    </w:rPr>
  </w:style>
  <w:style w:type="paragraph" w:customStyle="1" w:styleId="123">
    <w:name w:val="设计依据"/>
    <w:basedOn w:val="18"/>
    <w:qFormat/>
    <w:uiPriority w:val="99"/>
    <w:pPr>
      <w:numPr>
        <w:ilvl w:val="1"/>
        <w:numId w:val="4"/>
      </w:numPr>
      <w:tabs>
        <w:tab w:val="left" w:pos="1440"/>
        <w:tab w:val="clear" w:pos="840"/>
      </w:tabs>
      <w:adjustRightInd w:val="0"/>
      <w:ind w:left="1440"/>
      <w:textAlignment w:val="baseline"/>
    </w:pPr>
    <w:rPr>
      <w:rFonts w:ascii="宋体" w:hAnsi="宋体"/>
      <w:b w:val="0"/>
      <w:kern w:val="0"/>
      <w:sz w:val="28"/>
      <w:szCs w:val="18"/>
    </w:rPr>
  </w:style>
  <w:style w:type="paragraph" w:customStyle="1" w:styleId="124">
    <w:name w:val="方案要点"/>
    <w:basedOn w:val="1"/>
    <w:qFormat/>
    <w:uiPriority w:val="99"/>
    <w:pPr>
      <w:numPr>
        <w:ilvl w:val="0"/>
        <w:numId w:val="4"/>
      </w:numPr>
      <w:spacing w:line="360" w:lineRule="auto"/>
    </w:pPr>
    <w:rPr>
      <w:rFonts w:ascii="仿宋_GB2312" w:hAnsi="宋体" w:eastAsia="仿宋_GB2312"/>
      <w:color w:val="000000"/>
      <w:sz w:val="28"/>
      <w:szCs w:val="28"/>
    </w:rPr>
  </w:style>
  <w:style w:type="paragraph" w:customStyle="1" w:styleId="125">
    <w:name w:val="样式4"/>
    <w:basedOn w:val="1"/>
    <w:qFormat/>
    <w:uiPriority w:val="99"/>
    <w:pPr>
      <w:tabs>
        <w:tab w:val="left" w:pos="842"/>
      </w:tabs>
      <w:spacing w:line="360" w:lineRule="auto"/>
      <w:ind w:left="842" w:hanging="420"/>
    </w:pPr>
    <w:rPr>
      <w:sz w:val="24"/>
    </w:rPr>
  </w:style>
  <w:style w:type="paragraph" w:customStyle="1" w:styleId="126">
    <w:name w:val="文字"/>
    <w:basedOn w:val="1"/>
    <w:qFormat/>
    <w:uiPriority w:val="99"/>
    <w:pPr>
      <w:tabs>
        <w:tab w:val="left" w:pos="8520"/>
      </w:tabs>
      <w:spacing w:line="312" w:lineRule="auto"/>
      <w:ind w:right="-210" w:firstLine="556"/>
    </w:pPr>
    <w:rPr>
      <w:rFonts w:ascii="宋体"/>
      <w:sz w:val="28"/>
      <w:szCs w:val="20"/>
    </w:rPr>
  </w:style>
  <w:style w:type="paragraph" w:customStyle="1" w:styleId="127">
    <w:name w:val="--规划-表格-居左"/>
    <w:basedOn w:val="122"/>
    <w:qFormat/>
    <w:uiPriority w:val="99"/>
    <w:pPr>
      <w:spacing w:line="240" w:lineRule="auto"/>
      <w:ind w:firstLine="0" w:firstLineChars="0"/>
    </w:pPr>
    <w:rPr>
      <w:sz w:val="20"/>
    </w:rPr>
  </w:style>
  <w:style w:type="paragraph" w:customStyle="1" w:styleId="128">
    <w:name w:val="--规划-表格-居中"/>
    <w:basedOn w:val="122"/>
    <w:qFormat/>
    <w:uiPriority w:val="99"/>
    <w:pPr>
      <w:spacing w:line="240" w:lineRule="auto"/>
      <w:ind w:firstLine="0" w:firstLineChars="0"/>
      <w:jc w:val="center"/>
    </w:pPr>
    <w:rPr>
      <w:sz w:val="20"/>
    </w:rPr>
  </w:style>
  <w:style w:type="paragraph" w:customStyle="1" w:styleId="129">
    <w:name w:val="--编号内缩进"/>
    <w:basedOn w:val="1"/>
    <w:qFormat/>
    <w:uiPriority w:val="99"/>
    <w:pPr>
      <w:spacing w:line="360" w:lineRule="auto"/>
      <w:ind w:left="420" w:firstLine="200" w:firstLineChars="200"/>
    </w:pPr>
    <w:rPr>
      <w:szCs w:val="21"/>
    </w:rPr>
  </w:style>
  <w:style w:type="paragraph" w:customStyle="1" w:styleId="130">
    <w:name w:val="--规划-题注"/>
    <w:basedOn w:val="1"/>
    <w:next w:val="122"/>
    <w:qFormat/>
    <w:uiPriority w:val="99"/>
    <w:pPr>
      <w:spacing w:line="360" w:lineRule="auto"/>
      <w:jc w:val="center"/>
    </w:pPr>
    <w:rPr>
      <w:rFonts w:eastAsia="黑体"/>
    </w:rPr>
  </w:style>
  <w:style w:type="paragraph" w:customStyle="1" w:styleId="131">
    <w:name w:val="--规划-图和表"/>
    <w:next w:val="122"/>
    <w:qFormat/>
    <w:uiPriority w:val="99"/>
    <w:pPr>
      <w:jc w:val="center"/>
    </w:pPr>
    <w:rPr>
      <w:rFonts w:ascii="Times New Roman" w:hAnsi="Times New Roman" w:eastAsia="宋体" w:cs="Times New Roman"/>
      <w:kern w:val="2"/>
      <w:sz w:val="21"/>
      <w:lang w:val="en-US" w:eastAsia="zh-CN" w:bidi="ar-SA"/>
    </w:rPr>
  </w:style>
  <w:style w:type="paragraph" w:customStyle="1" w:styleId="132">
    <w:name w:val="--规划-小标题"/>
    <w:basedOn w:val="1"/>
    <w:next w:val="122"/>
    <w:qFormat/>
    <w:uiPriority w:val="99"/>
    <w:pPr>
      <w:keepNext/>
      <w:keepLines/>
      <w:spacing w:line="360" w:lineRule="auto"/>
      <w:outlineLvl w:val="4"/>
    </w:pPr>
    <w:rPr>
      <w:rFonts w:eastAsia="黑体"/>
    </w:rPr>
  </w:style>
  <w:style w:type="paragraph" w:customStyle="1" w:styleId="133">
    <w:name w:val="--规划正文 Char"/>
    <w:basedOn w:val="1"/>
    <w:qFormat/>
    <w:uiPriority w:val="99"/>
    <w:pPr>
      <w:spacing w:line="360" w:lineRule="auto"/>
      <w:ind w:firstLine="200" w:firstLineChars="200"/>
    </w:pPr>
    <w:rPr>
      <w:sz w:val="24"/>
    </w:rPr>
  </w:style>
  <w:style w:type="paragraph" w:customStyle="1" w:styleId="134">
    <w:name w:val="缺省文本"/>
    <w:basedOn w:val="1"/>
    <w:qFormat/>
    <w:uiPriority w:val="99"/>
    <w:pPr>
      <w:autoSpaceDE w:val="0"/>
      <w:autoSpaceDN w:val="0"/>
      <w:adjustRightInd w:val="0"/>
      <w:jc w:val="left"/>
    </w:pPr>
    <w:rPr>
      <w:kern w:val="0"/>
    </w:rPr>
  </w:style>
  <w:style w:type="paragraph" w:customStyle="1" w:styleId="135">
    <w:name w:val="封面文档标题"/>
    <w:basedOn w:val="1"/>
    <w:qFormat/>
    <w:uiPriority w:val="99"/>
    <w:pPr>
      <w:autoSpaceDE w:val="0"/>
      <w:autoSpaceDN w:val="0"/>
      <w:adjustRightInd w:val="0"/>
      <w:spacing w:line="360" w:lineRule="auto"/>
      <w:jc w:val="center"/>
    </w:pPr>
    <w:rPr>
      <w:rFonts w:ascii="Arial" w:hAnsi="Arial"/>
      <w:b/>
      <w:kern w:val="0"/>
      <w:sz w:val="56"/>
    </w:rPr>
  </w:style>
  <w:style w:type="character" w:customStyle="1" w:styleId="136">
    <w:name w:val="--规划正文 Char Char"/>
    <w:qFormat/>
    <w:uiPriority w:val="99"/>
    <w:rPr>
      <w:rFonts w:eastAsia="宋体"/>
      <w:kern w:val="2"/>
      <w:sz w:val="24"/>
      <w:lang w:val="en-US" w:eastAsia="zh-CN"/>
    </w:rPr>
  </w:style>
  <w:style w:type="paragraph" w:customStyle="1" w:styleId="137">
    <w:name w:val="样式3"/>
    <w:basedOn w:val="2"/>
    <w:qFormat/>
    <w:uiPriority w:val="99"/>
    <w:pPr>
      <w:numPr>
        <w:ilvl w:val="0"/>
        <w:numId w:val="5"/>
      </w:numPr>
      <w:spacing w:before="240" w:after="240" w:line="480" w:lineRule="auto"/>
      <w:ind w:right="210" w:rightChars="100"/>
      <w:jc w:val="left"/>
    </w:pPr>
    <w:rPr>
      <w:sz w:val="32"/>
    </w:rPr>
  </w:style>
  <w:style w:type="character" w:customStyle="1" w:styleId="138">
    <w:name w:val="--规划正文 Char1"/>
    <w:qFormat/>
    <w:uiPriority w:val="99"/>
    <w:rPr>
      <w:rFonts w:eastAsia="宋体"/>
      <w:kern w:val="2"/>
      <w:sz w:val="21"/>
      <w:lang w:val="en-US" w:eastAsia="zh-CN"/>
    </w:rPr>
  </w:style>
  <w:style w:type="paragraph" w:customStyle="1" w:styleId="139">
    <w:name w:val="word"/>
    <w:basedOn w:val="1"/>
    <w:qFormat/>
    <w:uiPriority w:val="99"/>
    <w:pPr>
      <w:widowControl/>
      <w:spacing w:before="100" w:beforeAutospacing="1" w:after="100" w:afterAutospacing="1" w:line="301" w:lineRule="atLeast"/>
      <w:jc w:val="left"/>
    </w:pPr>
    <w:rPr>
      <w:rFonts w:ascii="??" w:hAnsi="??"/>
      <w:color w:val="000000"/>
      <w:kern w:val="0"/>
      <w:sz w:val="20"/>
      <w:szCs w:val="20"/>
    </w:rPr>
  </w:style>
  <w:style w:type="paragraph" w:customStyle="1" w:styleId="140">
    <w:name w:val="列表项目"/>
    <w:basedOn w:val="1"/>
    <w:qFormat/>
    <w:uiPriority w:val="99"/>
    <w:pPr>
      <w:tabs>
        <w:tab w:val="left" w:pos="420"/>
        <w:tab w:val="left" w:pos="1080"/>
      </w:tabs>
      <w:spacing w:line="288" w:lineRule="auto"/>
      <w:ind w:left="1080" w:hanging="360"/>
    </w:pPr>
    <w:rPr>
      <w:sz w:val="24"/>
      <w:szCs w:val="20"/>
    </w:rPr>
  </w:style>
  <w:style w:type="character" w:customStyle="1" w:styleId="141">
    <w:name w:val="content1"/>
    <w:qFormat/>
    <w:uiPriority w:val="99"/>
    <w:rPr>
      <w:rFonts w:ascii="??" w:hAnsi="??"/>
      <w:sz w:val="16"/>
      <w:u w:val="none"/>
    </w:rPr>
  </w:style>
  <w:style w:type="character" w:customStyle="1" w:styleId="142">
    <w:name w:val="unnamed4"/>
    <w:qFormat/>
    <w:uiPriority w:val="99"/>
    <w:rPr>
      <w:rFonts w:cs="Times New Roman"/>
    </w:rPr>
  </w:style>
  <w:style w:type="character" w:customStyle="1" w:styleId="143">
    <w:name w:val="font2"/>
    <w:qFormat/>
    <w:uiPriority w:val="99"/>
    <w:rPr>
      <w:rFonts w:cs="Times New Roman"/>
    </w:rPr>
  </w:style>
  <w:style w:type="character" w:customStyle="1" w:styleId="144">
    <w:name w:val="font41"/>
    <w:qFormat/>
    <w:uiPriority w:val="99"/>
    <w:rPr>
      <w:color w:val="000000"/>
      <w:spacing w:val="260"/>
      <w:sz w:val="18"/>
      <w:u w:val="none"/>
    </w:rPr>
  </w:style>
  <w:style w:type="paragraph" w:customStyle="1" w:styleId="145">
    <w:name w:val="正文(首行缩进)"/>
    <w:qFormat/>
    <w:uiPriority w:val="99"/>
    <w:pPr>
      <w:spacing w:line="360" w:lineRule="auto"/>
      <w:ind w:firstLine="488" w:firstLineChars="200"/>
      <w:jc w:val="both"/>
    </w:pPr>
    <w:rPr>
      <w:rFonts w:ascii="Times New Roman" w:hAnsi="Times New Roman" w:eastAsia="仿宋_GB2312" w:cs="Times New Roman"/>
      <w:spacing w:val="2"/>
      <w:sz w:val="24"/>
      <w:szCs w:val="24"/>
      <w:lang w:val="en-US" w:eastAsia="zh-CN" w:bidi="ar-SA"/>
    </w:rPr>
  </w:style>
  <w:style w:type="paragraph" w:customStyle="1" w:styleId="146">
    <w:name w:val="xl72"/>
    <w:basedOn w:val="1"/>
    <w:qFormat/>
    <w:uiPriority w:val="99"/>
    <w:pPr>
      <w:widowControl/>
      <w:spacing w:before="100" w:beforeAutospacing="1" w:after="100" w:afterAutospacing="1"/>
      <w:jc w:val="left"/>
    </w:pPr>
    <w:rPr>
      <w:rFonts w:ascii="宋体" w:hAnsi="宋体"/>
      <w:b/>
      <w:bCs/>
      <w:kern w:val="0"/>
      <w:sz w:val="28"/>
      <w:szCs w:val="28"/>
    </w:rPr>
  </w:style>
  <w:style w:type="paragraph" w:customStyle="1" w:styleId="147">
    <w:name w:val="正文(首行缩进) Char"/>
    <w:qFormat/>
    <w:uiPriority w:val="99"/>
    <w:pPr>
      <w:spacing w:before="120" w:after="60" w:line="360" w:lineRule="auto"/>
      <w:ind w:firstLine="200" w:firstLineChars="200"/>
    </w:pPr>
    <w:rPr>
      <w:rFonts w:ascii="Times New Roman" w:hAnsi="Times New Roman" w:eastAsia="仿宋_GB2312" w:cs="Times New Roman"/>
      <w:spacing w:val="2"/>
      <w:kern w:val="24"/>
      <w:sz w:val="24"/>
      <w:szCs w:val="24"/>
      <w:lang w:val="en-US" w:eastAsia="zh-CN" w:bidi="ar-SA"/>
    </w:rPr>
  </w:style>
  <w:style w:type="paragraph" w:customStyle="1" w:styleId="148">
    <w:name w:val="汉议细等线简8"/>
    <w:qFormat/>
    <w:uiPriority w:val="99"/>
    <w:pPr>
      <w:widowControl w:val="0"/>
      <w:autoSpaceDE w:val="0"/>
      <w:autoSpaceDN w:val="0"/>
      <w:adjustRightInd w:val="0"/>
      <w:spacing w:line="260" w:lineRule="atLeast"/>
      <w:jc w:val="both"/>
    </w:pPr>
    <w:rPr>
      <w:rFonts w:ascii="汉仪细等线简" w:hAnsi="Times New Roman" w:eastAsia="汉仪细等线简" w:cs="Times New Roman"/>
      <w:color w:val="000000"/>
      <w:sz w:val="16"/>
      <w:szCs w:val="16"/>
      <w:lang w:val="en-US" w:eastAsia="zh-CN" w:bidi="ar-SA"/>
    </w:rPr>
  </w:style>
  <w:style w:type="paragraph" w:customStyle="1" w:styleId="149">
    <w:name w:val="汉仪细等线简9BOLD"/>
    <w:basedOn w:val="1"/>
    <w:qFormat/>
    <w:uiPriority w:val="99"/>
    <w:pPr>
      <w:autoSpaceDE w:val="0"/>
      <w:autoSpaceDN w:val="0"/>
      <w:adjustRightInd w:val="0"/>
      <w:spacing w:line="240" w:lineRule="atLeast"/>
    </w:pPr>
    <w:rPr>
      <w:rFonts w:ascii="汉仪细等线简" w:eastAsia="汉仪细等线简"/>
      <w:b/>
      <w:bCs/>
      <w:kern w:val="0"/>
      <w:sz w:val="18"/>
      <w:szCs w:val="18"/>
    </w:rPr>
  </w:style>
  <w:style w:type="character" w:customStyle="1" w:styleId="150">
    <w:name w:val="mode"/>
    <w:qFormat/>
    <w:uiPriority w:val="99"/>
    <w:rPr>
      <w:rFonts w:cs="Times New Roman"/>
    </w:rPr>
  </w:style>
  <w:style w:type="paragraph" w:customStyle="1" w:styleId="151">
    <w:name w:val="9"/>
    <w:basedOn w:val="1"/>
    <w:next w:val="7"/>
    <w:qFormat/>
    <w:uiPriority w:val="99"/>
    <w:pPr>
      <w:autoSpaceDE w:val="0"/>
      <w:autoSpaceDN w:val="0"/>
      <w:adjustRightInd w:val="0"/>
      <w:ind w:firstLine="420"/>
      <w:jc w:val="left"/>
      <w:textAlignment w:val="baseline"/>
    </w:pPr>
    <w:rPr>
      <w:rFonts w:ascii="宋体"/>
      <w:kern w:val="0"/>
      <w:sz w:val="34"/>
      <w:szCs w:val="20"/>
    </w:rPr>
  </w:style>
  <w:style w:type="character" w:customStyle="1" w:styleId="152">
    <w:name w:val="unnamed3"/>
    <w:qFormat/>
    <w:uiPriority w:val="99"/>
    <w:rPr>
      <w:rFonts w:cs="Times New Roman"/>
    </w:rPr>
  </w:style>
  <w:style w:type="paragraph" w:customStyle="1" w:styleId="153">
    <w:name w:val="8"/>
    <w:basedOn w:val="1"/>
    <w:next w:val="19"/>
    <w:qFormat/>
    <w:uiPriority w:val="99"/>
    <w:pPr>
      <w:spacing w:after="120"/>
      <w:ind w:left="420" w:leftChars="200"/>
    </w:pPr>
  </w:style>
  <w:style w:type="paragraph" w:customStyle="1" w:styleId="154">
    <w:name w:val="7"/>
    <w:basedOn w:val="1"/>
    <w:qFormat/>
    <w:uiPriority w:val="99"/>
    <w:pPr>
      <w:autoSpaceDE w:val="0"/>
      <w:autoSpaceDN w:val="0"/>
      <w:adjustRightInd w:val="0"/>
      <w:spacing w:line="270" w:lineRule="atLeast"/>
      <w:jc w:val="left"/>
    </w:pPr>
    <w:rPr>
      <w:rFonts w:ascii="宋体"/>
      <w:kern w:val="0"/>
      <w:sz w:val="18"/>
      <w:szCs w:val="18"/>
    </w:rPr>
  </w:style>
  <w:style w:type="paragraph" w:customStyle="1" w:styleId="155">
    <w:name w:val="00"/>
    <w:basedOn w:val="1"/>
    <w:qFormat/>
    <w:uiPriority w:val="99"/>
    <w:pPr>
      <w:autoSpaceDE w:val="0"/>
      <w:autoSpaceDN w:val="0"/>
      <w:adjustRightInd w:val="0"/>
      <w:jc w:val="left"/>
    </w:pPr>
    <w:rPr>
      <w:rFonts w:ascii="黑体" w:eastAsia="黑体"/>
      <w:b/>
      <w:bCs/>
      <w:kern w:val="0"/>
      <w:sz w:val="20"/>
      <w:szCs w:val="20"/>
    </w:rPr>
  </w:style>
  <w:style w:type="paragraph" w:customStyle="1" w:styleId="156">
    <w:name w:val="5"/>
    <w:basedOn w:val="1"/>
    <w:qFormat/>
    <w:uiPriority w:val="99"/>
    <w:pPr>
      <w:autoSpaceDE w:val="0"/>
      <w:autoSpaceDN w:val="0"/>
      <w:adjustRightInd w:val="0"/>
      <w:jc w:val="left"/>
    </w:pPr>
    <w:rPr>
      <w:rFonts w:ascii="宋体"/>
      <w:b/>
      <w:bCs/>
      <w:kern w:val="0"/>
      <w:sz w:val="18"/>
      <w:szCs w:val="18"/>
    </w:rPr>
  </w:style>
  <w:style w:type="paragraph" w:customStyle="1" w:styleId="157">
    <w:name w:val="6"/>
    <w:basedOn w:val="156"/>
    <w:qFormat/>
    <w:uiPriority w:val="99"/>
    <w:pPr>
      <w:spacing w:line="270" w:lineRule="atLeast"/>
      <w:jc w:val="both"/>
    </w:pPr>
    <w:rPr>
      <w:b w:val="0"/>
      <w:bCs w:val="0"/>
    </w:rPr>
  </w:style>
  <w:style w:type="paragraph" w:customStyle="1" w:styleId="158">
    <w:name w:val="产品描述"/>
    <w:qFormat/>
    <w:uiPriority w:val="99"/>
    <w:pPr>
      <w:widowControl w:val="0"/>
      <w:autoSpaceDE w:val="0"/>
      <w:autoSpaceDN w:val="0"/>
      <w:adjustRightInd w:val="0"/>
      <w:spacing w:line="270" w:lineRule="atLeast"/>
      <w:ind w:firstLine="397"/>
      <w:jc w:val="both"/>
    </w:pPr>
    <w:rPr>
      <w:rFonts w:ascii="宋体" w:hAnsi="Times New Roman" w:eastAsia="宋体" w:cs="Times New Roman"/>
      <w:sz w:val="18"/>
      <w:szCs w:val="18"/>
      <w:lang w:val="en-US" w:eastAsia="zh-CN" w:bidi="ar-SA"/>
    </w:rPr>
  </w:style>
  <w:style w:type="paragraph" w:customStyle="1" w:styleId="159">
    <w:name w:val="姜文清定义的正文"/>
    <w:basedOn w:val="1"/>
    <w:qFormat/>
    <w:uiPriority w:val="99"/>
    <w:pPr>
      <w:spacing w:line="240" w:lineRule="atLeast"/>
      <w:ind w:firstLine="567"/>
    </w:pPr>
    <w:rPr>
      <w:szCs w:val="20"/>
    </w:rPr>
  </w:style>
  <w:style w:type="paragraph" w:customStyle="1" w:styleId="160">
    <w:name w:val="CM2"/>
    <w:basedOn w:val="62"/>
    <w:next w:val="62"/>
    <w:qFormat/>
    <w:uiPriority w:val="99"/>
    <w:pPr>
      <w:spacing w:line="200" w:lineRule="atLeast"/>
    </w:pPr>
    <w:rPr>
      <w:rFonts w:ascii="Arial" w:hAnsi="Arial" w:eastAsia="宋体" w:cs="Times New Roman"/>
      <w:color w:val="auto"/>
    </w:rPr>
  </w:style>
  <w:style w:type="paragraph" w:customStyle="1" w:styleId="161">
    <w:name w:val="Normal Paragraph"/>
    <w:basedOn w:val="1"/>
    <w:qFormat/>
    <w:uiPriority w:val="99"/>
    <w:pPr>
      <w:widowControl/>
      <w:spacing w:before="120" w:line="360" w:lineRule="auto"/>
      <w:ind w:firstLine="425"/>
    </w:pPr>
    <w:rPr>
      <w:kern w:val="0"/>
      <w:sz w:val="24"/>
    </w:rPr>
  </w:style>
  <w:style w:type="character" w:customStyle="1" w:styleId="162">
    <w:name w:val="blue"/>
    <w:qFormat/>
    <w:uiPriority w:val="99"/>
    <w:rPr>
      <w:rFonts w:cs="Times New Roman"/>
    </w:rPr>
  </w:style>
  <w:style w:type="paragraph" w:customStyle="1" w:styleId="163">
    <w:name w:val="blue1"/>
    <w:basedOn w:val="1"/>
    <w:qFormat/>
    <w:uiPriority w:val="99"/>
    <w:pPr>
      <w:widowControl/>
      <w:spacing w:before="100" w:beforeAutospacing="1" w:after="100" w:afterAutospacing="1"/>
      <w:jc w:val="left"/>
    </w:pPr>
    <w:rPr>
      <w:rFonts w:ascii="宋体" w:hAnsi="宋体" w:cs="宋体"/>
      <w:kern w:val="0"/>
      <w:sz w:val="24"/>
    </w:rPr>
  </w:style>
  <w:style w:type="character" w:customStyle="1" w:styleId="164">
    <w:name w:val="font"/>
    <w:qFormat/>
    <w:uiPriority w:val="99"/>
    <w:rPr>
      <w:rFonts w:cs="Times New Roman"/>
    </w:rPr>
  </w:style>
  <w:style w:type="character" w:customStyle="1" w:styleId="165">
    <w:name w:val="font11"/>
    <w:qFormat/>
    <w:uiPriority w:val="99"/>
    <w:rPr>
      <w:rFonts w:ascii="??" w:hAnsi="??"/>
    </w:rPr>
  </w:style>
  <w:style w:type="paragraph" w:customStyle="1" w:styleId="166">
    <w:name w:val="a14"/>
    <w:basedOn w:val="1"/>
    <w:qFormat/>
    <w:uiPriority w:val="99"/>
    <w:pPr>
      <w:widowControl/>
      <w:spacing w:before="100" w:beforeAutospacing="1" w:after="100" w:afterAutospacing="1" w:line="300" w:lineRule="atLeast"/>
      <w:ind w:firstLine="375"/>
      <w:jc w:val="left"/>
    </w:pPr>
    <w:rPr>
      <w:rFonts w:ascii="宋体" w:hAnsi="宋体" w:cs="宋体"/>
      <w:kern w:val="0"/>
      <w:szCs w:val="21"/>
    </w:rPr>
  </w:style>
  <w:style w:type="character" w:customStyle="1" w:styleId="167">
    <w:name w:val="proddescription"/>
    <w:qFormat/>
    <w:uiPriority w:val="99"/>
    <w:rPr>
      <w:rFonts w:cs="Times New Roman"/>
    </w:rPr>
  </w:style>
  <w:style w:type="character" w:customStyle="1" w:styleId="168">
    <w:name w:val="prodheadlines"/>
    <w:qFormat/>
    <w:uiPriority w:val="99"/>
    <w:rPr>
      <w:rFonts w:cs="Times New Roman"/>
    </w:rPr>
  </w:style>
  <w:style w:type="character" w:customStyle="1" w:styleId="169">
    <w:name w:val="text"/>
    <w:qFormat/>
    <w:uiPriority w:val="99"/>
    <w:rPr>
      <w:rFonts w:cs="Times New Roman"/>
    </w:rPr>
  </w:style>
  <w:style w:type="paragraph" w:customStyle="1" w:styleId="170">
    <w:name w:val="text1"/>
    <w:basedOn w:val="1"/>
    <w:qFormat/>
    <w:uiPriority w:val="99"/>
    <w:pPr>
      <w:widowControl/>
      <w:spacing w:before="100" w:beforeAutospacing="1" w:after="100" w:afterAutospacing="1"/>
      <w:jc w:val="left"/>
    </w:pPr>
    <w:rPr>
      <w:rFonts w:ascii="宋体" w:hAnsi="宋体" w:cs="宋体"/>
      <w:kern w:val="0"/>
      <w:sz w:val="24"/>
    </w:rPr>
  </w:style>
  <w:style w:type="paragraph" w:customStyle="1" w:styleId="171">
    <w:name w:val="z-窗体顶端1"/>
    <w:basedOn w:val="1"/>
    <w:next w:val="1"/>
    <w:hidden/>
    <w:qFormat/>
    <w:uiPriority w:val="99"/>
    <w:pPr>
      <w:widowControl/>
      <w:pBdr>
        <w:bottom w:val="single" w:color="auto" w:sz="6" w:space="1"/>
      </w:pBdr>
      <w:jc w:val="center"/>
    </w:pPr>
    <w:rPr>
      <w:rFonts w:ascii="Arial" w:hAnsi="Arial" w:cs="Arial"/>
      <w:vanish/>
      <w:kern w:val="0"/>
      <w:sz w:val="16"/>
      <w:szCs w:val="16"/>
    </w:rPr>
  </w:style>
  <w:style w:type="paragraph" w:customStyle="1" w:styleId="172">
    <w:name w:val="z-窗体底端1"/>
    <w:basedOn w:val="1"/>
    <w:next w:val="1"/>
    <w:hidden/>
    <w:qFormat/>
    <w:uiPriority w:val="99"/>
    <w:pPr>
      <w:widowControl/>
      <w:pBdr>
        <w:top w:val="single" w:color="auto" w:sz="6" w:space="1"/>
      </w:pBdr>
      <w:jc w:val="center"/>
    </w:pPr>
    <w:rPr>
      <w:rFonts w:ascii="Arial" w:hAnsi="Arial" w:cs="Arial"/>
      <w:vanish/>
      <w:kern w:val="0"/>
      <w:sz w:val="16"/>
      <w:szCs w:val="16"/>
    </w:rPr>
  </w:style>
  <w:style w:type="paragraph" w:customStyle="1" w:styleId="173">
    <w:name w:val="正文样式"/>
    <w:basedOn w:val="1"/>
    <w:qFormat/>
    <w:uiPriority w:val="99"/>
    <w:pPr>
      <w:adjustRightInd w:val="0"/>
      <w:spacing w:line="400" w:lineRule="atLeast"/>
      <w:ind w:firstLine="570" w:firstLineChars="203"/>
      <w:textAlignment w:val="baseline"/>
    </w:pPr>
    <w:rPr>
      <w:rFonts w:eastAsia="仿宋_GB2312"/>
      <w:kern w:val="0"/>
      <w:sz w:val="28"/>
      <w:szCs w:val="20"/>
    </w:rPr>
  </w:style>
  <w:style w:type="paragraph" w:customStyle="1" w:styleId="174">
    <w:name w:val="xl34"/>
    <w:basedOn w:val="1"/>
    <w:qFormat/>
    <w:uiPriority w:val="99"/>
    <w:pPr>
      <w:widowControl/>
      <w:pBdr>
        <w:left w:val="single" w:color="auto" w:sz="4" w:space="0"/>
      </w:pBdr>
      <w:spacing w:before="100" w:beforeAutospacing="1" w:after="100" w:afterAutospacing="1"/>
      <w:jc w:val="center"/>
      <w:textAlignment w:val="center"/>
    </w:pPr>
    <w:rPr>
      <w:rFonts w:ascii="宋体" w:hAnsi="宋体"/>
      <w:kern w:val="0"/>
      <w:sz w:val="24"/>
    </w:rPr>
  </w:style>
  <w:style w:type="paragraph" w:customStyle="1" w:styleId="175">
    <w:name w:val="段落正文"/>
    <w:basedOn w:val="22"/>
    <w:qFormat/>
    <w:uiPriority w:val="99"/>
    <w:pPr>
      <w:ind w:firstLine="560" w:firstLineChars="200"/>
    </w:pPr>
    <w:rPr>
      <w:sz w:val="28"/>
    </w:rPr>
  </w:style>
  <w:style w:type="character" w:customStyle="1" w:styleId="176">
    <w:name w:val="gray6"/>
    <w:qFormat/>
    <w:uiPriority w:val="99"/>
    <w:rPr>
      <w:rFonts w:cs="Times New Roman"/>
    </w:rPr>
  </w:style>
  <w:style w:type="character" w:customStyle="1" w:styleId="177">
    <w:name w:val="style9"/>
    <w:qFormat/>
    <w:uiPriority w:val="99"/>
    <w:rPr>
      <w:rFonts w:cs="Times New Roman"/>
    </w:rPr>
  </w:style>
  <w:style w:type="paragraph" w:customStyle="1" w:styleId="178">
    <w:name w:val="2册标题4"/>
    <w:basedOn w:val="1"/>
    <w:next w:val="1"/>
    <w:qFormat/>
    <w:uiPriority w:val="99"/>
    <w:pPr>
      <w:spacing w:beforeLines="50" w:afterLines="50" w:line="300" w:lineRule="auto"/>
      <w:ind w:left="420" w:leftChars="200"/>
      <w:outlineLvl w:val="3"/>
    </w:pPr>
    <w:rPr>
      <w:rFonts w:ascii="Arial" w:hAnsi="Arial" w:eastAsia="幼圆" w:cs="Arial"/>
      <w:b/>
      <w:sz w:val="24"/>
    </w:rPr>
  </w:style>
  <w:style w:type="character" w:customStyle="1" w:styleId="179">
    <w:name w:val="grame"/>
    <w:qFormat/>
    <w:uiPriority w:val="99"/>
    <w:rPr>
      <w:rFonts w:cs="Times New Roman"/>
    </w:rPr>
  </w:style>
  <w:style w:type="paragraph" w:customStyle="1" w:styleId="180">
    <w:name w:val="style2"/>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181">
    <w:name w:val="Char1"/>
    <w:basedOn w:val="1"/>
    <w:qFormat/>
    <w:uiPriority w:val="99"/>
    <w:pPr>
      <w:jc w:val="left"/>
    </w:pPr>
    <w:rPr>
      <w:rFonts w:ascii="Tahoma" w:hAnsi="Tahoma"/>
      <w:sz w:val="24"/>
      <w:szCs w:val="20"/>
    </w:rPr>
  </w:style>
  <w:style w:type="paragraph" w:customStyle="1" w:styleId="182">
    <w:name w:val="编号1"/>
    <w:basedOn w:val="1"/>
    <w:qFormat/>
    <w:uiPriority w:val="99"/>
    <w:pPr>
      <w:numPr>
        <w:ilvl w:val="0"/>
        <w:numId w:val="6"/>
      </w:numPr>
      <w:adjustRightInd w:val="0"/>
      <w:spacing w:line="300" w:lineRule="auto"/>
      <w:ind w:right="210"/>
      <w:textAlignment w:val="center"/>
    </w:pPr>
    <w:rPr>
      <w:rFonts w:ascii="宋体" w:hAnsi="宋体"/>
      <w:spacing w:val="10"/>
      <w:kern w:val="24"/>
    </w:rPr>
  </w:style>
  <w:style w:type="paragraph" w:customStyle="1" w:styleId="183">
    <w:name w:val="Char Char Char Char Char Char Char Char Char Char Char Char Char Char Char Char Char Char Char Char Char Char"/>
    <w:basedOn w:val="1"/>
    <w:qFormat/>
    <w:uiPriority w:val="99"/>
    <w:pPr>
      <w:widowControl/>
      <w:spacing w:line="400" w:lineRule="exact"/>
      <w:jc w:val="center"/>
    </w:pPr>
    <w:rPr>
      <w:rFonts w:ascii="Verdana" w:hAnsi="Verdana"/>
      <w:kern w:val="0"/>
      <w:szCs w:val="20"/>
      <w:lang w:eastAsia="en-US"/>
    </w:rPr>
  </w:style>
  <w:style w:type="paragraph" w:customStyle="1" w:styleId="184">
    <w:name w:val="font0"/>
    <w:basedOn w:val="1"/>
    <w:qFormat/>
    <w:uiPriority w:val="99"/>
    <w:pPr>
      <w:widowControl/>
      <w:spacing w:before="100" w:beforeAutospacing="1" w:after="100" w:afterAutospacing="1"/>
      <w:jc w:val="left"/>
    </w:pPr>
    <w:rPr>
      <w:rFonts w:ascii="宋体" w:hAnsi="宋体"/>
      <w:kern w:val="0"/>
      <w:sz w:val="24"/>
    </w:rPr>
  </w:style>
  <w:style w:type="paragraph" w:customStyle="1" w:styleId="185">
    <w:name w:val="font5"/>
    <w:basedOn w:val="1"/>
    <w:qFormat/>
    <w:uiPriority w:val="99"/>
    <w:pPr>
      <w:widowControl/>
      <w:spacing w:before="100" w:beforeAutospacing="1" w:after="100" w:afterAutospacing="1"/>
      <w:jc w:val="left"/>
    </w:pPr>
    <w:rPr>
      <w:rFonts w:ascii="宋体" w:hAnsi="宋体"/>
      <w:kern w:val="0"/>
      <w:sz w:val="18"/>
      <w:szCs w:val="18"/>
    </w:rPr>
  </w:style>
  <w:style w:type="paragraph" w:customStyle="1" w:styleId="186">
    <w:name w:val="font6"/>
    <w:basedOn w:val="1"/>
    <w:qFormat/>
    <w:uiPriority w:val="99"/>
    <w:pPr>
      <w:widowControl/>
      <w:spacing w:before="100" w:beforeAutospacing="1" w:after="100" w:afterAutospacing="1"/>
      <w:jc w:val="left"/>
    </w:pPr>
    <w:rPr>
      <w:kern w:val="0"/>
      <w:sz w:val="24"/>
    </w:rPr>
  </w:style>
  <w:style w:type="paragraph" w:customStyle="1" w:styleId="187">
    <w:name w:val="xl2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188">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89">
    <w:name w:val="表格字"/>
    <w:basedOn w:val="1"/>
    <w:qFormat/>
    <w:uiPriority w:val="99"/>
    <w:pPr>
      <w:adjustRightInd w:val="0"/>
      <w:jc w:val="center"/>
    </w:pPr>
    <w:rPr>
      <w:rFonts w:ascii="宋体"/>
      <w:sz w:val="24"/>
      <w:szCs w:val="20"/>
    </w:rPr>
  </w:style>
  <w:style w:type="character" w:customStyle="1" w:styleId="190">
    <w:name w:val="样式 小三 加粗"/>
    <w:qFormat/>
    <w:uiPriority w:val="99"/>
    <w:rPr>
      <w:rFonts w:eastAsia="宋体"/>
      <w:b/>
      <w:sz w:val="32"/>
    </w:rPr>
  </w:style>
  <w:style w:type="paragraph" w:customStyle="1" w:styleId="191">
    <w:name w:val="xl2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2">
    <w:name w:val="qw"/>
    <w:qFormat/>
    <w:uiPriority w:val="99"/>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93">
    <w:name w:val="Char Char Char"/>
    <w:basedOn w:val="1"/>
    <w:qFormat/>
    <w:uiPriority w:val="99"/>
    <w:rPr>
      <w:rFonts w:ascii="Tahoma" w:hAnsi="Tahoma"/>
      <w:sz w:val="24"/>
      <w:szCs w:val="20"/>
    </w:rPr>
  </w:style>
  <w:style w:type="paragraph" w:customStyle="1" w:styleId="194">
    <w:name w:val="Char2"/>
    <w:basedOn w:val="1"/>
    <w:qFormat/>
    <w:uiPriority w:val="99"/>
    <w:pPr>
      <w:widowControl/>
      <w:spacing w:after="160" w:line="240" w:lineRule="exact"/>
      <w:jc w:val="left"/>
    </w:pPr>
    <w:rPr>
      <w:rFonts w:ascii="Verdana" w:hAnsi="Verdana" w:eastAsia="仿宋_GB2312"/>
      <w:kern w:val="0"/>
      <w:sz w:val="24"/>
      <w:szCs w:val="20"/>
      <w:lang w:eastAsia="en-US"/>
    </w:rPr>
  </w:style>
  <w:style w:type="character" w:customStyle="1" w:styleId="195">
    <w:name w:val="info4"/>
    <w:qFormat/>
    <w:uiPriority w:val="99"/>
    <w:rPr>
      <w:rFonts w:cs="Times New Roman"/>
    </w:rPr>
  </w:style>
  <w:style w:type="paragraph" w:customStyle="1" w:styleId="196">
    <w:name w:val="缩进正文"/>
    <w:basedOn w:val="1"/>
    <w:link w:val="197"/>
    <w:qFormat/>
    <w:uiPriority w:val="99"/>
    <w:pPr>
      <w:ind w:firstLine="560" w:firstLineChars="200"/>
    </w:pPr>
    <w:rPr>
      <w:rFonts w:eastAsia="仿宋_GB2312"/>
      <w:sz w:val="28"/>
      <w:szCs w:val="20"/>
    </w:rPr>
  </w:style>
  <w:style w:type="character" w:customStyle="1" w:styleId="197">
    <w:name w:val="缩进正文 Char"/>
    <w:link w:val="196"/>
    <w:qFormat/>
    <w:locked/>
    <w:uiPriority w:val="99"/>
    <w:rPr>
      <w:rFonts w:eastAsia="仿宋_GB2312"/>
      <w:kern w:val="2"/>
      <w:sz w:val="28"/>
      <w:lang w:val="en-US" w:eastAsia="zh-CN"/>
    </w:rPr>
  </w:style>
  <w:style w:type="paragraph" w:customStyle="1" w:styleId="198">
    <w:name w:val="列出段落1"/>
    <w:basedOn w:val="1"/>
    <w:qFormat/>
    <w:uiPriority w:val="99"/>
    <w:pPr>
      <w:ind w:firstLine="420" w:firstLineChars="200"/>
    </w:pPr>
    <w:rPr>
      <w:rFonts w:ascii="Calibri" w:hAnsi="Calibri" w:cs="Calibri"/>
      <w:szCs w:val="21"/>
    </w:rPr>
  </w:style>
  <w:style w:type="paragraph" w:customStyle="1" w:styleId="199">
    <w:name w:val="评价"/>
    <w:basedOn w:val="1"/>
    <w:qFormat/>
    <w:uiPriority w:val="99"/>
    <w:pPr>
      <w:spacing w:afterLines="20"/>
      <w:ind w:firstLine="1446" w:firstLineChars="200"/>
    </w:pPr>
    <w:rPr>
      <w:rFonts w:ascii="Calibri" w:hAnsi="Calibri"/>
      <w:sz w:val="24"/>
    </w:rPr>
  </w:style>
  <w:style w:type="paragraph" w:customStyle="1" w:styleId="200">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201">
    <w:name w:val="alt-edited1"/>
    <w:qFormat/>
    <w:uiPriority w:val="99"/>
    <w:rPr>
      <w:color w:val="4D90F0"/>
    </w:rPr>
  </w:style>
  <w:style w:type="paragraph" w:customStyle="1" w:styleId="202">
    <w:name w:val="toc 14"/>
    <w:next w:val="1"/>
    <w:qFormat/>
    <w:uiPriority w:val="99"/>
    <w:pPr>
      <w:wordWrap w:val="0"/>
      <w:jc w:val="both"/>
    </w:pPr>
    <w:rPr>
      <w:rFonts w:ascii="Calibri" w:hAnsi="Calibri" w:eastAsia="宋体" w:cs="Times New Roman"/>
      <w:sz w:val="21"/>
      <w:lang w:val="en-US" w:eastAsia="zh-CN" w:bidi="ar-SA"/>
    </w:rPr>
  </w:style>
  <w:style w:type="character" w:customStyle="1" w:styleId="203">
    <w:name w:val="文档结构图 Char1"/>
    <w:semiHidden/>
    <w:qFormat/>
    <w:uiPriority w:val="99"/>
    <w:rPr>
      <w:sz w:val="20"/>
    </w:rPr>
  </w:style>
  <w:style w:type="character" w:customStyle="1" w:styleId="204">
    <w:name w:val="文档结构图 Char"/>
    <w:semiHidden/>
    <w:qFormat/>
    <w:uiPriority w:val="99"/>
    <w:rPr>
      <w:sz w:val="20"/>
    </w:rPr>
  </w:style>
  <w:style w:type="character" w:customStyle="1" w:styleId="205">
    <w:name w:val="short_text"/>
    <w:qFormat/>
    <w:uiPriority w:val="99"/>
    <w:rPr>
      <w:rFonts w:cs="Times New Roman"/>
      <w:sz w:val="20"/>
    </w:rPr>
  </w:style>
  <w:style w:type="character" w:customStyle="1" w:styleId="206">
    <w:name w:val="标题 Char1"/>
    <w:qFormat/>
    <w:uiPriority w:val="99"/>
    <w:rPr>
      <w:b/>
      <w:sz w:val="20"/>
    </w:rPr>
  </w:style>
  <w:style w:type="character" w:customStyle="1" w:styleId="207">
    <w:name w:val="正文文本缩进 3 Char1"/>
    <w:semiHidden/>
    <w:qFormat/>
    <w:uiPriority w:val="99"/>
    <w:rPr>
      <w:sz w:val="20"/>
    </w:rPr>
  </w:style>
  <w:style w:type="character" w:customStyle="1" w:styleId="208">
    <w:name w:val="font21"/>
    <w:qFormat/>
    <w:uiPriority w:val="99"/>
    <w:rPr>
      <w:rFonts w:cs="Times New Roman"/>
      <w:color w:val="FF0000"/>
      <w:sz w:val="20"/>
      <w:u w:val="none"/>
    </w:rPr>
  </w:style>
  <w:style w:type="character" w:customStyle="1" w:styleId="209">
    <w:name w:val="不明显强调1"/>
    <w:qFormat/>
    <w:uiPriority w:val="99"/>
    <w:rPr>
      <w:i/>
      <w:sz w:val="20"/>
    </w:rPr>
  </w:style>
  <w:style w:type="character" w:customStyle="1" w:styleId="210">
    <w:name w:val="font71"/>
    <w:qFormat/>
    <w:uiPriority w:val="99"/>
    <w:rPr>
      <w:sz w:val="20"/>
      <w:u w:val="none"/>
    </w:rPr>
  </w:style>
  <w:style w:type="character" w:customStyle="1" w:styleId="211">
    <w:name w:val="页眉 Char1"/>
    <w:semiHidden/>
    <w:qFormat/>
    <w:uiPriority w:val="99"/>
    <w:rPr>
      <w:sz w:val="20"/>
    </w:rPr>
  </w:style>
  <w:style w:type="character" w:customStyle="1" w:styleId="212">
    <w:name w:val="正文文本缩进 2 Char1"/>
    <w:semiHidden/>
    <w:qFormat/>
    <w:uiPriority w:val="99"/>
    <w:rPr>
      <w:sz w:val="20"/>
    </w:rPr>
  </w:style>
  <w:style w:type="character" w:customStyle="1" w:styleId="213">
    <w:name w:val="font61"/>
    <w:qFormat/>
    <w:uiPriority w:val="99"/>
    <w:rPr>
      <w:sz w:val="20"/>
      <w:u w:val="none"/>
    </w:rPr>
  </w:style>
  <w:style w:type="character" w:customStyle="1" w:styleId="214">
    <w:name w:val="纯文本 Char1"/>
    <w:semiHidden/>
    <w:qFormat/>
    <w:uiPriority w:val="99"/>
    <w:rPr>
      <w:sz w:val="20"/>
    </w:rPr>
  </w:style>
  <w:style w:type="character" w:customStyle="1" w:styleId="215">
    <w:name w:val="正文文本 3 Char1"/>
    <w:semiHidden/>
    <w:qFormat/>
    <w:uiPriority w:val="99"/>
    <w:rPr>
      <w:sz w:val="20"/>
    </w:rPr>
  </w:style>
  <w:style w:type="character" w:customStyle="1" w:styleId="216">
    <w:name w:val="正文文本缩进 Char1"/>
    <w:semiHidden/>
    <w:qFormat/>
    <w:uiPriority w:val="99"/>
    <w:rPr>
      <w:sz w:val="20"/>
    </w:rPr>
  </w:style>
  <w:style w:type="character" w:customStyle="1" w:styleId="217">
    <w:name w:val="明显参考1"/>
    <w:qFormat/>
    <w:uiPriority w:val="99"/>
    <w:rPr>
      <w:b/>
      <w:sz w:val="20"/>
    </w:rPr>
  </w:style>
  <w:style w:type="character" w:customStyle="1" w:styleId="218">
    <w:name w:val="apple-converted-space"/>
    <w:qFormat/>
    <w:uiPriority w:val="99"/>
    <w:rPr>
      <w:sz w:val="20"/>
    </w:rPr>
  </w:style>
  <w:style w:type="character" w:customStyle="1" w:styleId="219">
    <w:name w:val="书籍标题1"/>
    <w:qFormat/>
    <w:uiPriority w:val="99"/>
    <w:rPr>
      <w:b/>
      <w:i/>
      <w:sz w:val="20"/>
    </w:rPr>
  </w:style>
  <w:style w:type="character" w:customStyle="1" w:styleId="220">
    <w:name w:val="long_text"/>
    <w:qFormat/>
    <w:uiPriority w:val="99"/>
    <w:rPr>
      <w:sz w:val="20"/>
    </w:rPr>
  </w:style>
  <w:style w:type="character" w:customStyle="1" w:styleId="221">
    <w:name w:val="日期 Char1"/>
    <w:semiHidden/>
    <w:qFormat/>
    <w:uiPriority w:val="99"/>
    <w:rPr>
      <w:sz w:val="20"/>
    </w:rPr>
  </w:style>
  <w:style w:type="character" w:customStyle="1" w:styleId="222">
    <w:name w:val="批注文字 Char1"/>
    <w:semiHidden/>
    <w:qFormat/>
    <w:uiPriority w:val="99"/>
    <w:rPr>
      <w:sz w:val="20"/>
    </w:rPr>
  </w:style>
  <w:style w:type="character" w:customStyle="1" w:styleId="223">
    <w:name w:val="明显强调1"/>
    <w:qFormat/>
    <w:uiPriority w:val="99"/>
    <w:rPr>
      <w:i/>
      <w:sz w:val="20"/>
    </w:rPr>
  </w:style>
  <w:style w:type="character" w:customStyle="1" w:styleId="224">
    <w:name w:val="16"/>
    <w:qFormat/>
    <w:uiPriority w:val="99"/>
    <w:rPr>
      <w:b/>
      <w:color w:val="FF0356"/>
      <w:sz w:val="20"/>
    </w:rPr>
  </w:style>
  <w:style w:type="character" w:customStyle="1" w:styleId="225">
    <w:name w:val="批注主题 Char1"/>
    <w:semiHidden/>
    <w:qFormat/>
    <w:uiPriority w:val="99"/>
    <w:rPr>
      <w:b/>
      <w:sz w:val="20"/>
    </w:rPr>
  </w:style>
  <w:style w:type="character" w:customStyle="1" w:styleId="226">
    <w:name w:val="正文文本 2 Char1"/>
    <w:semiHidden/>
    <w:qFormat/>
    <w:uiPriority w:val="99"/>
    <w:rPr>
      <w:sz w:val="20"/>
    </w:rPr>
  </w:style>
  <w:style w:type="character" w:customStyle="1" w:styleId="227">
    <w:name w:val="font31"/>
    <w:qFormat/>
    <w:uiPriority w:val="99"/>
    <w:rPr>
      <w:color w:val="FF0000"/>
      <w:sz w:val="20"/>
      <w:u w:val="none"/>
      <w:vertAlign w:val="superscript"/>
    </w:rPr>
  </w:style>
  <w:style w:type="character" w:customStyle="1" w:styleId="228">
    <w:name w:val="不明显参考1"/>
    <w:qFormat/>
    <w:uiPriority w:val="99"/>
    <w:rPr>
      <w:sz w:val="20"/>
    </w:rPr>
  </w:style>
  <w:style w:type="character" w:customStyle="1" w:styleId="229">
    <w:name w:val="HTML 预设格式 Char1"/>
    <w:semiHidden/>
    <w:qFormat/>
    <w:uiPriority w:val="99"/>
    <w:rPr>
      <w:sz w:val="20"/>
    </w:rPr>
  </w:style>
  <w:style w:type="character" w:customStyle="1" w:styleId="230">
    <w:name w:val="font01"/>
    <w:qFormat/>
    <w:uiPriority w:val="99"/>
    <w:rPr>
      <w:color w:val="FF0000"/>
      <w:sz w:val="20"/>
      <w:u w:val="none"/>
      <w:vertAlign w:val="superscript"/>
    </w:rPr>
  </w:style>
  <w:style w:type="character" w:customStyle="1" w:styleId="231">
    <w:name w:val="页脚 Char1"/>
    <w:semiHidden/>
    <w:qFormat/>
    <w:uiPriority w:val="99"/>
    <w:rPr>
      <w:sz w:val="20"/>
    </w:rPr>
  </w:style>
  <w:style w:type="character" w:customStyle="1" w:styleId="232">
    <w:name w:val="批注框文本 Char1"/>
    <w:semiHidden/>
    <w:qFormat/>
    <w:uiPriority w:val="99"/>
    <w:rPr>
      <w:sz w:val="20"/>
    </w:rPr>
  </w:style>
  <w:style w:type="paragraph" w:customStyle="1" w:styleId="233">
    <w:name w:val="列出段落2"/>
    <w:basedOn w:val="1"/>
    <w:next w:val="234"/>
    <w:qFormat/>
    <w:uiPriority w:val="99"/>
    <w:pPr>
      <w:ind w:firstLine="420"/>
    </w:pPr>
    <w:rPr>
      <w:rFonts w:hAnsi="Calibri"/>
      <w:kern w:val="0"/>
      <w:szCs w:val="20"/>
    </w:rPr>
  </w:style>
  <w:style w:type="paragraph" w:customStyle="1" w:styleId="234">
    <w:name w:val="toc 814"/>
    <w:next w:val="1"/>
    <w:qFormat/>
    <w:uiPriority w:val="99"/>
    <w:pPr>
      <w:wordWrap w:val="0"/>
      <w:ind w:left="2975"/>
      <w:jc w:val="both"/>
    </w:pPr>
    <w:rPr>
      <w:rFonts w:ascii="Calibri" w:hAnsi="Calibri" w:eastAsia="宋体" w:cs="Times New Roman"/>
      <w:sz w:val="21"/>
      <w:lang w:val="en-US" w:eastAsia="zh-CN" w:bidi="ar-SA"/>
    </w:rPr>
  </w:style>
  <w:style w:type="paragraph" w:customStyle="1" w:styleId="235">
    <w:name w:val="toc 62"/>
    <w:next w:val="1"/>
    <w:qFormat/>
    <w:uiPriority w:val="99"/>
    <w:pPr>
      <w:wordWrap w:val="0"/>
      <w:ind w:left="2125"/>
      <w:jc w:val="both"/>
    </w:pPr>
    <w:rPr>
      <w:rFonts w:ascii="Calibri" w:hAnsi="Calibri" w:eastAsia="宋体" w:cs="Times New Roman"/>
      <w:sz w:val="21"/>
      <w:lang w:val="en-US" w:eastAsia="zh-CN" w:bidi="ar-SA"/>
    </w:rPr>
  </w:style>
  <w:style w:type="paragraph" w:customStyle="1" w:styleId="236">
    <w:name w:val="toc 414"/>
    <w:next w:val="1"/>
    <w:qFormat/>
    <w:uiPriority w:val="99"/>
    <w:pPr>
      <w:wordWrap w:val="0"/>
      <w:ind w:left="1275"/>
      <w:jc w:val="both"/>
    </w:pPr>
    <w:rPr>
      <w:rFonts w:ascii="Calibri" w:hAnsi="Calibri" w:eastAsia="宋体" w:cs="Times New Roman"/>
      <w:sz w:val="21"/>
      <w:lang w:val="en-US" w:eastAsia="zh-CN" w:bidi="ar-SA"/>
    </w:rPr>
  </w:style>
  <w:style w:type="paragraph" w:customStyle="1" w:styleId="237">
    <w:name w:val="toc 411"/>
    <w:next w:val="1"/>
    <w:qFormat/>
    <w:uiPriority w:val="99"/>
    <w:pPr>
      <w:wordWrap w:val="0"/>
      <w:ind w:left="1275"/>
      <w:jc w:val="both"/>
    </w:pPr>
    <w:rPr>
      <w:rFonts w:ascii="Calibri" w:hAnsi="Calibri" w:eastAsia="宋体" w:cs="Times New Roman"/>
      <w:sz w:val="21"/>
      <w:lang w:val="en-US" w:eastAsia="zh-CN" w:bidi="ar-SA"/>
    </w:rPr>
  </w:style>
  <w:style w:type="paragraph" w:customStyle="1" w:styleId="238">
    <w:name w:val="xl86"/>
    <w:basedOn w:val="1"/>
    <w:next w:val="239"/>
    <w:qFormat/>
    <w:uiPriority w:val="99"/>
    <w:pPr>
      <w:widowControl/>
      <w:shd w:val="clear" w:color="000000" w:fill="FFFFFF"/>
      <w:spacing w:before="280" w:after="280"/>
      <w:jc w:val="center"/>
    </w:pPr>
    <w:rPr>
      <w:rFonts w:ascii="宋体" w:hAnsi="Calibri"/>
      <w:kern w:val="0"/>
      <w:sz w:val="20"/>
      <w:szCs w:val="20"/>
    </w:rPr>
  </w:style>
  <w:style w:type="paragraph" w:customStyle="1" w:styleId="239">
    <w:name w:val="toc 515"/>
    <w:next w:val="1"/>
    <w:qFormat/>
    <w:uiPriority w:val="99"/>
    <w:pPr>
      <w:wordWrap w:val="0"/>
      <w:ind w:left="1700"/>
      <w:jc w:val="both"/>
    </w:pPr>
    <w:rPr>
      <w:rFonts w:ascii="Calibri" w:hAnsi="Calibri" w:eastAsia="宋体" w:cs="Times New Roman"/>
      <w:sz w:val="21"/>
      <w:lang w:val="en-US" w:eastAsia="zh-CN" w:bidi="ar-SA"/>
    </w:rPr>
  </w:style>
  <w:style w:type="paragraph" w:customStyle="1" w:styleId="240">
    <w:name w:val="TOC Heading4"/>
    <w:next w:val="1"/>
    <w:qFormat/>
    <w:uiPriority w:val="99"/>
    <w:pPr>
      <w:wordWrap w:val="0"/>
    </w:pPr>
    <w:rPr>
      <w:rFonts w:ascii="Calibri" w:hAnsi="Calibri" w:eastAsia="宋体" w:cs="Times New Roman"/>
      <w:sz w:val="32"/>
      <w:lang w:val="en-US" w:eastAsia="zh-CN" w:bidi="ar-SA"/>
    </w:rPr>
  </w:style>
  <w:style w:type="paragraph" w:customStyle="1" w:styleId="241">
    <w:name w:val="toc 15"/>
    <w:next w:val="1"/>
    <w:qFormat/>
    <w:uiPriority w:val="99"/>
    <w:pPr>
      <w:wordWrap w:val="0"/>
      <w:jc w:val="both"/>
    </w:pPr>
    <w:rPr>
      <w:rFonts w:ascii="Calibri" w:hAnsi="Calibri" w:eastAsia="宋体" w:cs="Times New Roman"/>
      <w:sz w:val="21"/>
      <w:lang w:val="en-US" w:eastAsia="zh-CN" w:bidi="ar-SA"/>
    </w:rPr>
  </w:style>
  <w:style w:type="paragraph" w:customStyle="1" w:styleId="242">
    <w:name w:val="TOC Heading2"/>
    <w:next w:val="1"/>
    <w:qFormat/>
    <w:uiPriority w:val="99"/>
    <w:pPr>
      <w:wordWrap w:val="0"/>
    </w:pPr>
    <w:rPr>
      <w:rFonts w:ascii="Calibri" w:hAnsi="Calibri" w:eastAsia="宋体" w:cs="Times New Roman"/>
      <w:sz w:val="32"/>
      <w:lang w:val="en-US" w:eastAsia="zh-CN" w:bidi="ar-SA"/>
    </w:rPr>
  </w:style>
  <w:style w:type="paragraph" w:customStyle="1" w:styleId="243">
    <w:name w:val="TOC Heading1"/>
    <w:next w:val="1"/>
    <w:qFormat/>
    <w:uiPriority w:val="99"/>
    <w:pPr>
      <w:wordWrap w:val="0"/>
    </w:pPr>
    <w:rPr>
      <w:rFonts w:ascii="Calibri" w:hAnsi="Calibri" w:eastAsia="宋体" w:cs="Times New Roman"/>
      <w:sz w:val="32"/>
      <w:lang w:val="en-US" w:eastAsia="zh-CN" w:bidi="ar-SA"/>
    </w:rPr>
  </w:style>
  <w:style w:type="paragraph" w:customStyle="1" w:styleId="244">
    <w:name w:val="toc 73"/>
    <w:next w:val="1"/>
    <w:qFormat/>
    <w:uiPriority w:val="99"/>
    <w:pPr>
      <w:wordWrap w:val="0"/>
      <w:ind w:left="2550"/>
      <w:jc w:val="both"/>
    </w:pPr>
    <w:rPr>
      <w:rFonts w:ascii="Calibri" w:hAnsi="Calibri" w:eastAsia="宋体" w:cs="Times New Roman"/>
      <w:sz w:val="21"/>
      <w:lang w:val="en-US" w:eastAsia="zh-CN" w:bidi="ar-SA"/>
    </w:rPr>
  </w:style>
  <w:style w:type="paragraph" w:customStyle="1" w:styleId="245">
    <w:name w:val="font7"/>
    <w:basedOn w:val="1"/>
    <w:next w:val="246"/>
    <w:qFormat/>
    <w:uiPriority w:val="99"/>
    <w:pPr>
      <w:widowControl/>
      <w:spacing w:before="280" w:after="280"/>
    </w:pPr>
    <w:rPr>
      <w:rFonts w:ascii="Arial" w:hAnsi="Calibri"/>
      <w:kern w:val="0"/>
      <w:sz w:val="18"/>
      <w:szCs w:val="20"/>
    </w:rPr>
  </w:style>
  <w:style w:type="paragraph" w:customStyle="1" w:styleId="246">
    <w:name w:val="toc 810"/>
    <w:next w:val="1"/>
    <w:qFormat/>
    <w:uiPriority w:val="99"/>
    <w:pPr>
      <w:wordWrap w:val="0"/>
      <w:ind w:left="2975"/>
      <w:jc w:val="both"/>
    </w:pPr>
    <w:rPr>
      <w:rFonts w:ascii="Calibri" w:hAnsi="Calibri" w:eastAsia="宋体" w:cs="Times New Roman"/>
      <w:sz w:val="21"/>
      <w:lang w:val="en-US" w:eastAsia="zh-CN" w:bidi="ar-SA"/>
    </w:rPr>
  </w:style>
  <w:style w:type="paragraph" w:customStyle="1" w:styleId="247">
    <w:name w:val="xl113"/>
    <w:basedOn w:val="1"/>
    <w:next w:val="248"/>
    <w:qFormat/>
    <w:uiPriority w:val="99"/>
    <w:pPr>
      <w:widowControl/>
      <w:shd w:val="clear" w:color="000000" w:fill="FFFFFF"/>
      <w:spacing w:before="280" w:after="280"/>
      <w:jc w:val="center"/>
    </w:pPr>
    <w:rPr>
      <w:rFonts w:ascii="宋体" w:hAnsi="Calibri"/>
      <w:b/>
      <w:kern w:val="0"/>
      <w:sz w:val="20"/>
      <w:szCs w:val="20"/>
    </w:rPr>
  </w:style>
  <w:style w:type="paragraph" w:customStyle="1" w:styleId="248">
    <w:name w:val="TOC Heading10"/>
    <w:next w:val="1"/>
    <w:qFormat/>
    <w:uiPriority w:val="99"/>
    <w:pPr>
      <w:wordWrap w:val="0"/>
    </w:pPr>
    <w:rPr>
      <w:rFonts w:ascii="Calibri" w:hAnsi="Calibri" w:eastAsia="宋体" w:cs="Times New Roman"/>
      <w:sz w:val="32"/>
      <w:lang w:val="en-US" w:eastAsia="zh-CN" w:bidi="ar-SA"/>
    </w:rPr>
  </w:style>
  <w:style w:type="paragraph" w:customStyle="1" w:styleId="249">
    <w:name w:val="toc 89"/>
    <w:next w:val="1"/>
    <w:qFormat/>
    <w:uiPriority w:val="99"/>
    <w:pPr>
      <w:wordWrap w:val="0"/>
      <w:ind w:left="2975"/>
      <w:jc w:val="both"/>
    </w:pPr>
    <w:rPr>
      <w:rFonts w:ascii="Calibri" w:hAnsi="Calibri" w:eastAsia="宋体" w:cs="Times New Roman"/>
      <w:sz w:val="21"/>
      <w:lang w:val="en-US" w:eastAsia="zh-CN" w:bidi="ar-SA"/>
    </w:rPr>
  </w:style>
  <w:style w:type="paragraph" w:customStyle="1" w:styleId="250">
    <w:name w:val="xl73"/>
    <w:basedOn w:val="1"/>
    <w:next w:val="251"/>
    <w:qFormat/>
    <w:uiPriority w:val="99"/>
    <w:pPr>
      <w:widowControl/>
      <w:shd w:val="clear" w:color="000000" w:fill="FFFFFF"/>
      <w:spacing w:before="280" w:after="280"/>
      <w:jc w:val="center"/>
    </w:pPr>
    <w:rPr>
      <w:rFonts w:ascii="宋体" w:hAnsi="Calibri"/>
      <w:kern w:val="0"/>
      <w:sz w:val="20"/>
      <w:szCs w:val="20"/>
    </w:rPr>
  </w:style>
  <w:style w:type="paragraph" w:customStyle="1" w:styleId="251">
    <w:name w:val="toc 613"/>
    <w:next w:val="1"/>
    <w:qFormat/>
    <w:uiPriority w:val="99"/>
    <w:pPr>
      <w:wordWrap w:val="0"/>
      <w:ind w:left="2125"/>
      <w:jc w:val="both"/>
    </w:pPr>
    <w:rPr>
      <w:rFonts w:ascii="Calibri" w:hAnsi="Calibri" w:eastAsia="宋体" w:cs="Times New Roman"/>
      <w:sz w:val="21"/>
      <w:lang w:val="en-US" w:eastAsia="zh-CN" w:bidi="ar-SA"/>
    </w:rPr>
  </w:style>
  <w:style w:type="paragraph" w:customStyle="1" w:styleId="252">
    <w:name w:val="xl79"/>
    <w:basedOn w:val="1"/>
    <w:next w:val="253"/>
    <w:qFormat/>
    <w:uiPriority w:val="99"/>
    <w:pPr>
      <w:widowControl/>
      <w:shd w:val="clear" w:color="000000" w:fill="FFFFFF"/>
      <w:spacing w:before="280" w:after="280"/>
    </w:pPr>
    <w:rPr>
      <w:rFonts w:ascii="宋体" w:hAnsi="Calibri"/>
      <w:b/>
      <w:kern w:val="0"/>
      <w:sz w:val="20"/>
      <w:szCs w:val="20"/>
    </w:rPr>
  </w:style>
  <w:style w:type="paragraph" w:customStyle="1" w:styleId="253">
    <w:name w:val="toc 87"/>
    <w:next w:val="1"/>
    <w:qFormat/>
    <w:uiPriority w:val="99"/>
    <w:pPr>
      <w:wordWrap w:val="0"/>
      <w:ind w:left="2975"/>
      <w:jc w:val="both"/>
    </w:pPr>
    <w:rPr>
      <w:rFonts w:ascii="Calibri" w:hAnsi="Calibri" w:eastAsia="宋体" w:cs="Times New Roman"/>
      <w:sz w:val="21"/>
      <w:lang w:val="en-US" w:eastAsia="zh-CN" w:bidi="ar-SA"/>
    </w:rPr>
  </w:style>
  <w:style w:type="paragraph" w:customStyle="1" w:styleId="254">
    <w:name w:val="toc 11"/>
    <w:next w:val="1"/>
    <w:qFormat/>
    <w:uiPriority w:val="99"/>
    <w:pPr>
      <w:wordWrap w:val="0"/>
      <w:jc w:val="both"/>
    </w:pPr>
    <w:rPr>
      <w:rFonts w:ascii="Calibri" w:hAnsi="Calibri" w:eastAsia="宋体" w:cs="Times New Roman"/>
      <w:sz w:val="21"/>
      <w:lang w:val="en-US" w:eastAsia="zh-CN" w:bidi="ar-SA"/>
    </w:rPr>
  </w:style>
  <w:style w:type="paragraph" w:customStyle="1" w:styleId="255">
    <w:name w:val="toc 410"/>
    <w:next w:val="1"/>
    <w:qFormat/>
    <w:uiPriority w:val="99"/>
    <w:pPr>
      <w:wordWrap w:val="0"/>
      <w:ind w:left="1275"/>
      <w:jc w:val="both"/>
    </w:pPr>
    <w:rPr>
      <w:rFonts w:ascii="Calibri" w:hAnsi="Calibri" w:eastAsia="宋体" w:cs="Times New Roman"/>
      <w:sz w:val="21"/>
      <w:lang w:val="en-US" w:eastAsia="zh-CN" w:bidi="ar-SA"/>
    </w:rPr>
  </w:style>
  <w:style w:type="paragraph" w:customStyle="1" w:styleId="256">
    <w:name w:val="toc 611"/>
    <w:next w:val="1"/>
    <w:qFormat/>
    <w:uiPriority w:val="99"/>
    <w:pPr>
      <w:wordWrap w:val="0"/>
      <w:ind w:left="2125"/>
      <w:jc w:val="both"/>
    </w:pPr>
    <w:rPr>
      <w:rFonts w:ascii="Calibri" w:hAnsi="Calibri" w:eastAsia="宋体" w:cs="Times New Roman"/>
      <w:sz w:val="21"/>
      <w:lang w:val="en-US" w:eastAsia="zh-CN" w:bidi="ar-SA"/>
    </w:rPr>
  </w:style>
  <w:style w:type="paragraph" w:customStyle="1" w:styleId="257">
    <w:name w:val="xl112"/>
    <w:basedOn w:val="1"/>
    <w:next w:val="256"/>
    <w:qFormat/>
    <w:uiPriority w:val="99"/>
    <w:pPr>
      <w:widowControl/>
      <w:shd w:val="clear" w:color="000000" w:fill="FFFFFF"/>
      <w:spacing w:before="280" w:after="280"/>
      <w:jc w:val="center"/>
    </w:pPr>
    <w:rPr>
      <w:rFonts w:ascii="宋体" w:hAnsi="Calibri"/>
      <w:b/>
      <w:kern w:val="0"/>
      <w:sz w:val="20"/>
      <w:szCs w:val="20"/>
    </w:rPr>
  </w:style>
  <w:style w:type="paragraph" w:customStyle="1" w:styleId="258">
    <w:name w:val="toc 514"/>
    <w:next w:val="1"/>
    <w:qFormat/>
    <w:uiPriority w:val="99"/>
    <w:pPr>
      <w:wordWrap w:val="0"/>
      <w:ind w:left="1700"/>
      <w:jc w:val="both"/>
    </w:pPr>
    <w:rPr>
      <w:rFonts w:ascii="Calibri" w:hAnsi="Calibri" w:eastAsia="宋体" w:cs="Times New Roman"/>
      <w:sz w:val="21"/>
      <w:lang w:val="en-US" w:eastAsia="zh-CN" w:bidi="ar-SA"/>
    </w:rPr>
  </w:style>
  <w:style w:type="paragraph" w:customStyle="1" w:styleId="259">
    <w:name w:val="toc 44"/>
    <w:next w:val="1"/>
    <w:qFormat/>
    <w:uiPriority w:val="99"/>
    <w:pPr>
      <w:wordWrap w:val="0"/>
      <w:ind w:left="1275"/>
      <w:jc w:val="both"/>
    </w:pPr>
    <w:rPr>
      <w:rFonts w:ascii="Calibri" w:hAnsi="Calibri" w:eastAsia="宋体" w:cs="Times New Roman"/>
      <w:sz w:val="21"/>
      <w:lang w:val="en-US" w:eastAsia="zh-CN" w:bidi="ar-SA"/>
    </w:rPr>
  </w:style>
  <w:style w:type="paragraph" w:customStyle="1" w:styleId="260">
    <w:name w:val="toc 412"/>
    <w:next w:val="1"/>
    <w:qFormat/>
    <w:uiPriority w:val="99"/>
    <w:pPr>
      <w:wordWrap w:val="0"/>
      <w:ind w:left="1275"/>
      <w:jc w:val="both"/>
    </w:pPr>
    <w:rPr>
      <w:rFonts w:ascii="Calibri" w:hAnsi="Calibri" w:eastAsia="宋体" w:cs="Times New Roman"/>
      <w:sz w:val="21"/>
      <w:lang w:val="en-US" w:eastAsia="zh-CN" w:bidi="ar-SA"/>
    </w:rPr>
  </w:style>
  <w:style w:type="paragraph" w:customStyle="1" w:styleId="261">
    <w:name w:val="xl74"/>
    <w:basedOn w:val="1"/>
    <w:next w:val="262"/>
    <w:qFormat/>
    <w:uiPriority w:val="99"/>
    <w:pPr>
      <w:widowControl/>
      <w:shd w:val="clear" w:color="000000" w:fill="FFFFFF"/>
      <w:spacing w:before="280" w:after="280"/>
    </w:pPr>
    <w:rPr>
      <w:rFonts w:ascii="宋体" w:hAnsi="Calibri"/>
      <w:kern w:val="0"/>
      <w:sz w:val="20"/>
      <w:szCs w:val="20"/>
    </w:rPr>
  </w:style>
  <w:style w:type="paragraph" w:customStyle="1" w:styleId="262">
    <w:name w:val="toc 57"/>
    <w:next w:val="1"/>
    <w:qFormat/>
    <w:uiPriority w:val="99"/>
    <w:pPr>
      <w:wordWrap w:val="0"/>
      <w:ind w:left="1700"/>
      <w:jc w:val="both"/>
    </w:pPr>
    <w:rPr>
      <w:rFonts w:ascii="Calibri" w:hAnsi="Calibri" w:eastAsia="宋体" w:cs="Times New Roman"/>
      <w:sz w:val="21"/>
      <w:lang w:val="en-US" w:eastAsia="zh-CN" w:bidi="ar-SA"/>
    </w:rPr>
  </w:style>
  <w:style w:type="paragraph" w:customStyle="1" w:styleId="263">
    <w:name w:val="toc 912"/>
    <w:next w:val="1"/>
    <w:qFormat/>
    <w:uiPriority w:val="99"/>
    <w:pPr>
      <w:wordWrap w:val="0"/>
      <w:ind w:left="3400"/>
      <w:jc w:val="both"/>
    </w:pPr>
    <w:rPr>
      <w:rFonts w:ascii="Calibri" w:hAnsi="Calibri" w:eastAsia="宋体" w:cs="Times New Roman"/>
      <w:sz w:val="21"/>
      <w:lang w:val="en-US" w:eastAsia="zh-CN" w:bidi="ar-SA"/>
    </w:rPr>
  </w:style>
  <w:style w:type="paragraph" w:customStyle="1" w:styleId="264">
    <w:name w:val="toc 91"/>
    <w:next w:val="1"/>
    <w:qFormat/>
    <w:uiPriority w:val="99"/>
    <w:pPr>
      <w:wordWrap w:val="0"/>
      <w:ind w:left="3400"/>
      <w:jc w:val="both"/>
    </w:pPr>
    <w:rPr>
      <w:rFonts w:ascii="Calibri" w:hAnsi="Calibri" w:eastAsia="宋体" w:cs="Times New Roman"/>
      <w:sz w:val="21"/>
      <w:lang w:val="en-US" w:eastAsia="zh-CN" w:bidi="ar-SA"/>
    </w:rPr>
  </w:style>
  <w:style w:type="paragraph" w:customStyle="1" w:styleId="265">
    <w:name w:val="toc 38"/>
    <w:next w:val="1"/>
    <w:qFormat/>
    <w:uiPriority w:val="99"/>
    <w:pPr>
      <w:wordWrap w:val="0"/>
      <w:ind w:left="850"/>
      <w:jc w:val="both"/>
    </w:pPr>
    <w:rPr>
      <w:rFonts w:ascii="Calibri" w:hAnsi="Calibri" w:eastAsia="宋体" w:cs="Times New Roman"/>
      <w:sz w:val="21"/>
      <w:lang w:val="en-US" w:eastAsia="zh-CN" w:bidi="ar-SA"/>
    </w:rPr>
  </w:style>
  <w:style w:type="paragraph" w:customStyle="1" w:styleId="266">
    <w:name w:val="toc 95"/>
    <w:next w:val="1"/>
    <w:qFormat/>
    <w:uiPriority w:val="99"/>
    <w:pPr>
      <w:wordWrap w:val="0"/>
      <w:ind w:left="3400"/>
      <w:jc w:val="both"/>
    </w:pPr>
    <w:rPr>
      <w:rFonts w:ascii="Calibri" w:hAnsi="Calibri" w:eastAsia="宋体" w:cs="Times New Roman"/>
      <w:sz w:val="21"/>
      <w:lang w:val="en-US" w:eastAsia="zh-CN" w:bidi="ar-SA"/>
    </w:rPr>
  </w:style>
  <w:style w:type="paragraph" w:customStyle="1" w:styleId="267">
    <w:name w:val="列出段落5"/>
    <w:basedOn w:val="1"/>
    <w:next w:val="268"/>
    <w:qFormat/>
    <w:uiPriority w:val="99"/>
    <w:pPr>
      <w:ind w:firstLine="420"/>
    </w:pPr>
    <w:rPr>
      <w:rFonts w:hAnsi="Calibri"/>
      <w:kern w:val="0"/>
      <w:szCs w:val="20"/>
    </w:rPr>
  </w:style>
  <w:style w:type="paragraph" w:customStyle="1" w:styleId="268">
    <w:name w:val="toc 312"/>
    <w:next w:val="1"/>
    <w:qFormat/>
    <w:uiPriority w:val="99"/>
    <w:pPr>
      <w:wordWrap w:val="0"/>
      <w:ind w:left="850"/>
      <w:jc w:val="both"/>
    </w:pPr>
    <w:rPr>
      <w:rFonts w:ascii="Calibri" w:hAnsi="Calibri" w:eastAsia="宋体" w:cs="Times New Roman"/>
      <w:sz w:val="21"/>
      <w:lang w:val="en-US" w:eastAsia="zh-CN" w:bidi="ar-SA"/>
    </w:rPr>
  </w:style>
  <w:style w:type="paragraph" w:customStyle="1" w:styleId="269">
    <w:name w:val="xl66"/>
    <w:basedOn w:val="1"/>
    <w:next w:val="270"/>
    <w:qFormat/>
    <w:uiPriority w:val="99"/>
    <w:pPr>
      <w:widowControl/>
      <w:shd w:val="clear" w:color="000000" w:fill="FFFFFF"/>
      <w:spacing w:before="280" w:after="280"/>
    </w:pPr>
    <w:rPr>
      <w:rFonts w:ascii="宋体" w:hAnsi="Calibri"/>
      <w:kern w:val="0"/>
      <w:sz w:val="20"/>
      <w:szCs w:val="20"/>
    </w:rPr>
  </w:style>
  <w:style w:type="paragraph" w:customStyle="1" w:styleId="270">
    <w:name w:val="toc 56"/>
    <w:next w:val="1"/>
    <w:qFormat/>
    <w:uiPriority w:val="99"/>
    <w:pPr>
      <w:wordWrap w:val="0"/>
      <w:ind w:left="1700"/>
      <w:jc w:val="both"/>
    </w:pPr>
    <w:rPr>
      <w:rFonts w:ascii="Calibri" w:hAnsi="Calibri" w:eastAsia="宋体" w:cs="Times New Roman"/>
      <w:sz w:val="21"/>
      <w:lang w:val="en-US" w:eastAsia="zh-CN" w:bidi="ar-SA"/>
    </w:rPr>
  </w:style>
  <w:style w:type="paragraph" w:customStyle="1" w:styleId="271">
    <w:name w:val="TOC Heading3"/>
    <w:next w:val="1"/>
    <w:qFormat/>
    <w:uiPriority w:val="99"/>
    <w:pPr>
      <w:wordWrap w:val="0"/>
    </w:pPr>
    <w:rPr>
      <w:rFonts w:ascii="Calibri" w:hAnsi="Calibri" w:eastAsia="宋体" w:cs="Times New Roman"/>
      <w:sz w:val="32"/>
      <w:lang w:val="en-US" w:eastAsia="zh-CN" w:bidi="ar-SA"/>
    </w:rPr>
  </w:style>
  <w:style w:type="paragraph" w:customStyle="1" w:styleId="272">
    <w:name w:val="toc 65"/>
    <w:next w:val="1"/>
    <w:qFormat/>
    <w:uiPriority w:val="99"/>
    <w:pPr>
      <w:wordWrap w:val="0"/>
      <w:ind w:left="2125"/>
      <w:jc w:val="both"/>
    </w:pPr>
    <w:rPr>
      <w:rFonts w:ascii="Calibri" w:hAnsi="Calibri" w:eastAsia="宋体" w:cs="Times New Roman"/>
      <w:sz w:val="21"/>
      <w:lang w:val="en-US" w:eastAsia="zh-CN" w:bidi="ar-SA"/>
    </w:rPr>
  </w:style>
  <w:style w:type="paragraph" w:customStyle="1" w:styleId="273">
    <w:name w:val="toc 25"/>
    <w:next w:val="1"/>
    <w:qFormat/>
    <w:uiPriority w:val="99"/>
    <w:pPr>
      <w:wordWrap w:val="0"/>
      <w:ind w:left="425"/>
      <w:jc w:val="both"/>
    </w:pPr>
    <w:rPr>
      <w:rFonts w:ascii="Calibri" w:hAnsi="Calibri" w:eastAsia="宋体" w:cs="Times New Roman"/>
      <w:sz w:val="21"/>
      <w:lang w:val="en-US" w:eastAsia="zh-CN" w:bidi="ar-SA"/>
    </w:rPr>
  </w:style>
  <w:style w:type="paragraph" w:customStyle="1" w:styleId="274">
    <w:name w:val="xl84"/>
    <w:basedOn w:val="1"/>
    <w:next w:val="275"/>
    <w:qFormat/>
    <w:uiPriority w:val="99"/>
    <w:pPr>
      <w:widowControl/>
      <w:shd w:val="clear" w:color="000000" w:fill="FFFFFF"/>
      <w:spacing w:before="280" w:after="280"/>
      <w:jc w:val="center"/>
    </w:pPr>
    <w:rPr>
      <w:rFonts w:ascii="宋体" w:hAnsi="Calibri"/>
      <w:kern w:val="0"/>
      <w:sz w:val="20"/>
      <w:szCs w:val="20"/>
    </w:rPr>
  </w:style>
  <w:style w:type="paragraph" w:customStyle="1" w:styleId="275">
    <w:name w:val="toc 99"/>
    <w:next w:val="1"/>
    <w:qFormat/>
    <w:uiPriority w:val="99"/>
    <w:pPr>
      <w:wordWrap w:val="0"/>
      <w:ind w:left="3400"/>
      <w:jc w:val="both"/>
    </w:pPr>
    <w:rPr>
      <w:rFonts w:ascii="Calibri" w:hAnsi="Calibri" w:eastAsia="宋体" w:cs="Times New Roman"/>
      <w:sz w:val="21"/>
      <w:lang w:val="en-US" w:eastAsia="zh-CN" w:bidi="ar-SA"/>
    </w:rPr>
  </w:style>
  <w:style w:type="paragraph" w:customStyle="1" w:styleId="276">
    <w:name w:val="xl81"/>
    <w:basedOn w:val="1"/>
    <w:next w:val="277"/>
    <w:qFormat/>
    <w:uiPriority w:val="99"/>
    <w:pPr>
      <w:widowControl/>
      <w:shd w:val="clear" w:color="000000" w:fill="FFFFFF"/>
      <w:spacing w:before="280" w:after="280"/>
    </w:pPr>
    <w:rPr>
      <w:rFonts w:ascii="宋体" w:hAnsi="Calibri"/>
      <w:kern w:val="0"/>
      <w:sz w:val="20"/>
      <w:szCs w:val="20"/>
    </w:rPr>
  </w:style>
  <w:style w:type="paragraph" w:customStyle="1" w:styleId="277">
    <w:name w:val="toc 59"/>
    <w:next w:val="1"/>
    <w:qFormat/>
    <w:uiPriority w:val="99"/>
    <w:pPr>
      <w:wordWrap w:val="0"/>
      <w:ind w:left="1700"/>
      <w:jc w:val="both"/>
    </w:pPr>
    <w:rPr>
      <w:rFonts w:ascii="Calibri" w:hAnsi="Calibri" w:eastAsia="宋体" w:cs="Times New Roman"/>
      <w:sz w:val="21"/>
      <w:lang w:val="en-US" w:eastAsia="zh-CN" w:bidi="ar-SA"/>
    </w:rPr>
  </w:style>
  <w:style w:type="paragraph" w:customStyle="1" w:styleId="278">
    <w:name w:val="目录 11"/>
    <w:next w:val="1"/>
    <w:qFormat/>
    <w:uiPriority w:val="99"/>
    <w:pPr>
      <w:wordWrap w:val="0"/>
      <w:jc w:val="both"/>
    </w:pPr>
    <w:rPr>
      <w:rFonts w:ascii="Calibri" w:hAnsi="Calibri" w:eastAsia="宋体" w:cs="Times New Roman"/>
      <w:sz w:val="21"/>
      <w:lang w:val="en-US" w:eastAsia="zh-CN" w:bidi="ar-SA"/>
    </w:rPr>
  </w:style>
  <w:style w:type="paragraph" w:customStyle="1" w:styleId="279">
    <w:name w:val="toc 513"/>
    <w:next w:val="1"/>
    <w:qFormat/>
    <w:uiPriority w:val="99"/>
    <w:pPr>
      <w:wordWrap w:val="0"/>
      <w:ind w:left="1700"/>
      <w:jc w:val="both"/>
    </w:pPr>
    <w:rPr>
      <w:rFonts w:ascii="Calibri" w:hAnsi="Calibri" w:eastAsia="宋体" w:cs="Times New Roman"/>
      <w:sz w:val="21"/>
      <w:lang w:val="en-US" w:eastAsia="zh-CN" w:bidi="ar-SA"/>
    </w:rPr>
  </w:style>
  <w:style w:type="paragraph" w:customStyle="1" w:styleId="280">
    <w:name w:val="TOC Heading12"/>
    <w:next w:val="1"/>
    <w:qFormat/>
    <w:uiPriority w:val="99"/>
    <w:pPr>
      <w:wordWrap w:val="0"/>
    </w:pPr>
    <w:rPr>
      <w:rFonts w:ascii="Calibri" w:hAnsi="Calibri" w:eastAsia="宋体" w:cs="Times New Roman"/>
      <w:sz w:val="32"/>
      <w:lang w:val="en-US" w:eastAsia="zh-CN" w:bidi="ar-SA"/>
    </w:rPr>
  </w:style>
  <w:style w:type="paragraph" w:customStyle="1" w:styleId="281">
    <w:name w:val="TOC Heading8"/>
    <w:next w:val="1"/>
    <w:qFormat/>
    <w:uiPriority w:val="99"/>
    <w:pPr>
      <w:wordWrap w:val="0"/>
    </w:pPr>
    <w:rPr>
      <w:rFonts w:ascii="Calibri" w:hAnsi="Calibri" w:eastAsia="宋体" w:cs="Times New Roman"/>
      <w:sz w:val="32"/>
      <w:lang w:val="en-US" w:eastAsia="zh-CN" w:bidi="ar-SA"/>
    </w:rPr>
  </w:style>
  <w:style w:type="paragraph" w:customStyle="1" w:styleId="282">
    <w:name w:val="toc 711"/>
    <w:next w:val="1"/>
    <w:qFormat/>
    <w:uiPriority w:val="99"/>
    <w:pPr>
      <w:wordWrap w:val="0"/>
      <w:ind w:left="2550"/>
      <w:jc w:val="both"/>
    </w:pPr>
    <w:rPr>
      <w:rFonts w:ascii="Calibri" w:hAnsi="Calibri" w:eastAsia="宋体" w:cs="Times New Roman"/>
      <w:sz w:val="21"/>
      <w:lang w:val="en-US" w:eastAsia="zh-CN" w:bidi="ar-SA"/>
    </w:rPr>
  </w:style>
  <w:style w:type="paragraph" w:customStyle="1" w:styleId="283">
    <w:name w:val="toc 212"/>
    <w:next w:val="1"/>
    <w:qFormat/>
    <w:uiPriority w:val="99"/>
    <w:pPr>
      <w:wordWrap w:val="0"/>
      <w:ind w:left="425"/>
      <w:jc w:val="both"/>
    </w:pPr>
    <w:rPr>
      <w:rFonts w:ascii="Calibri" w:hAnsi="Calibri" w:eastAsia="宋体" w:cs="Times New Roman"/>
      <w:sz w:val="21"/>
      <w:lang w:val="en-US" w:eastAsia="zh-CN" w:bidi="ar-SA"/>
    </w:rPr>
  </w:style>
  <w:style w:type="paragraph" w:customStyle="1" w:styleId="284">
    <w:name w:val="目录 21"/>
    <w:next w:val="1"/>
    <w:qFormat/>
    <w:uiPriority w:val="99"/>
    <w:pPr>
      <w:wordWrap w:val="0"/>
      <w:ind w:left="425"/>
      <w:jc w:val="both"/>
    </w:pPr>
    <w:rPr>
      <w:rFonts w:ascii="Calibri" w:hAnsi="Calibri" w:eastAsia="宋体" w:cs="Times New Roman"/>
      <w:sz w:val="21"/>
      <w:lang w:val="en-US" w:eastAsia="zh-CN" w:bidi="ar-SA"/>
    </w:rPr>
  </w:style>
  <w:style w:type="paragraph" w:customStyle="1" w:styleId="285">
    <w:name w:val="toc 45"/>
    <w:next w:val="1"/>
    <w:qFormat/>
    <w:uiPriority w:val="99"/>
    <w:pPr>
      <w:wordWrap w:val="0"/>
      <w:ind w:left="1275"/>
      <w:jc w:val="both"/>
    </w:pPr>
    <w:rPr>
      <w:rFonts w:ascii="Calibri" w:hAnsi="Calibri" w:eastAsia="宋体" w:cs="Times New Roman"/>
      <w:sz w:val="21"/>
      <w:lang w:val="en-US" w:eastAsia="zh-CN" w:bidi="ar-SA"/>
    </w:rPr>
  </w:style>
  <w:style w:type="paragraph" w:customStyle="1" w:styleId="286">
    <w:name w:val="xl116"/>
    <w:basedOn w:val="1"/>
    <w:next w:val="287"/>
    <w:qFormat/>
    <w:uiPriority w:val="99"/>
    <w:pPr>
      <w:widowControl/>
      <w:shd w:val="clear" w:color="000000" w:fill="FFFFFF"/>
      <w:spacing w:before="280" w:after="280"/>
      <w:jc w:val="center"/>
    </w:pPr>
    <w:rPr>
      <w:rFonts w:ascii="Arial Narrow" w:hAnsi="Calibri"/>
      <w:kern w:val="0"/>
      <w:sz w:val="20"/>
      <w:szCs w:val="20"/>
    </w:rPr>
  </w:style>
  <w:style w:type="paragraph" w:customStyle="1" w:styleId="287">
    <w:name w:val="toc 78"/>
    <w:next w:val="1"/>
    <w:qFormat/>
    <w:uiPriority w:val="99"/>
    <w:pPr>
      <w:wordWrap w:val="0"/>
      <w:ind w:left="2550"/>
      <w:jc w:val="both"/>
    </w:pPr>
    <w:rPr>
      <w:rFonts w:ascii="Calibri" w:hAnsi="Calibri" w:eastAsia="宋体" w:cs="Times New Roman"/>
      <w:sz w:val="21"/>
      <w:lang w:val="en-US" w:eastAsia="zh-CN" w:bidi="ar-SA"/>
    </w:rPr>
  </w:style>
  <w:style w:type="paragraph" w:customStyle="1" w:styleId="288">
    <w:name w:val="font8"/>
    <w:basedOn w:val="1"/>
    <w:next w:val="289"/>
    <w:qFormat/>
    <w:uiPriority w:val="99"/>
    <w:pPr>
      <w:widowControl/>
      <w:spacing w:before="280" w:after="280"/>
    </w:pPr>
    <w:rPr>
      <w:rFonts w:ascii="Arial" w:hAnsi="Calibri"/>
      <w:kern w:val="0"/>
      <w:sz w:val="20"/>
      <w:szCs w:val="20"/>
    </w:rPr>
  </w:style>
  <w:style w:type="paragraph" w:customStyle="1" w:styleId="289">
    <w:name w:val="TOC Heading11"/>
    <w:next w:val="1"/>
    <w:qFormat/>
    <w:uiPriority w:val="99"/>
    <w:pPr>
      <w:wordWrap w:val="0"/>
    </w:pPr>
    <w:rPr>
      <w:rFonts w:ascii="Calibri" w:hAnsi="Calibri" w:eastAsia="宋体" w:cs="Times New Roman"/>
      <w:sz w:val="32"/>
      <w:lang w:val="en-US" w:eastAsia="zh-CN" w:bidi="ar-SA"/>
    </w:rPr>
  </w:style>
  <w:style w:type="paragraph" w:customStyle="1" w:styleId="290">
    <w:name w:val="xl69"/>
    <w:basedOn w:val="1"/>
    <w:next w:val="291"/>
    <w:qFormat/>
    <w:uiPriority w:val="99"/>
    <w:pPr>
      <w:widowControl/>
      <w:shd w:val="clear" w:color="000000" w:fill="FFFFFF"/>
      <w:spacing w:before="280" w:after="280"/>
    </w:pPr>
    <w:rPr>
      <w:rFonts w:ascii="宋体" w:hAnsi="Calibri"/>
      <w:b/>
      <w:kern w:val="0"/>
      <w:sz w:val="20"/>
      <w:szCs w:val="20"/>
    </w:rPr>
  </w:style>
  <w:style w:type="paragraph" w:customStyle="1" w:styleId="291">
    <w:name w:val="toc 48"/>
    <w:next w:val="1"/>
    <w:qFormat/>
    <w:uiPriority w:val="99"/>
    <w:pPr>
      <w:wordWrap w:val="0"/>
      <w:ind w:left="1275"/>
      <w:jc w:val="both"/>
    </w:pPr>
    <w:rPr>
      <w:rFonts w:ascii="Calibri" w:hAnsi="Calibri" w:eastAsia="宋体" w:cs="Times New Roman"/>
      <w:sz w:val="21"/>
      <w:lang w:val="en-US" w:eastAsia="zh-CN" w:bidi="ar-SA"/>
    </w:rPr>
  </w:style>
  <w:style w:type="paragraph" w:customStyle="1" w:styleId="292">
    <w:name w:val="toc 813"/>
    <w:next w:val="1"/>
    <w:qFormat/>
    <w:uiPriority w:val="99"/>
    <w:pPr>
      <w:wordWrap w:val="0"/>
      <w:ind w:left="2975"/>
      <w:jc w:val="both"/>
    </w:pPr>
    <w:rPr>
      <w:rFonts w:ascii="Calibri" w:hAnsi="Calibri" w:eastAsia="宋体" w:cs="Times New Roman"/>
      <w:sz w:val="21"/>
      <w:lang w:val="en-US" w:eastAsia="zh-CN" w:bidi="ar-SA"/>
    </w:rPr>
  </w:style>
  <w:style w:type="paragraph" w:customStyle="1" w:styleId="293">
    <w:name w:val="目录 91"/>
    <w:next w:val="1"/>
    <w:qFormat/>
    <w:uiPriority w:val="99"/>
    <w:pPr>
      <w:wordWrap w:val="0"/>
      <w:ind w:left="3400"/>
      <w:jc w:val="both"/>
    </w:pPr>
    <w:rPr>
      <w:rFonts w:ascii="Calibri" w:hAnsi="Calibri" w:eastAsia="宋体" w:cs="Times New Roman"/>
      <w:sz w:val="21"/>
      <w:lang w:val="en-US" w:eastAsia="zh-CN" w:bidi="ar-SA"/>
    </w:rPr>
  </w:style>
  <w:style w:type="paragraph" w:customStyle="1" w:styleId="294">
    <w:name w:val="列出段落3"/>
    <w:basedOn w:val="1"/>
    <w:next w:val="295"/>
    <w:qFormat/>
    <w:uiPriority w:val="99"/>
    <w:pPr>
      <w:ind w:firstLine="420"/>
    </w:pPr>
    <w:rPr>
      <w:rFonts w:hAnsi="Calibri"/>
      <w:kern w:val="0"/>
      <w:szCs w:val="20"/>
    </w:rPr>
  </w:style>
  <w:style w:type="paragraph" w:customStyle="1" w:styleId="295">
    <w:name w:val="toc 213"/>
    <w:next w:val="1"/>
    <w:qFormat/>
    <w:uiPriority w:val="99"/>
    <w:pPr>
      <w:wordWrap w:val="0"/>
      <w:ind w:left="425"/>
      <w:jc w:val="both"/>
    </w:pPr>
    <w:rPr>
      <w:rFonts w:ascii="Calibri" w:hAnsi="Calibri" w:eastAsia="宋体" w:cs="Times New Roman"/>
      <w:sz w:val="21"/>
      <w:lang w:val="en-US" w:eastAsia="zh-CN" w:bidi="ar-SA"/>
    </w:rPr>
  </w:style>
  <w:style w:type="paragraph" w:customStyle="1" w:styleId="296">
    <w:name w:val="TOC 标题1"/>
    <w:next w:val="1"/>
    <w:qFormat/>
    <w:uiPriority w:val="99"/>
    <w:pPr>
      <w:wordWrap w:val="0"/>
    </w:pPr>
    <w:rPr>
      <w:rFonts w:ascii="Calibri" w:hAnsi="Calibri" w:eastAsia="宋体" w:cs="Times New Roman"/>
      <w:sz w:val="32"/>
      <w:lang w:val="en-US" w:eastAsia="zh-CN" w:bidi="ar-SA"/>
    </w:rPr>
  </w:style>
  <w:style w:type="paragraph" w:customStyle="1" w:styleId="297">
    <w:name w:val="TOC Heading5"/>
    <w:next w:val="1"/>
    <w:qFormat/>
    <w:uiPriority w:val="99"/>
    <w:pPr>
      <w:wordWrap w:val="0"/>
    </w:pPr>
    <w:rPr>
      <w:rFonts w:ascii="Calibri" w:hAnsi="Calibri" w:eastAsia="宋体" w:cs="Times New Roman"/>
      <w:sz w:val="32"/>
      <w:lang w:val="en-US" w:eastAsia="zh-CN" w:bidi="ar-SA"/>
    </w:rPr>
  </w:style>
  <w:style w:type="paragraph" w:customStyle="1" w:styleId="298">
    <w:name w:val="toc 313"/>
    <w:next w:val="1"/>
    <w:qFormat/>
    <w:uiPriority w:val="99"/>
    <w:pPr>
      <w:wordWrap w:val="0"/>
      <w:ind w:left="850"/>
      <w:jc w:val="both"/>
    </w:pPr>
    <w:rPr>
      <w:rFonts w:ascii="Calibri" w:hAnsi="Calibri" w:eastAsia="宋体" w:cs="Times New Roman"/>
      <w:sz w:val="21"/>
      <w:lang w:val="en-US" w:eastAsia="zh-CN" w:bidi="ar-SA"/>
    </w:rPr>
  </w:style>
  <w:style w:type="paragraph" w:customStyle="1" w:styleId="299">
    <w:name w:val="toc 716"/>
    <w:next w:val="1"/>
    <w:qFormat/>
    <w:uiPriority w:val="99"/>
    <w:pPr>
      <w:wordWrap w:val="0"/>
      <w:ind w:left="2550"/>
      <w:jc w:val="both"/>
    </w:pPr>
    <w:rPr>
      <w:rFonts w:ascii="Calibri" w:hAnsi="Calibri" w:eastAsia="宋体" w:cs="Times New Roman"/>
      <w:sz w:val="21"/>
      <w:lang w:val="en-US" w:eastAsia="zh-CN" w:bidi="ar-SA"/>
    </w:rPr>
  </w:style>
  <w:style w:type="paragraph" w:customStyle="1" w:styleId="300">
    <w:name w:val="xl115"/>
    <w:basedOn w:val="1"/>
    <w:next w:val="301"/>
    <w:qFormat/>
    <w:uiPriority w:val="99"/>
    <w:pPr>
      <w:widowControl/>
      <w:shd w:val="clear" w:color="000000" w:fill="FFFFFF"/>
      <w:spacing w:before="280" w:after="280"/>
      <w:jc w:val="center"/>
    </w:pPr>
    <w:rPr>
      <w:rFonts w:ascii="宋体" w:hAnsi="Calibri"/>
      <w:b/>
      <w:kern w:val="0"/>
      <w:sz w:val="20"/>
      <w:szCs w:val="20"/>
    </w:rPr>
  </w:style>
  <w:style w:type="paragraph" w:customStyle="1" w:styleId="301">
    <w:name w:val="toc 712"/>
    <w:next w:val="1"/>
    <w:qFormat/>
    <w:uiPriority w:val="99"/>
    <w:pPr>
      <w:wordWrap w:val="0"/>
      <w:ind w:left="2550"/>
      <w:jc w:val="both"/>
    </w:pPr>
    <w:rPr>
      <w:rFonts w:ascii="Calibri" w:hAnsi="Calibri" w:eastAsia="宋体" w:cs="Times New Roman"/>
      <w:sz w:val="21"/>
      <w:lang w:val="en-US" w:eastAsia="zh-CN" w:bidi="ar-SA"/>
    </w:rPr>
  </w:style>
  <w:style w:type="paragraph" w:customStyle="1" w:styleId="302">
    <w:name w:val="toc 64"/>
    <w:next w:val="1"/>
    <w:qFormat/>
    <w:uiPriority w:val="99"/>
    <w:pPr>
      <w:wordWrap w:val="0"/>
      <w:ind w:left="2125"/>
      <w:jc w:val="both"/>
    </w:pPr>
    <w:rPr>
      <w:rFonts w:ascii="Calibri" w:hAnsi="Calibri" w:eastAsia="宋体" w:cs="Times New Roman"/>
      <w:sz w:val="21"/>
      <w:lang w:val="en-US" w:eastAsia="zh-CN" w:bidi="ar-SA"/>
    </w:rPr>
  </w:style>
  <w:style w:type="paragraph" w:customStyle="1" w:styleId="303">
    <w:name w:val="toc 24"/>
    <w:next w:val="1"/>
    <w:qFormat/>
    <w:uiPriority w:val="99"/>
    <w:pPr>
      <w:wordWrap w:val="0"/>
      <w:ind w:left="425"/>
      <w:jc w:val="both"/>
    </w:pPr>
    <w:rPr>
      <w:rFonts w:ascii="Calibri" w:hAnsi="Calibri" w:eastAsia="宋体" w:cs="Times New Roman"/>
      <w:sz w:val="21"/>
      <w:lang w:val="en-US" w:eastAsia="zh-CN" w:bidi="ar-SA"/>
    </w:rPr>
  </w:style>
  <w:style w:type="paragraph" w:customStyle="1" w:styleId="304">
    <w:name w:val="toc 54"/>
    <w:next w:val="1"/>
    <w:qFormat/>
    <w:uiPriority w:val="99"/>
    <w:pPr>
      <w:wordWrap w:val="0"/>
      <w:ind w:left="1700"/>
      <w:jc w:val="both"/>
    </w:pPr>
    <w:rPr>
      <w:rFonts w:ascii="Calibri" w:hAnsi="Calibri" w:eastAsia="宋体" w:cs="Times New Roman"/>
      <w:sz w:val="21"/>
      <w:lang w:val="en-US" w:eastAsia="zh-CN" w:bidi="ar-SA"/>
    </w:rPr>
  </w:style>
  <w:style w:type="paragraph" w:customStyle="1" w:styleId="305">
    <w:name w:val="xl93"/>
    <w:basedOn w:val="1"/>
    <w:next w:val="306"/>
    <w:qFormat/>
    <w:uiPriority w:val="99"/>
    <w:pPr>
      <w:widowControl/>
      <w:shd w:val="clear" w:color="000000" w:fill="FFFFFF"/>
      <w:spacing w:before="280" w:after="280"/>
      <w:jc w:val="center"/>
    </w:pPr>
    <w:rPr>
      <w:rFonts w:ascii="宋体" w:hAnsi="Calibri"/>
      <w:kern w:val="0"/>
      <w:sz w:val="20"/>
      <w:szCs w:val="20"/>
    </w:rPr>
  </w:style>
  <w:style w:type="paragraph" w:customStyle="1" w:styleId="306">
    <w:name w:val="toc 112"/>
    <w:next w:val="1"/>
    <w:qFormat/>
    <w:uiPriority w:val="99"/>
    <w:pPr>
      <w:wordWrap w:val="0"/>
      <w:jc w:val="both"/>
    </w:pPr>
    <w:rPr>
      <w:rFonts w:ascii="Calibri" w:hAnsi="Calibri" w:eastAsia="宋体" w:cs="Times New Roman"/>
      <w:sz w:val="21"/>
      <w:lang w:val="en-US" w:eastAsia="zh-CN" w:bidi="ar-SA"/>
    </w:rPr>
  </w:style>
  <w:style w:type="paragraph" w:customStyle="1" w:styleId="307">
    <w:name w:val="xl96"/>
    <w:basedOn w:val="1"/>
    <w:next w:val="258"/>
    <w:qFormat/>
    <w:uiPriority w:val="99"/>
    <w:pPr>
      <w:widowControl/>
      <w:shd w:val="clear" w:color="000000" w:fill="FFFFFF"/>
      <w:spacing w:before="280" w:after="280"/>
      <w:jc w:val="center"/>
    </w:pPr>
    <w:rPr>
      <w:rFonts w:ascii="宋体" w:hAnsi="Calibri"/>
      <w:kern w:val="0"/>
      <w:sz w:val="20"/>
      <w:szCs w:val="20"/>
    </w:rPr>
  </w:style>
  <w:style w:type="paragraph" w:customStyle="1" w:styleId="308">
    <w:name w:val="xl106"/>
    <w:basedOn w:val="1"/>
    <w:next w:val="292"/>
    <w:qFormat/>
    <w:uiPriority w:val="99"/>
    <w:pPr>
      <w:widowControl/>
      <w:shd w:val="clear" w:color="000000" w:fill="FFFFFF"/>
      <w:spacing w:before="280" w:after="280"/>
    </w:pPr>
    <w:rPr>
      <w:rFonts w:ascii="宋体" w:hAnsi="Calibri"/>
      <w:kern w:val="0"/>
      <w:sz w:val="20"/>
      <w:szCs w:val="20"/>
    </w:rPr>
  </w:style>
  <w:style w:type="paragraph" w:customStyle="1" w:styleId="309">
    <w:name w:val="toc 35"/>
    <w:next w:val="1"/>
    <w:qFormat/>
    <w:uiPriority w:val="99"/>
    <w:pPr>
      <w:wordWrap w:val="0"/>
      <w:ind w:left="850"/>
      <w:jc w:val="both"/>
    </w:pPr>
    <w:rPr>
      <w:rFonts w:ascii="Calibri" w:hAnsi="Calibri" w:eastAsia="宋体" w:cs="Times New Roman"/>
      <w:sz w:val="21"/>
      <w:lang w:val="en-US" w:eastAsia="zh-CN" w:bidi="ar-SA"/>
    </w:rPr>
  </w:style>
  <w:style w:type="paragraph" w:customStyle="1" w:styleId="310">
    <w:name w:val="TOC Heading14"/>
    <w:next w:val="1"/>
    <w:qFormat/>
    <w:uiPriority w:val="99"/>
    <w:pPr>
      <w:wordWrap w:val="0"/>
    </w:pPr>
    <w:rPr>
      <w:rFonts w:ascii="Calibri" w:hAnsi="Calibri" w:eastAsia="宋体" w:cs="Times New Roman"/>
      <w:sz w:val="32"/>
      <w:lang w:val="en-US" w:eastAsia="zh-CN" w:bidi="ar-SA"/>
    </w:rPr>
  </w:style>
  <w:style w:type="paragraph" w:customStyle="1" w:styleId="311">
    <w:name w:val="Char Char Char Char Char Char Char1"/>
    <w:basedOn w:val="1"/>
    <w:next w:val="312"/>
    <w:qFormat/>
    <w:uiPriority w:val="99"/>
    <w:pPr>
      <w:widowControl/>
      <w:spacing w:after="160" w:line="240" w:lineRule="exact"/>
    </w:pPr>
    <w:rPr>
      <w:rFonts w:hAnsi="Calibri"/>
      <w:kern w:val="0"/>
      <w:szCs w:val="20"/>
    </w:rPr>
  </w:style>
  <w:style w:type="paragraph" w:customStyle="1" w:styleId="312">
    <w:name w:val="toc 67"/>
    <w:next w:val="1"/>
    <w:qFormat/>
    <w:uiPriority w:val="99"/>
    <w:pPr>
      <w:wordWrap w:val="0"/>
      <w:ind w:left="2125"/>
      <w:jc w:val="both"/>
    </w:pPr>
    <w:rPr>
      <w:rFonts w:ascii="Calibri" w:hAnsi="Calibri" w:eastAsia="宋体" w:cs="Times New Roman"/>
      <w:sz w:val="21"/>
      <w:lang w:val="en-US" w:eastAsia="zh-CN" w:bidi="ar-SA"/>
    </w:rPr>
  </w:style>
  <w:style w:type="paragraph" w:customStyle="1" w:styleId="313">
    <w:name w:val="列出段落4"/>
    <w:basedOn w:val="1"/>
    <w:next w:val="314"/>
    <w:qFormat/>
    <w:uiPriority w:val="99"/>
    <w:pPr>
      <w:ind w:firstLine="420"/>
    </w:pPr>
    <w:rPr>
      <w:rFonts w:hAnsi="Calibri"/>
      <w:kern w:val="0"/>
      <w:szCs w:val="20"/>
    </w:rPr>
  </w:style>
  <w:style w:type="paragraph" w:customStyle="1" w:styleId="314">
    <w:name w:val="TOC Heading9"/>
    <w:next w:val="1"/>
    <w:qFormat/>
    <w:uiPriority w:val="99"/>
    <w:pPr>
      <w:wordWrap w:val="0"/>
    </w:pPr>
    <w:rPr>
      <w:rFonts w:ascii="Calibri" w:hAnsi="Calibri" w:eastAsia="宋体" w:cs="Times New Roman"/>
      <w:sz w:val="32"/>
      <w:lang w:val="en-US" w:eastAsia="zh-CN" w:bidi="ar-SA"/>
    </w:rPr>
  </w:style>
  <w:style w:type="paragraph" w:customStyle="1" w:styleId="315">
    <w:name w:val="xl71"/>
    <w:basedOn w:val="1"/>
    <w:next w:val="316"/>
    <w:qFormat/>
    <w:uiPriority w:val="99"/>
    <w:pPr>
      <w:widowControl/>
      <w:shd w:val="clear" w:color="000000" w:fill="FFFFFF"/>
      <w:spacing w:before="280" w:after="280"/>
    </w:pPr>
    <w:rPr>
      <w:rFonts w:ascii="宋体" w:hAnsi="Calibri"/>
      <w:kern w:val="0"/>
      <w:sz w:val="24"/>
      <w:szCs w:val="20"/>
    </w:rPr>
  </w:style>
  <w:style w:type="paragraph" w:customStyle="1" w:styleId="316">
    <w:name w:val="toc 115"/>
    <w:next w:val="1"/>
    <w:qFormat/>
    <w:uiPriority w:val="99"/>
    <w:pPr>
      <w:wordWrap w:val="0"/>
      <w:jc w:val="both"/>
    </w:pPr>
    <w:rPr>
      <w:rFonts w:ascii="Calibri" w:hAnsi="Calibri" w:eastAsia="宋体" w:cs="Times New Roman"/>
      <w:sz w:val="21"/>
      <w:lang w:val="en-US" w:eastAsia="zh-CN" w:bidi="ar-SA"/>
    </w:rPr>
  </w:style>
  <w:style w:type="paragraph" w:customStyle="1" w:styleId="317">
    <w:name w:val="toc 51"/>
    <w:next w:val="1"/>
    <w:qFormat/>
    <w:uiPriority w:val="99"/>
    <w:pPr>
      <w:wordWrap w:val="0"/>
      <w:ind w:left="1700"/>
      <w:jc w:val="both"/>
    </w:pPr>
    <w:rPr>
      <w:rFonts w:ascii="Calibri" w:hAnsi="Calibri" w:eastAsia="宋体" w:cs="Times New Roman"/>
      <w:sz w:val="21"/>
      <w:lang w:val="en-US" w:eastAsia="zh-CN" w:bidi="ar-SA"/>
    </w:rPr>
  </w:style>
  <w:style w:type="paragraph" w:customStyle="1" w:styleId="318">
    <w:name w:val="toc 47"/>
    <w:next w:val="1"/>
    <w:qFormat/>
    <w:uiPriority w:val="99"/>
    <w:pPr>
      <w:wordWrap w:val="0"/>
      <w:ind w:left="1275"/>
      <w:jc w:val="both"/>
    </w:pPr>
    <w:rPr>
      <w:rFonts w:ascii="Calibri" w:hAnsi="Calibri" w:eastAsia="宋体" w:cs="Times New Roman"/>
      <w:sz w:val="21"/>
      <w:lang w:val="en-US" w:eastAsia="zh-CN" w:bidi="ar-SA"/>
    </w:rPr>
  </w:style>
  <w:style w:type="paragraph" w:customStyle="1" w:styleId="319">
    <w:name w:val="xl108"/>
    <w:basedOn w:val="1"/>
    <w:next w:val="320"/>
    <w:qFormat/>
    <w:uiPriority w:val="99"/>
    <w:pPr>
      <w:widowControl/>
      <w:shd w:val="clear" w:color="000000" w:fill="FFFFFF"/>
      <w:spacing w:before="280" w:after="280"/>
    </w:pPr>
    <w:rPr>
      <w:rFonts w:ascii="宋体" w:hAnsi="Calibri"/>
      <w:kern w:val="0"/>
      <w:sz w:val="18"/>
      <w:szCs w:val="20"/>
    </w:rPr>
  </w:style>
  <w:style w:type="paragraph" w:customStyle="1" w:styleId="320">
    <w:name w:val="toc 18"/>
    <w:next w:val="1"/>
    <w:qFormat/>
    <w:uiPriority w:val="99"/>
    <w:pPr>
      <w:wordWrap w:val="0"/>
      <w:jc w:val="both"/>
    </w:pPr>
    <w:rPr>
      <w:rFonts w:ascii="Calibri" w:hAnsi="Calibri" w:eastAsia="宋体" w:cs="Times New Roman"/>
      <w:sz w:val="21"/>
      <w:lang w:val="en-US" w:eastAsia="zh-CN" w:bidi="ar-SA"/>
    </w:rPr>
  </w:style>
  <w:style w:type="paragraph" w:customStyle="1" w:styleId="321">
    <w:name w:val="TOC Heading7"/>
    <w:next w:val="1"/>
    <w:qFormat/>
    <w:uiPriority w:val="99"/>
    <w:pPr>
      <w:wordWrap w:val="0"/>
    </w:pPr>
    <w:rPr>
      <w:rFonts w:ascii="Calibri" w:hAnsi="Calibri" w:eastAsia="宋体" w:cs="Times New Roman"/>
      <w:sz w:val="32"/>
      <w:lang w:val="en-US" w:eastAsia="zh-CN" w:bidi="ar-SA"/>
    </w:rPr>
  </w:style>
  <w:style w:type="paragraph" w:customStyle="1" w:styleId="322">
    <w:name w:val="目录 71"/>
    <w:next w:val="1"/>
    <w:qFormat/>
    <w:uiPriority w:val="99"/>
    <w:pPr>
      <w:wordWrap w:val="0"/>
      <w:ind w:left="2550"/>
      <w:jc w:val="both"/>
    </w:pPr>
    <w:rPr>
      <w:rFonts w:ascii="Calibri" w:hAnsi="Calibri" w:eastAsia="宋体" w:cs="Times New Roman"/>
      <w:sz w:val="21"/>
      <w:lang w:val="en-US" w:eastAsia="zh-CN" w:bidi="ar-SA"/>
    </w:rPr>
  </w:style>
  <w:style w:type="paragraph" w:customStyle="1" w:styleId="323">
    <w:name w:val="toc 413"/>
    <w:next w:val="1"/>
    <w:qFormat/>
    <w:uiPriority w:val="99"/>
    <w:pPr>
      <w:wordWrap w:val="0"/>
      <w:ind w:left="1275"/>
      <w:jc w:val="both"/>
    </w:pPr>
    <w:rPr>
      <w:rFonts w:ascii="Calibri" w:hAnsi="Calibri" w:eastAsia="宋体" w:cs="Times New Roman"/>
      <w:sz w:val="21"/>
      <w:lang w:val="en-US" w:eastAsia="zh-CN" w:bidi="ar-SA"/>
    </w:rPr>
  </w:style>
  <w:style w:type="paragraph" w:customStyle="1" w:styleId="324">
    <w:name w:val="toc 85"/>
    <w:next w:val="1"/>
    <w:qFormat/>
    <w:uiPriority w:val="99"/>
    <w:pPr>
      <w:wordWrap w:val="0"/>
      <w:ind w:left="2975"/>
      <w:jc w:val="both"/>
    </w:pPr>
    <w:rPr>
      <w:rFonts w:ascii="Calibri" w:hAnsi="Calibri" w:eastAsia="宋体" w:cs="Times New Roman"/>
      <w:sz w:val="21"/>
      <w:lang w:val="en-US" w:eastAsia="zh-CN" w:bidi="ar-SA"/>
    </w:rPr>
  </w:style>
  <w:style w:type="paragraph" w:customStyle="1" w:styleId="325">
    <w:name w:val="列出段落6"/>
    <w:basedOn w:val="1"/>
    <w:next w:val="326"/>
    <w:qFormat/>
    <w:uiPriority w:val="99"/>
    <w:pPr>
      <w:ind w:firstLine="420"/>
    </w:pPr>
    <w:rPr>
      <w:rFonts w:hAnsi="Calibri"/>
      <w:kern w:val="0"/>
      <w:szCs w:val="20"/>
    </w:rPr>
  </w:style>
  <w:style w:type="paragraph" w:customStyle="1" w:styleId="326">
    <w:name w:val="toc 86"/>
    <w:next w:val="1"/>
    <w:qFormat/>
    <w:uiPriority w:val="99"/>
    <w:pPr>
      <w:wordWrap w:val="0"/>
      <w:ind w:left="2975"/>
      <w:jc w:val="both"/>
    </w:pPr>
    <w:rPr>
      <w:rFonts w:ascii="Calibri" w:hAnsi="Calibri" w:eastAsia="宋体" w:cs="Times New Roman"/>
      <w:sz w:val="21"/>
      <w:lang w:val="en-US" w:eastAsia="zh-CN" w:bidi="ar-SA"/>
    </w:rPr>
  </w:style>
  <w:style w:type="paragraph" w:customStyle="1" w:styleId="327">
    <w:name w:val="xl80"/>
    <w:basedOn w:val="1"/>
    <w:next w:val="328"/>
    <w:qFormat/>
    <w:uiPriority w:val="99"/>
    <w:pPr>
      <w:widowControl/>
      <w:shd w:val="clear" w:color="000000" w:fill="FFFFFF"/>
      <w:spacing w:before="280" w:after="280"/>
      <w:jc w:val="center"/>
    </w:pPr>
    <w:rPr>
      <w:rFonts w:ascii="宋体" w:hAnsi="Calibri"/>
      <w:b/>
      <w:kern w:val="0"/>
      <w:sz w:val="20"/>
      <w:szCs w:val="20"/>
    </w:rPr>
  </w:style>
  <w:style w:type="paragraph" w:customStyle="1" w:styleId="328">
    <w:name w:val="toc 49"/>
    <w:next w:val="1"/>
    <w:qFormat/>
    <w:uiPriority w:val="99"/>
    <w:pPr>
      <w:wordWrap w:val="0"/>
      <w:ind w:left="1275"/>
      <w:jc w:val="both"/>
    </w:pPr>
    <w:rPr>
      <w:rFonts w:ascii="Calibri" w:hAnsi="Calibri" w:eastAsia="宋体" w:cs="Times New Roman"/>
      <w:sz w:val="21"/>
      <w:lang w:val="en-US" w:eastAsia="zh-CN" w:bidi="ar-SA"/>
    </w:rPr>
  </w:style>
  <w:style w:type="paragraph" w:customStyle="1" w:styleId="329">
    <w:name w:val="Char Char Char Char1"/>
    <w:basedOn w:val="1"/>
    <w:next w:val="330"/>
    <w:qFormat/>
    <w:uiPriority w:val="99"/>
    <w:pPr>
      <w:widowControl/>
      <w:spacing w:after="160" w:line="240" w:lineRule="exact"/>
    </w:pPr>
    <w:rPr>
      <w:rFonts w:ascii="Verdana" w:hAnsi="Calibri" w:eastAsia="仿宋_GB2312"/>
      <w:kern w:val="0"/>
      <w:sz w:val="24"/>
      <w:szCs w:val="20"/>
    </w:rPr>
  </w:style>
  <w:style w:type="paragraph" w:customStyle="1" w:styleId="330">
    <w:name w:val="toc 713"/>
    <w:next w:val="1"/>
    <w:qFormat/>
    <w:uiPriority w:val="99"/>
    <w:pPr>
      <w:wordWrap w:val="0"/>
      <w:ind w:left="2550"/>
      <w:jc w:val="both"/>
    </w:pPr>
    <w:rPr>
      <w:rFonts w:ascii="Calibri" w:hAnsi="Calibri" w:eastAsia="宋体" w:cs="Times New Roman"/>
      <w:sz w:val="21"/>
      <w:lang w:val="en-US" w:eastAsia="zh-CN" w:bidi="ar-SA"/>
    </w:rPr>
  </w:style>
  <w:style w:type="paragraph" w:customStyle="1" w:styleId="331">
    <w:name w:val="xl102"/>
    <w:basedOn w:val="1"/>
    <w:next w:val="332"/>
    <w:qFormat/>
    <w:uiPriority w:val="99"/>
    <w:pPr>
      <w:widowControl/>
      <w:shd w:val="clear" w:color="000000" w:fill="FFFFFF"/>
      <w:spacing w:before="280" w:after="280"/>
      <w:jc w:val="right"/>
    </w:pPr>
    <w:rPr>
      <w:rFonts w:ascii="宋体" w:hAnsi="Calibri"/>
      <w:kern w:val="0"/>
      <w:sz w:val="20"/>
      <w:szCs w:val="20"/>
    </w:rPr>
  </w:style>
  <w:style w:type="paragraph" w:customStyle="1" w:styleId="332">
    <w:name w:val="toc 17"/>
    <w:next w:val="1"/>
    <w:qFormat/>
    <w:uiPriority w:val="99"/>
    <w:pPr>
      <w:wordWrap w:val="0"/>
      <w:jc w:val="both"/>
    </w:pPr>
    <w:rPr>
      <w:rFonts w:ascii="Calibri" w:hAnsi="Calibri" w:eastAsia="宋体" w:cs="Times New Roman"/>
      <w:sz w:val="21"/>
      <w:lang w:val="en-US" w:eastAsia="zh-CN" w:bidi="ar-SA"/>
    </w:rPr>
  </w:style>
  <w:style w:type="paragraph" w:customStyle="1" w:styleId="333">
    <w:name w:val="toc 46"/>
    <w:next w:val="1"/>
    <w:qFormat/>
    <w:uiPriority w:val="99"/>
    <w:pPr>
      <w:wordWrap w:val="0"/>
      <w:ind w:left="1275"/>
      <w:jc w:val="both"/>
    </w:pPr>
    <w:rPr>
      <w:rFonts w:ascii="Calibri" w:hAnsi="Calibri" w:eastAsia="宋体" w:cs="Times New Roman"/>
      <w:sz w:val="21"/>
      <w:lang w:val="en-US" w:eastAsia="zh-CN" w:bidi="ar-SA"/>
    </w:rPr>
  </w:style>
  <w:style w:type="paragraph" w:customStyle="1" w:styleId="334">
    <w:name w:val="toc 311"/>
    <w:next w:val="1"/>
    <w:qFormat/>
    <w:uiPriority w:val="99"/>
    <w:pPr>
      <w:wordWrap w:val="0"/>
      <w:ind w:left="850"/>
      <w:jc w:val="both"/>
    </w:pPr>
    <w:rPr>
      <w:rFonts w:ascii="Calibri" w:hAnsi="Calibri" w:eastAsia="宋体" w:cs="Times New Roman"/>
      <w:sz w:val="21"/>
      <w:lang w:val="en-US" w:eastAsia="zh-CN" w:bidi="ar-SA"/>
    </w:rPr>
  </w:style>
  <w:style w:type="paragraph" w:customStyle="1" w:styleId="335">
    <w:name w:val="xl65"/>
    <w:basedOn w:val="1"/>
    <w:next w:val="237"/>
    <w:qFormat/>
    <w:uiPriority w:val="99"/>
    <w:pPr>
      <w:widowControl/>
      <w:shd w:val="clear" w:color="000000" w:fill="FFFFFF"/>
      <w:spacing w:before="280" w:after="280"/>
      <w:jc w:val="center"/>
    </w:pPr>
    <w:rPr>
      <w:rFonts w:ascii="宋体" w:hAnsi="Calibri"/>
      <w:kern w:val="0"/>
      <w:sz w:val="20"/>
      <w:szCs w:val="20"/>
    </w:rPr>
  </w:style>
  <w:style w:type="paragraph" w:customStyle="1" w:styleId="336">
    <w:name w:val="toc 94"/>
    <w:next w:val="1"/>
    <w:qFormat/>
    <w:uiPriority w:val="99"/>
    <w:pPr>
      <w:wordWrap w:val="0"/>
      <w:ind w:left="3400"/>
      <w:jc w:val="both"/>
    </w:pPr>
    <w:rPr>
      <w:rFonts w:ascii="Calibri" w:hAnsi="Calibri" w:eastAsia="宋体" w:cs="Times New Roman"/>
      <w:sz w:val="21"/>
      <w:lang w:val="en-US" w:eastAsia="zh-CN" w:bidi="ar-SA"/>
    </w:rPr>
  </w:style>
  <w:style w:type="paragraph" w:customStyle="1" w:styleId="337">
    <w:name w:val="toc 55"/>
    <w:next w:val="1"/>
    <w:qFormat/>
    <w:uiPriority w:val="99"/>
    <w:pPr>
      <w:wordWrap w:val="0"/>
      <w:ind w:left="1700"/>
      <w:jc w:val="both"/>
    </w:pPr>
    <w:rPr>
      <w:rFonts w:ascii="Calibri" w:hAnsi="Calibri" w:eastAsia="宋体" w:cs="Times New Roman"/>
      <w:sz w:val="21"/>
      <w:lang w:val="en-US" w:eastAsia="zh-CN" w:bidi="ar-SA"/>
    </w:rPr>
  </w:style>
  <w:style w:type="paragraph" w:customStyle="1" w:styleId="338">
    <w:name w:val="toc 812"/>
    <w:next w:val="1"/>
    <w:qFormat/>
    <w:uiPriority w:val="99"/>
    <w:pPr>
      <w:wordWrap w:val="0"/>
      <w:ind w:left="2975"/>
      <w:jc w:val="both"/>
    </w:pPr>
    <w:rPr>
      <w:rFonts w:ascii="Calibri" w:hAnsi="Calibri" w:eastAsia="宋体" w:cs="Times New Roman"/>
      <w:sz w:val="21"/>
      <w:lang w:val="en-US" w:eastAsia="zh-CN" w:bidi="ar-SA"/>
    </w:rPr>
  </w:style>
  <w:style w:type="paragraph" w:customStyle="1" w:styleId="339">
    <w:name w:val="xl75"/>
    <w:basedOn w:val="1"/>
    <w:next w:val="340"/>
    <w:qFormat/>
    <w:uiPriority w:val="99"/>
    <w:pPr>
      <w:widowControl/>
      <w:shd w:val="clear" w:color="000000" w:fill="FFFFFF"/>
      <w:spacing w:before="280" w:after="280"/>
    </w:pPr>
    <w:rPr>
      <w:rFonts w:ascii="宋体" w:hAnsi="Calibri"/>
      <w:kern w:val="0"/>
      <w:sz w:val="20"/>
      <w:szCs w:val="20"/>
    </w:rPr>
  </w:style>
  <w:style w:type="paragraph" w:customStyle="1" w:styleId="340">
    <w:name w:val="toc 914"/>
    <w:next w:val="1"/>
    <w:qFormat/>
    <w:uiPriority w:val="99"/>
    <w:pPr>
      <w:wordWrap w:val="0"/>
      <w:ind w:left="3400"/>
      <w:jc w:val="both"/>
    </w:pPr>
    <w:rPr>
      <w:rFonts w:ascii="Calibri" w:hAnsi="Calibri" w:eastAsia="宋体" w:cs="Times New Roman"/>
      <w:sz w:val="21"/>
      <w:lang w:val="en-US" w:eastAsia="zh-CN" w:bidi="ar-SA"/>
    </w:rPr>
  </w:style>
  <w:style w:type="paragraph" w:customStyle="1" w:styleId="341">
    <w:name w:val="toc 19"/>
    <w:next w:val="1"/>
    <w:qFormat/>
    <w:uiPriority w:val="99"/>
    <w:pPr>
      <w:wordWrap w:val="0"/>
      <w:jc w:val="both"/>
    </w:pPr>
    <w:rPr>
      <w:rFonts w:ascii="Calibri" w:hAnsi="Calibri" w:eastAsia="宋体" w:cs="Times New Roman"/>
      <w:sz w:val="21"/>
      <w:lang w:val="en-US" w:eastAsia="zh-CN" w:bidi="ar-SA"/>
    </w:rPr>
  </w:style>
  <w:style w:type="paragraph" w:customStyle="1" w:styleId="342">
    <w:name w:val="TOC Heading6"/>
    <w:next w:val="1"/>
    <w:qFormat/>
    <w:uiPriority w:val="99"/>
    <w:pPr>
      <w:wordWrap w:val="0"/>
    </w:pPr>
    <w:rPr>
      <w:rFonts w:ascii="Calibri" w:hAnsi="Calibri" w:eastAsia="宋体" w:cs="Times New Roman"/>
      <w:sz w:val="32"/>
      <w:lang w:val="en-US" w:eastAsia="zh-CN" w:bidi="ar-SA"/>
    </w:rPr>
  </w:style>
  <w:style w:type="paragraph" w:customStyle="1" w:styleId="343">
    <w:name w:val="toc 52"/>
    <w:next w:val="1"/>
    <w:qFormat/>
    <w:uiPriority w:val="99"/>
    <w:pPr>
      <w:wordWrap w:val="0"/>
      <w:ind w:left="1700"/>
      <w:jc w:val="both"/>
    </w:pPr>
    <w:rPr>
      <w:rFonts w:ascii="Calibri" w:hAnsi="Calibri" w:eastAsia="宋体" w:cs="Times New Roman"/>
      <w:sz w:val="21"/>
      <w:lang w:val="en-US" w:eastAsia="zh-CN" w:bidi="ar-SA"/>
    </w:rPr>
  </w:style>
  <w:style w:type="paragraph" w:customStyle="1" w:styleId="344">
    <w:name w:val="toc 36"/>
    <w:next w:val="1"/>
    <w:qFormat/>
    <w:uiPriority w:val="99"/>
    <w:pPr>
      <w:wordWrap w:val="0"/>
      <w:ind w:left="850"/>
      <w:jc w:val="both"/>
    </w:pPr>
    <w:rPr>
      <w:rFonts w:ascii="Calibri" w:hAnsi="Calibri" w:eastAsia="宋体" w:cs="Times New Roman"/>
      <w:sz w:val="21"/>
      <w:lang w:val="en-US" w:eastAsia="zh-CN" w:bidi="ar-SA"/>
    </w:rPr>
  </w:style>
  <w:style w:type="paragraph" w:customStyle="1" w:styleId="345">
    <w:name w:val="toc 82"/>
    <w:next w:val="1"/>
    <w:qFormat/>
    <w:uiPriority w:val="99"/>
    <w:pPr>
      <w:wordWrap w:val="0"/>
      <w:ind w:left="2975"/>
      <w:jc w:val="both"/>
    </w:pPr>
    <w:rPr>
      <w:rFonts w:ascii="Calibri" w:hAnsi="Calibri" w:eastAsia="宋体" w:cs="Times New Roman"/>
      <w:sz w:val="21"/>
      <w:lang w:val="en-US" w:eastAsia="zh-CN" w:bidi="ar-SA"/>
    </w:rPr>
  </w:style>
  <w:style w:type="paragraph" w:customStyle="1" w:styleId="346">
    <w:name w:val="xl104"/>
    <w:basedOn w:val="1"/>
    <w:next w:val="347"/>
    <w:qFormat/>
    <w:uiPriority w:val="99"/>
    <w:pPr>
      <w:widowControl/>
      <w:shd w:val="clear" w:color="000000" w:fill="FFFFFF"/>
      <w:spacing w:before="280" w:after="280"/>
      <w:jc w:val="center"/>
    </w:pPr>
    <w:rPr>
      <w:rFonts w:ascii="宋体" w:hAnsi="Calibri"/>
      <w:kern w:val="0"/>
      <w:sz w:val="20"/>
      <w:szCs w:val="20"/>
    </w:rPr>
  </w:style>
  <w:style w:type="paragraph" w:customStyle="1" w:styleId="347">
    <w:name w:val="toc 210"/>
    <w:next w:val="1"/>
    <w:qFormat/>
    <w:uiPriority w:val="99"/>
    <w:pPr>
      <w:wordWrap w:val="0"/>
      <w:ind w:left="425"/>
      <w:jc w:val="both"/>
    </w:pPr>
    <w:rPr>
      <w:rFonts w:ascii="Calibri" w:hAnsi="Calibri" w:eastAsia="宋体" w:cs="Times New Roman"/>
      <w:sz w:val="21"/>
      <w:lang w:val="en-US" w:eastAsia="zh-CN" w:bidi="ar-SA"/>
    </w:rPr>
  </w:style>
  <w:style w:type="paragraph" w:customStyle="1" w:styleId="348">
    <w:name w:val="toc 110"/>
    <w:next w:val="1"/>
    <w:qFormat/>
    <w:uiPriority w:val="99"/>
    <w:pPr>
      <w:wordWrap w:val="0"/>
      <w:jc w:val="both"/>
    </w:pPr>
    <w:rPr>
      <w:rFonts w:ascii="Calibri" w:hAnsi="Calibri" w:eastAsia="宋体" w:cs="Times New Roman"/>
      <w:sz w:val="21"/>
      <w:lang w:val="en-US" w:eastAsia="zh-CN" w:bidi="ar-SA"/>
    </w:rPr>
  </w:style>
  <w:style w:type="paragraph" w:customStyle="1" w:styleId="349">
    <w:name w:val="toc 66"/>
    <w:next w:val="1"/>
    <w:qFormat/>
    <w:uiPriority w:val="99"/>
    <w:pPr>
      <w:wordWrap w:val="0"/>
      <w:ind w:left="2125"/>
      <w:jc w:val="both"/>
    </w:pPr>
    <w:rPr>
      <w:rFonts w:ascii="Calibri" w:hAnsi="Calibri" w:eastAsia="宋体" w:cs="Times New Roman"/>
      <w:sz w:val="21"/>
      <w:lang w:val="en-US" w:eastAsia="zh-CN" w:bidi="ar-SA"/>
    </w:rPr>
  </w:style>
  <w:style w:type="paragraph" w:customStyle="1" w:styleId="350">
    <w:name w:val="toc 31"/>
    <w:next w:val="1"/>
    <w:qFormat/>
    <w:uiPriority w:val="99"/>
    <w:pPr>
      <w:wordWrap w:val="0"/>
      <w:ind w:left="850"/>
      <w:jc w:val="both"/>
    </w:pPr>
    <w:rPr>
      <w:rFonts w:ascii="Calibri" w:hAnsi="Calibri" w:eastAsia="宋体" w:cs="Times New Roman"/>
      <w:sz w:val="21"/>
      <w:lang w:val="en-US" w:eastAsia="zh-CN" w:bidi="ar-SA"/>
    </w:rPr>
  </w:style>
  <w:style w:type="paragraph" w:customStyle="1" w:styleId="351">
    <w:name w:val="toc 93"/>
    <w:next w:val="1"/>
    <w:qFormat/>
    <w:uiPriority w:val="99"/>
    <w:pPr>
      <w:wordWrap w:val="0"/>
      <w:ind w:left="3400"/>
      <w:jc w:val="both"/>
    </w:pPr>
    <w:rPr>
      <w:rFonts w:ascii="Calibri" w:hAnsi="Calibri" w:eastAsia="宋体" w:cs="Times New Roman"/>
      <w:sz w:val="21"/>
      <w:lang w:val="en-US" w:eastAsia="zh-CN" w:bidi="ar-SA"/>
    </w:rPr>
  </w:style>
  <w:style w:type="paragraph" w:customStyle="1" w:styleId="352">
    <w:name w:val="toc 614"/>
    <w:next w:val="1"/>
    <w:qFormat/>
    <w:uiPriority w:val="99"/>
    <w:pPr>
      <w:wordWrap w:val="0"/>
      <w:ind w:left="2125"/>
      <w:jc w:val="both"/>
    </w:pPr>
    <w:rPr>
      <w:rFonts w:ascii="Calibri" w:hAnsi="Calibri" w:eastAsia="宋体" w:cs="Times New Roman"/>
      <w:sz w:val="21"/>
      <w:lang w:val="en-US" w:eastAsia="zh-CN" w:bidi="ar-SA"/>
    </w:rPr>
  </w:style>
  <w:style w:type="paragraph" w:customStyle="1" w:styleId="353">
    <w:name w:val="无间隔1"/>
    <w:next w:val="348"/>
    <w:qFormat/>
    <w:uiPriority w:val="99"/>
    <w:pPr>
      <w:widowControl w:val="0"/>
      <w:jc w:val="both"/>
    </w:pPr>
    <w:rPr>
      <w:rFonts w:ascii="Calibri" w:hAnsi="Calibri" w:eastAsia="宋体" w:cs="Times New Roman"/>
      <w:sz w:val="22"/>
      <w:lang w:val="en-US" w:eastAsia="zh-CN" w:bidi="ar-SA"/>
    </w:rPr>
  </w:style>
  <w:style w:type="paragraph" w:customStyle="1" w:styleId="354">
    <w:name w:val="目录 41"/>
    <w:next w:val="1"/>
    <w:qFormat/>
    <w:uiPriority w:val="99"/>
    <w:pPr>
      <w:wordWrap w:val="0"/>
      <w:ind w:left="1275"/>
      <w:jc w:val="both"/>
    </w:pPr>
    <w:rPr>
      <w:rFonts w:ascii="Calibri" w:hAnsi="Calibri" w:eastAsia="宋体" w:cs="Times New Roman"/>
      <w:sz w:val="21"/>
      <w:lang w:val="en-US" w:eastAsia="zh-CN" w:bidi="ar-SA"/>
    </w:rPr>
  </w:style>
  <w:style w:type="paragraph" w:customStyle="1" w:styleId="355">
    <w:name w:val="xl105"/>
    <w:basedOn w:val="1"/>
    <w:next w:val="356"/>
    <w:qFormat/>
    <w:uiPriority w:val="99"/>
    <w:pPr>
      <w:widowControl/>
      <w:shd w:val="clear" w:color="000000" w:fill="FFFFFF"/>
      <w:spacing w:before="280" w:after="280"/>
    </w:pPr>
    <w:rPr>
      <w:rFonts w:ascii="宋体" w:hAnsi="Calibri"/>
      <w:kern w:val="0"/>
      <w:sz w:val="18"/>
      <w:szCs w:val="20"/>
    </w:rPr>
  </w:style>
  <w:style w:type="paragraph" w:customStyle="1" w:styleId="356">
    <w:name w:val="toc 615"/>
    <w:next w:val="1"/>
    <w:qFormat/>
    <w:uiPriority w:val="99"/>
    <w:pPr>
      <w:wordWrap w:val="0"/>
      <w:ind w:left="2125"/>
      <w:jc w:val="both"/>
    </w:pPr>
    <w:rPr>
      <w:rFonts w:ascii="Calibri" w:hAnsi="Calibri" w:eastAsia="宋体" w:cs="Times New Roman"/>
      <w:sz w:val="21"/>
      <w:lang w:val="en-US" w:eastAsia="zh-CN" w:bidi="ar-SA"/>
    </w:rPr>
  </w:style>
  <w:style w:type="paragraph" w:customStyle="1" w:styleId="357">
    <w:name w:val="toc 41"/>
    <w:next w:val="1"/>
    <w:qFormat/>
    <w:uiPriority w:val="99"/>
    <w:pPr>
      <w:wordWrap w:val="0"/>
      <w:ind w:left="1275"/>
      <w:jc w:val="both"/>
    </w:pPr>
    <w:rPr>
      <w:rFonts w:ascii="Calibri" w:hAnsi="Calibri" w:eastAsia="宋体" w:cs="Times New Roman"/>
      <w:sz w:val="21"/>
      <w:lang w:val="en-US" w:eastAsia="zh-CN" w:bidi="ar-SA"/>
    </w:rPr>
  </w:style>
  <w:style w:type="paragraph" w:customStyle="1" w:styleId="358">
    <w:name w:val="toc 81"/>
    <w:next w:val="1"/>
    <w:qFormat/>
    <w:uiPriority w:val="99"/>
    <w:pPr>
      <w:wordWrap w:val="0"/>
      <w:ind w:left="2975"/>
      <w:jc w:val="both"/>
    </w:pPr>
    <w:rPr>
      <w:rFonts w:ascii="Calibri" w:hAnsi="Calibri" w:eastAsia="宋体" w:cs="Times New Roman"/>
      <w:sz w:val="21"/>
      <w:lang w:val="en-US" w:eastAsia="zh-CN" w:bidi="ar-SA"/>
    </w:rPr>
  </w:style>
  <w:style w:type="paragraph" w:customStyle="1" w:styleId="359">
    <w:name w:val="xl111"/>
    <w:basedOn w:val="1"/>
    <w:next w:val="360"/>
    <w:qFormat/>
    <w:uiPriority w:val="99"/>
    <w:pPr>
      <w:widowControl/>
      <w:shd w:val="clear" w:color="000000" w:fill="FFFFFF"/>
      <w:spacing w:before="280" w:after="280"/>
      <w:jc w:val="center"/>
    </w:pPr>
    <w:rPr>
      <w:rFonts w:ascii="宋体" w:hAnsi="Calibri"/>
      <w:b/>
      <w:kern w:val="0"/>
      <w:sz w:val="20"/>
      <w:szCs w:val="20"/>
    </w:rPr>
  </w:style>
  <w:style w:type="paragraph" w:customStyle="1" w:styleId="360">
    <w:name w:val="toc 88"/>
    <w:next w:val="1"/>
    <w:qFormat/>
    <w:uiPriority w:val="99"/>
    <w:pPr>
      <w:wordWrap w:val="0"/>
      <w:ind w:left="2975"/>
      <w:jc w:val="both"/>
    </w:pPr>
    <w:rPr>
      <w:rFonts w:ascii="Calibri" w:hAnsi="Calibri" w:eastAsia="宋体" w:cs="Times New Roman"/>
      <w:sz w:val="21"/>
      <w:lang w:val="en-US" w:eastAsia="zh-CN" w:bidi="ar-SA"/>
    </w:rPr>
  </w:style>
  <w:style w:type="paragraph" w:customStyle="1" w:styleId="361">
    <w:name w:val="toc 84"/>
    <w:next w:val="1"/>
    <w:qFormat/>
    <w:uiPriority w:val="99"/>
    <w:pPr>
      <w:wordWrap w:val="0"/>
      <w:ind w:left="2975"/>
      <w:jc w:val="both"/>
    </w:pPr>
    <w:rPr>
      <w:rFonts w:ascii="Calibri" w:hAnsi="Calibri" w:eastAsia="宋体" w:cs="Times New Roman"/>
      <w:sz w:val="21"/>
      <w:lang w:val="en-US" w:eastAsia="zh-CN" w:bidi="ar-SA"/>
    </w:rPr>
  </w:style>
  <w:style w:type="paragraph" w:customStyle="1" w:styleId="362">
    <w:name w:val="p0"/>
    <w:basedOn w:val="1"/>
    <w:next w:val="363"/>
    <w:qFormat/>
    <w:uiPriority w:val="99"/>
    <w:pPr>
      <w:widowControl/>
      <w:spacing w:before="280" w:after="280"/>
    </w:pPr>
    <w:rPr>
      <w:rFonts w:ascii="宋体" w:hAnsi="Calibri"/>
      <w:kern w:val="0"/>
      <w:sz w:val="24"/>
      <w:szCs w:val="20"/>
    </w:rPr>
  </w:style>
  <w:style w:type="paragraph" w:customStyle="1" w:styleId="363">
    <w:name w:val="toc 69"/>
    <w:next w:val="1"/>
    <w:qFormat/>
    <w:uiPriority w:val="99"/>
    <w:pPr>
      <w:wordWrap w:val="0"/>
      <w:ind w:left="2125"/>
      <w:jc w:val="both"/>
    </w:pPr>
    <w:rPr>
      <w:rFonts w:ascii="Calibri" w:hAnsi="Calibri" w:eastAsia="宋体" w:cs="Times New Roman"/>
      <w:sz w:val="21"/>
      <w:lang w:val="en-US" w:eastAsia="zh-CN" w:bidi="ar-SA"/>
    </w:rPr>
  </w:style>
  <w:style w:type="paragraph" w:customStyle="1" w:styleId="364">
    <w:name w:val="列出段落11"/>
    <w:basedOn w:val="1"/>
    <w:next w:val="365"/>
    <w:qFormat/>
    <w:uiPriority w:val="99"/>
    <w:pPr>
      <w:widowControl/>
      <w:spacing w:line="360" w:lineRule="auto"/>
      <w:ind w:firstLine="420"/>
    </w:pPr>
    <w:rPr>
      <w:rFonts w:hAnsi="Calibri" w:eastAsia="微软雅黑"/>
      <w:kern w:val="0"/>
      <w:sz w:val="24"/>
      <w:szCs w:val="20"/>
    </w:rPr>
  </w:style>
  <w:style w:type="paragraph" w:customStyle="1" w:styleId="365">
    <w:name w:val="toc 214"/>
    <w:next w:val="1"/>
    <w:qFormat/>
    <w:uiPriority w:val="99"/>
    <w:pPr>
      <w:wordWrap w:val="0"/>
      <w:ind w:left="425"/>
      <w:jc w:val="both"/>
    </w:pPr>
    <w:rPr>
      <w:rFonts w:ascii="Calibri" w:hAnsi="Calibri" w:eastAsia="宋体" w:cs="Times New Roman"/>
      <w:sz w:val="21"/>
      <w:lang w:val="en-US" w:eastAsia="zh-CN" w:bidi="ar-SA"/>
    </w:rPr>
  </w:style>
  <w:style w:type="paragraph" w:customStyle="1" w:styleId="366">
    <w:name w:val="toc 63"/>
    <w:next w:val="1"/>
    <w:qFormat/>
    <w:uiPriority w:val="99"/>
    <w:pPr>
      <w:wordWrap w:val="0"/>
      <w:ind w:left="2125"/>
      <w:jc w:val="both"/>
    </w:pPr>
    <w:rPr>
      <w:rFonts w:ascii="Calibri" w:hAnsi="Calibri" w:eastAsia="宋体" w:cs="Times New Roman"/>
      <w:sz w:val="21"/>
      <w:lang w:val="en-US" w:eastAsia="zh-CN" w:bidi="ar-SA"/>
    </w:rPr>
  </w:style>
  <w:style w:type="paragraph" w:customStyle="1" w:styleId="367">
    <w:name w:val="xl91"/>
    <w:basedOn w:val="1"/>
    <w:next w:val="265"/>
    <w:qFormat/>
    <w:uiPriority w:val="99"/>
    <w:pPr>
      <w:widowControl/>
      <w:shd w:val="clear" w:color="000000" w:fill="FFFFFF"/>
      <w:spacing w:before="280" w:after="280"/>
    </w:pPr>
    <w:rPr>
      <w:rFonts w:ascii="宋体" w:hAnsi="Calibri"/>
      <w:kern w:val="0"/>
      <w:sz w:val="20"/>
      <w:szCs w:val="20"/>
    </w:rPr>
  </w:style>
  <w:style w:type="paragraph" w:customStyle="1" w:styleId="368">
    <w:name w:val="toc 316"/>
    <w:next w:val="1"/>
    <w:qFormat/>
    <w:uiPriority w:val="99"/>
    <w:pPr>
      <w:wordWrap w:val="0"/>
      <w:ind w:left="850"/>
      <w:jc w:val="both"/>
    </w:pPr>
    <w:rPr>
      <w:rFonts w:ascii="Calibri" w:hAnsi="Calibri" w:eastAsia="宋体" w:cs="Times New Roman"/>
      <w:sz w:val="21"/>
      <w:lang w:val="en-US" w:eastAsia="zh-CN" w:bidi="ar-SA"/>
    </w:rPr>
  </w:style>
  <w:style w:type="paragraph" w:customStyle="1" w:styleId="369">
    <w:name w:val="_Style 1"/>
    <w:basedOn w:val="1"/>
    <w:next w:val="370"/>
    <w:qFormat/>
    <w:uiPriority w:val="99"/>
    <w:pPr>
      <w:ind w:firstLine="420"/>
    </w:pPr>
    <w:rPr>
      <w:rFonts w:hAnsi="Calibri"/>
      <w:kern w:val="0"/>
      <w:szCs w:val="20"/>
    </w:rPr>
  </w:style>
  <w:style w:type="paragraph" w:customStyle="1" w:styleId="370">
    <w:name w:val="TOC Heading13"/>
    <w:next w:val="1"/>
    <w:qFormat/>
    <w:uiPriority w:val="99"/>
    <w:pPr>
      <w:wordWrap w:val="0"/>
    </w:pPr>
    <w:rPr>
      <w:rFonts w:ascii="Calibri" w:hAnsi="Calibri" w:eastAsia="宋体" w:cs="Times New Roman"/>
      <w:sz w:val="32"/>
      <w:lang w:val="en-US" w:eastAsia="zh-CN" w:bidi="ar-SA"/>
    </w:rPr>
  </w:style>
  <w:style w:type="paragraph" w:customStyle="1" w:styleId="371">
    <w:name w:val="toc 116"/>
    <w:next w:val="1"/>
    <w:qFormat/>
    <w:uiPriority w:val="99"/>
    <w:pPr>
      <w:wordWrap w:val="0"/>
      <w:jc w:val="both"/>
    </w:pPr>
    <w:rPr>
      <w:rFonts w:ascii="Calibri" w:hAnsi="Calibri" w:eastAsia="宋体" w:cs="Times New Roman"/>
      <w:sz w:val="21"/>
      <w:lang w:val="en-US" w:eastAsia="zh-CN" w:bidi="ar-SA"/>
    </w:rPr>
  </w:style>
  <w:style w:type="paragraph" w:customStyle="1" w:styleId="372">
    <w:name w:val="toc 72"/>
    <w:next w:val="1"/>
    <w:qFormat/>
    <w:uiPriority w:val="99"/>
    <w:pPr>
      <w:wordWrap w:val="0"/>
      <w:ind w:left="2550"/>
      <w:jc w:val="both"/>
    </w:pPr>
    <w:rPr>
      <w:rFonts w:ascii="Calibri" w:hAnsi="Calibri" w:eastAsia="宋体" w:cs="Times New Roman"/>
      <w:sz w:val="21"/>
      <w:lang w:val="en-US" w:eastAsia="zh-CN" w:bidi="ar-SA"/>
    </w:rPr>
  </w:style>
  <w:style w:type="paragraph" w:customStyle="1" w:styleId="373">
    <w:name w:val="x_msonormal"/>
    <w:basedOn w:val="1"/>
    <w:next w:val="323"/>
    <w:qFormat/>
    <w:uiPriority w:val="99"/>
    <w:pPr>
      <w:widowControl/>
      <w:spacing w:before="280" w:after="280"/>
    </w:pPr>
    <w:rPr>
      <w:rFonts w:ascii="PMingLiUfalt" w:hAnsi="Calibri" w:eastAsia="PMingLiUfalt"/>
      <w:kern w:val="0"/>
      <w:sz w:val="24"/>
      <w:szCs w:val="20"/>
    </w:rPr>
  </w:style>
  <w:style w:type="paragraph" w:customStyle="1" w:styleId="374">
    <w:name w:val="toc 310"/>
    <w:next w:val="1"/>
    <w:qFormat/>
    <w:uiPriority w:val="99"/>
    <w:pPr>
      <w:wordWrap w:val="0"/>
      <w:ind w:left="850"/>
      <w:jc w:val="both"/>
    </w:pPr>
    <w:rPr>
      <w:rFonts w:ascii="Calibri" w:hAnsi="Calibri" w:eastAsia="宋体" w:cs="Times New Roman"/>
      <w:sz w:val="21"/>
      <w:lang w:val="en-US" w:eastAsia="zh-CN" w:bidi="ar-SA"/>
    </w:rPr>
  </w:style>
  <w:style w:type="paragraph" w:customStyle="1" w:styleId="375">
    <w:name w:val="toc 83"/>
    <w:next w:val="1"/>
    <w:qFormat/>
    <w:uiPriority w:val="99"/>
    <w:pPr>
      <w:wordWrap w:val="0"/>
      <w:ind w:left="2975"/>
      <w:jc w:val="both"/>
    </w:pPr>
    <w:rPr>
      <w:rFonts w:ascii="Calibri" w:hAnsi="Calibri" w:eastAsia="宋体" w:cs="Times New Roman"/>
      <w:sz w:val="21"/>
      <w:lang w:val="en-US" w:eastAsia="zh-CN" w:bidi="ar-SA"/>
    </w:rPr>
  </w:style>
  <w:style w:type="paragraph" w:customStyle="1" w:styleId="376">
    <w:name w:val="TOC Heading17"/>
    <w:next w:val="1"/>
    <w:qFormat/>
    <w:uiPriority w:val="99"/>
    <w:pPr>
      <w:wordWrap w:val="0"/>
    </w:pPr>
    <w:rPr>
      <w:rFonts w:ascii="Calibri" w:hAnsi="Calibri" w:eastAsia="宋体" w:cs="Times New Roman"/>
      <w:sz w:val="32"/>
      <w:lang w:val="en-US" w:eastAsia="zh-CN" w:bidi="ar-SA"/>
    </w:rPr>
  </w:style>
  <w:style w:type="paragraph" w:customStyle="1" w:styleId="377">
    <w:name w:val="toc 911"/>
    <w:next w:val="1"/>
    <w:qFormat/>
    <w:uiPriority w:val="99"/>
    <w:pPr>
      <w:wordWrap w:val="0"/>
      <w:ind w:left="3400"/>
      <w:jc w:val="both"/>
    </w:pPr>
    <w:rPr>
      <w:rFonts w:ascii="Calibri" w:hAnsi="Calibri" w:eastAsia="宋体" w:cs="Times New Roman"/>
      <w:sz w:val="21"/>
      <w:lang w:val="en-US" w:eastAsia="zh-CN" w:bidi="ar-SA"/>
    </w:rPr>
  </w:style>
  <w:style w:type="paragraph" w:customStyle="1" w:styleId="378">
    <w:name w:val="toc 811"/>
    <w:next w:val="1"/>
    <w:qFormat/>
    <w:uiPriority w:val="99"/>
    <w:pPr>
      <w:wordWrap w:val="0"/>
      <w:ind w:left="2975"/>
      <w:jc w:val="both"/>
    </w:pPr>
    <w:rPr>
      <w:rFonts w:ascii="Calibri" w:hAnsi="Calibri" w:eastAsia="宋体" w:cs="Times New Roman"/>
      <w:sz w:val="21"/>
      <w:lang w:val="en-US" w:eastAsia="zh-CN" w:bidi="ar-SA"/>
    </w:rPr>
  </w:style>
  <w:style w:type="paragraph" w:customStyle="1" w:styleId="379">
    <w:name w:val="目录 31"/>
    <w:next w:val="1"/>
    <w:qFormat/>
    <w:uiPriority w:val="99"/>
    <w:pPr>
      <w:wordWrap w:val="0"/>
      <w:ind w:left="850"/>
      <w:jc w:val="both"/>
    </w:pPr>
    <w:rPr>
      <w:rFonts w:ascii="Calibri" w:hAnsi="Calibri" w:eastAsia="宋体" w:cs="Times New Roman"/>
      <w:sz w:val="21"/>
      <w:lang w:val="en-US" w:eastAsia="zh-CN" w:bidi="ar-SA"/>
    </w:rPr>
  </w:style>
  <w:style w:type="paragraph" w:customStyle="1" w:styleId="380">
    <w:name w:val="xl118"/>
    <w:basedOn w:val="1"/>
    <w:next w:val="255"/>
    <w:qFormat/>
    <w:uiPriority w:val="99"/>
    <w:pPr>
      <w:widowControl/>
      <w:shd w:val="clear" w:color="000000" w:fill="FFFFFF"/>
      <w:spacing w:before="280" w:after="280"/>
      <w:jc w:val="center"/>
    </w:pPr>
    <w:rPr>
      <w:rFonts w:ascii="宋体" w:hAnsi="Calibri"/>
      <w:b/>
      <w:kern w:val="0"/>
      <w:sz w:val="20"/>
      <w:szCs w:val="20"/>
    </w:rPr>
  </w:style>
  <w:style w:type="paragraph" w:customStyle="1" w:styleId="381">
    <w:name w:val="xl83"/>
    <w:basedOn w:val="1"/>
    <w:next w:val="310"/>
    <w:qFormat/>
    <w:uiPriority w:val="99"/>
    <w:pPr>
      <w:widowControl/>
      <w:shd w:val="clear" w:color="000000" w:fill="FFFFFF"/>
      <w:spacing w:before="280" w:after="280"/>
    </w:pPr>
    <w:rPr>
      <w:rFonts w:ascii="宋体" w:hAnsi="Calibri"/>
      <w:kern w:val="0"/>
      <w:sz w:val="20"/>
      <w:szCs w:val="20"/>
    </w:rPr>
  </w:style>
  <w:style w:type="paragraph" w:customStyle="1" w:styleId="382">
    <w:name w:val="xl103"/>
    <w:basedOn w:val="1"/>
    <w:next w:val="383"/>
    <w:qFormat/>
    <w:uiPriority w:val="99"/>
    <w:pPr>
      <w:widowControl/>
      <w:shd w:val="clear" w:color="000000" w:fill="FFFFFF"/>
      <w:spacing w:before="280" w:after="280"/>
    </w:pPr>
    <w:rPr>
      <w:rFonts w:ascii="宋体" w:hAnsi="Calibri"/>
      <w:kern w:val="0"/>
      <w:sz w:val="20"/>
      <w:szCs w:val="20"/>
    </w:rPr>
  </w:style>
  <w:style w:type="paragraph" w:customStyle="1" w:styleId="383">
    <w:name w:val="toc 111"/>
    <w:next w:val="1"/>
    <w:qFormat/>
    <w:uiPriority w:val="99"/>
    <w:pPr>
      <w:wordWrap w:val="0"/>
      <w:jc w:val="both"/>
    </w:pPr>
    <w:rPr>
      <w:rFonts w:ascii="Calibri" w:hAnsi="Calibri" w:eastAsia="宋体" w:cs="Times New Roman"/>
      <w:sz w:val="21"/>
      <w:lang w:val="en-US" w:eastAsia="zh-CN" w:bidi="ar-SA"/>
    </w:rPr>
  </w:style>
  <w:style w:type="paragraph" w:customStyle="1" w:styleId="384">
    <w:name w:val="xl68"/>
    <w:basedOn w:val="1"/>
    <w:next w:val="385"/>
    <w:qFormat/>
    <w:uiPriority w:val="99"/>
    <w:pPr>
      <w:widowControl/>
      <w:shd w:val="clear" w:color="000000" w:fill="FFFFFF"/>
      <w:spacing w:before="280" w:after="280"/>
    </w:pPr>
    <w:rPr>
      <w:rFonts w:ascii="宋体" w:hAnsi="Calibri"/>
      <w:b/>
      <w:kern w:val="0"/>
      <w:sz w:val="20"/>
      <w:szCs w:val="20"/>
    </w:rPr>
  </w:style>
  <w:style w:type="paragraph" w:customStyle="1" w:styleId="385">
    <w:name w:val="TOC Heading16"/>
    <w:next w:val="1"/>
    <w:qFormat/>
    <w:uiPriority w:val="99"/>
    <w:pPr>
      <w:wordWrap w:val="0"/>
    </w:pPr>
    <w:rPr>
      <w:rFonts w:ascii="Calibri" w:hAnsi="Calibri" w:eastAsia="宋体" w:cs="Times New Roman"/>
      <w:sz w:val="32"/>
      <w:lang w:val="en-US" w:eastAsia="zh-CN" w:bidi="ar-SA"/>
    </w:rPr>
  </w:style>
  <w:style w:type="paragraph" w:customStyle="1" w:styleId="386">
    <w:name w:val="toc 113"/>
    <w:next w:val="1"/>
    <w:qFormat/>
    <w:uiPriority w:val="99"/>
    <w:pPr>
      <w:wordWrap w:val="0"/>
      <w:jc w:val="both"/>
    </w:pPr>
    <w:rPr>
      <w:rFonts w:ascii="Calibri" w:hAnsi="Calibri" w:eastAsia="宋体" w:cs="Times New Roman"/>
      <w:sz w:val="21"/>
      <w:lang w:val="en-US" w:eastAsia="zh-CN" w:bidi="ar-SA"/>
    </w:rPr>
  </w:style>
  <w:style w:type="paragraph" w:customStyle="1" w:styleId="387">
    <w:name w:val="xl94"/>
    <w:basedOn w:val="1"/>
    <w:next w:val="279"/>
    <w:qFormat/>
    <w:uiPriority w:val="99"/>
    <w:pPr>
      <w:widowControl/>
      <w:shd w:val="clear" w:color="000000" w:fill="FFFFFF"/>
      <w:spacing w:before="280" w:after="280"/>
      <w:jc w:val="center"/>
    </w:pPr>
    <w:rPr>
      <w:rFonts w:ascii="宋体" w:hAnsi="Calibri"/>
      <w:kern w:val="0"/>
      <w:sz w:val="20"/>
      <w:szCs w:val="20"/>
    </w:rPr>
  </w:style>
  <w:style w:type="paragraph" w:customStyle="1" w:styleId="388">
    <w:name w:val="toc 53"/>
    <w:next w:val="1"/>
    <w:qFormat/>
    <w:uiPriority w:val="99"/>
    <w:pPr>
      <w:wordWrap w:val="0"/>
      <w:ind w:left="1700"/>
      <w:jc w:val="both"/>
    </w:pPr>
    <w:rPr>
      <w:rFonts w:ascii="Calibri" w:hAnsi="Calibri" w:eastAsia="宋体" w:cs="Times New Roman"/>
      <w:sz w:val="21"/>
      <w:lang w:val="en-US" w:eastAsia="zh-CN" w:bidi="ar-SA"/>
    </w:rPr>
  </w:style>
  <w:style w:type="paragraph" w:customStyle="1" w:styleId="389">
    <w:name w:val="xl92"/>
    <w:basedOn w:val="1"/>
    <w:next w:val="390"/>
    <w:qFormat/>
    <w:uiPriority w:val="99"/>
    <w:pPr>
      <w:widowControl/>
      <w:shd w:val="clear" w:color="000000" w:fill="FFFFFF"/>
      <w:spacing w:before="280" w:after="280"/>
    </w:pPr>
    <w:rPr>
      <w:rFonts w:ascii="宋体" w:hAnsi="Calibri"/>
      <w:kern w:val="0"/>
      <w:sz w:val="20"/>
      <w:szCs w:val="20"/>
    </w:rPr>
  </w:style>
  <w:style w:type="paragraph" w:customStyle="1" w:styleId="390">
    <w:name w:val="toc 913"/>
    <w:next w:val="1"/>
    <w:qFormat/>
    <w:uiPriority w:val="99"/>
    <w:pPr>
      <w:wordWrap w:val="0"/>
      <w:ind w:left="3400"/>
      <w:jc w:val="both"/>
    </w:pPr>
    <w:rPr>
      <w:rFonts w:ascii="Calibri" w:hAnsi="Calibri" w:eastAsia="宋体" w:cs="Times New Roman"/>
      <w:sz w:val="21"/>
      <w:lang w:val="en-US" w:eastAsia="zh-CN" w:bidi="ar-SA"/>
    </w:rPr>
  </w:style>
  <w:style w:type="paragraph" w:customStyle="1" w:styleId="391">
    <w:name w:val="toc 512"/>
    <w:next w:val="1"/>
    <w:qFormat/>
    <w:uiPriority w:val="99"/>
    <w:pPr>
      <w:wordWrap w:val="0"/>
      <w:ind w:left="1700"/>
      <w:jc w:val="both"/>
    </w:pPr>
    <w:rPr>
      <w:rFonts w:ascii="Calibri" w:hAnsi="Calibri" w:eastAsia="宋体" w:cs="Times New Roman"/>
      <w:sz w:val="21"/>
      <w:lang w:val="en-US" w:eastAsia="zh-CN" w:bidi="ar-SA"/>
    </w:rPr>
  </w:style>
  <w:style w:type="paragraph" w:customStyle="1" w:styleId="392">
    <w:name w:val="目录 81"/>
    <w:next w:val="1"/>
    <w:qFormat/>
    <w:uiPriority w:val="99"/>
    <w:pPr>
      <w:wordWrap w:val="0"/>
      <w:ind w:left="2975"/>
      <w:jc w:val="both"/>
    </w:pPr>
    <w:rPr>
      <w:rFonts w:ascii="Calibri" w:hAnsi="Calibri" w:eastAsia="宋体" w:cs="Times New Roman"/>
      <w:sz w:val="21"/>
      <w:lang w:val="en-US" w:eastAsia="zh-CN" w:bidi="ar-SA"/>
    </w:rPr>
  </w:style>
  <w:style w:type="paragraph" w:customStyle="1" w:styleId="393">
    <w:name w:val="正文表标题"/>
    <w:next w:val="1"/>
    <w:qFormat/>
    <w:uiPriority w:val="99"/>
    <w:pPr>
      <w:ind w:left="630"/>
      <w:jc w:val="center"/>
    </w:pPr>
    <w:rPr>
      <w:rFonts w:ascii="黑体" w:hAnsi="Calibri" w:eastAsia="黑体" w:cs="Times New Roman"/>
      <w:sz w:val="21"/>
      <w:lang w:val="en-US" w:eastAsia="zh-CN" w:bidi="ar-SA"/>
    </w:rPr>
  </w:style>
  <w:style w:type="paragraph" w:customStyle="1" w:styleId="394">
    <w:name w:val="toc 28"/>
    <w:next w:val="1"/>
    <w:qFormat/>
    <w:uiPriority w:val="99"/>
    <w:pPr>
      <w:wordWrap w:val="0"/>
      <w:ind w:left="425"/>
      <w:jc w:val="both"/>
    </w:pPr>
    <w:rPr>
      <w:rFonts w:ascii="Calibri" w:hAnsi="Calibri" w:eastAsia="宋体" w:cs="Times New Roman"/>
      <w:sz w:val="21"/>
      <w:lang w:val="en-US" w:eastAsia="zh-CN" w:bidi="ar-SA"/>
    </w:rPr>
  </w:style>
  <w:style w:type="paragraph" w:customStyle="1" w:styleId="395">
    <w:name w:val="toc 79"/>
    <w:next w:val="1"/>
    <w:qFormat/>
    <w:uiPriority w:val="99"/>
    <w:pPr>
      <w:wordWrap w:val="0"/>
      <w:ind w:left="2550"/>
      <w:jc w:val="both"/>
    </w:pPr>
    <w:rPr>
      <w:rFonts w:ascii="Calibri" w:hAnsi="Calibri" w:eastAsia="宋体" w:cs="Times New Roman"/>
      <w:sz w:val="21"/>
      <w:lang w:val="en-US" w:eastAsia="zh-CN" w:bidi="ar-SA"/>
    </w:rPr>
  </w:style>
  <w:style w:type="paragraph" w:customStyle="1" w:styleId="396">
    <w:name w:val="xl110"/>
    <w:basedOn w:val="1"/>
    <w:next w:val="352"/>
    <w:qFormat/>
    <w:uiPriority w:val="99"/>
    <w:pPr>
      <w:widowControl/>
      <w:shd w:val="clear" w:color="000000" w:fill="FFFFFF"/>
      <w:spacing w:before="280" w:after="280"/>
      <w:jc w:val="center"/>
    </w:pPr>
    <w:rPr>
      <w:rFonts w:ascii="宋体" w:hAnsi="Calibri"/>
      <w:kern w:val="0"/>
      <w:sz w:val="20"/>
      <w:szCs w:val="20"/>
    </w:rPr>
  </w:style>
  <w:style w:type="paragraph" w:customStyle="1" w:styleId="397">
    <w:name w:val="toc 511"/>
    <w:next w:val="1"/>
    <w:qFormat/>
    <w:uiPriority w:val="99"/>
    <w:pPr>
      <w:wordWrap w:val="0"/>
      <w:ind w:left="1700"/>
      <w:jc w:val="both"/>
    </w:pPr>
    <w:rPr>
      <w:rFonts w:ascii="Calibri" w:hAnsi="Calibri" w:eastAsia="宋体" w:cs="Times New Roman"/>
      <w:sz w:val="21"/>
      <w:lang w:val="en-US" w:eastAsia="zh-CN" w:bidi="ar-SA"/>
    </w:rPr>
  </w:style>
  <w:style w:type="paragraph" w:customStyle="1" w:styleId="398">
    <w:name w:val="toc 416"/>
    <w:next w:val="1"/>
    <w:qFormat/>
    <w:uiPriority w:val="99"/>
    <w:pPr>
      <w:wordWrap w:val="0"/>
      <w:ind w:left="1275"/>
      <w:jc w:val="both"/>
    </w:pPr>
    <w:rPr>
      <w:rFonts w:ascii="Calibri" w:hAnsi="Calibri" w:eastAsia="宋体" w:cs="Times New Roman"/>
      <w:sz w:val="21"/>
      <w:lang w:val="en-US" w:eastAsia="zh-CN" w:bidi="ar-SA"/>
    </w:rPr>
  </w:style>
  <w:style w:type="paragraph" w:customStyle="1" w:styleId="399">
    <w:name w:val="xl85"/>
    <w:basedOn w:val="1"/>
    <w:next w:val="400"/>
    <w:qFormat/>
    <w:uiPriority w:val="99"/>
    <w:pPr>
      <w:widowControl/>
      <w:shd w:val="clear" w:color="000000" w:fill="FFFFFF"/>
      <w:spacing w:before="280" w:after="280"/>
      <w:jc w:val="center"/>
    </w:pPr>
    <w:rPr>
      <w:rFonts w:ascii="宋体" w:hAnsi="Calibri"/>
      <w:kern w:val="0"/>
      <w:sz w:val="20"/>
      <w:szCs w:val="20"/>
    </w:rPr>
  </w:style>
  <w:style w:type="paragraph" w:customStyle="1" w:styleId="400">
    <w:name w:val="toc 76"/>
    <w:next w:val="1"/>
    <w:qFormat/>
    <w:uiPriority w:val="99"/>
    <w:pPr>
      <w:wordWrap w:val="0"/>
      <w:ind w:left="2550"/>
      <w:jc w:val="both"/>
    </w:pPr>
    <w:rPr>
      <w:rFonts w:ascii="Calibri" w:hAnsi="Calibri" w:eastAsia="宋体" w:cs="Times New Roman"/>
      <w:sz w:val="21"/>
      <w:lang w:val="en-US" w:eastAsia="zh-CN" w:bidi="ar-SA"/>
    </w:rPr>
  </w:style>
  <w:style w:type="paragraph" w:customStyle="1" w:styleId="401">
    <w:name w:val="toc 27"/>
    <w:next w:val="1"/>
    <w:qFormat/>
    <w:uiPriority w:val="99"/>
    <w:pPr>
      <w:wordWrap w:val="0"/>
      <w:ind w:left="425"/>
      <w:jc w:val="both"/>
    </w:pPr>
    <w:rPr>
      <w:rFonts w:ascii="Calibri" w:hAnsi="Calibri" w:eastAsia="宋体" w:cs="Times New Roman"/>
      <w:sz w:val="21"/>
      <w:lang w:val="en-US" w:eastAsia="zh-CN" w:bidi="ar-SA"/>
    </w:rPr>
  </w:style>
  <w:style w:type="paragraph" w:customStyle="1" w:styleId="402">
    <w:name w:val="toc 916"/>
    <w:next w:val="1"/>
    <w:qFormat/>
    <w:uiPriority w:val="99"/>
    <w:pPr>
      <w:wordWrap w:val="0"/>
      <w:ind w:left="3400"/>
      <w:jc w:val="both"/>
    </w:pPr>
    <w:rPr>
      <w:rFonts w:ascii="Calibri" w:hAnsi="Calibri" w:eastAsia="宋体" w:cs="Times New Roman"/>
      <w:sz w:val="21"/>
      <w:lang w:val="en-US" w:eastAsia="zh-CN" w:bidi="ar-SA"/>
    </w:rPr>
  </w:style>
  <w:style w:type="paragraph" w:customStyle="1" w:styleId="403">
    <w:name w:val="toc 77"/>
    <w:next w:val="1"/>
    <w:qFormat/>
    <w:uiPriority w:val="99"/>
    <w:pPr>
      <w:wordWrap w:val="0"/>
      <w:ind w:left="2550"/>
      <w:jc w:val="both"/>
    </w:pPr>
    <w:rPr>
      <w:rFonts w:ascii="Calibri" w:hAnsi="Calibri" w:eastAsia="宋体" w:cs="Times New Roman"/>
      <w:sz w:val="21"/>
      <w:lang w:val="en-US" w:eastAsia="zh-CN" w:bidi="ar-SA"/>
    </w:rPr>
  </w:style>
  <w:style w:type="paragraph" w:customStyle="1" w:styleId="404">
    <w:name w:val="toc 211"/>
    <w:next w:val="1"/>
    <w:qFormat/>
    <w:uiPriority w:val="99"/>
    <w:pPr>
      <w:wordWrap w:val="0"/>
      <w:ind w:left="425"/>
      <w:jc w:val="both"/>
    </w:pPr>
    <w:rPr>
      <w:rFonts w:ascii="Calibri" w:hAnsi="Calibri" w:eastAsia="宋体" w:cs="Times New Roman"/>
      <w:sz w:val="21"/>
      <w:lang w:val="en-US" w:eastAsia="zh-CN" w:bidi="ar-SA"/>
    </w:rPr>
  </w:style>
  <w:style w:type="paragraph" w:customStyle="1" w:styleId="405">
    <w:name w:val="toc 815"/>
    <w:next w:val="1"/>
    <w:qFormat/>
    <w:uiPriority w:val="99"/>
    <w:pPr>
      <w:wordWrap w:val="0"/>
      <w:ind w:left="2975"/>
      <w:jc w:val="both"/>
    </w:pPr>
    <w:rPr>
      <w:rFonts w:ascii="Calibri" w:hAnsi="Calibri" w:eastAsia="宋体" w:cs="Times New Roman"/>
      <w:sz w:val="21"/>
      <w:lang w:val="en-US" w:eastAsia="zh-CN" w:bidi="ar-SA"/>
    </w:rPr>
  </w:style>
  <w:style w:type="paragraph" w:customStyle="1" w:styleId="406">
    <w:name w:val="xl99"/>
    <w:basedOn w:val="1"/>
    <w:next w:val="391"/>
    <w:qFormat/>
    <w:uiPriority w:val="99"/>
    <w:pPr>
      <w:widowControl/>
      <w:shd w:val="clear" w:color="000000" w:fill="FFFFFF"/>
      <w:spacing w:before="280" w:after="280"/>
    </w:pPr>
    <w:rPr>
      <w:rFonts w:ascii="宋体" w:hAnsi="Calibri"/>
      <w:kern w:val="0"/>
      <w:sz w:val="18"/>
      <w:szCs w:val="20"/>
    </w:rPr>
  </w:style>
  <w:style w:type="paragraph" w:customStyle="1" w:styleId="407">
    <w:name w:val="xl97"/>
    <w:basedOn w:val="1"/>
    <w:next w:val="280"/>
    <w:qFormat/>
    <w:uiPriority w:val="99"/>
    <w:pPr>
      <w:widowControl/>
      <w:shd w:val="clear" w:color="000000" w:fill="FFFFFF"/>
      <w:spacing w:before="280" w:after="280"/>
      <w:jc w:val="center"/>
    </w:pPr>
    <w:rPr>
      <w:rFonts w:ascii="宋体" w:hAnsi="Calibri"/>
      <w:kern w:val="0"/>
      <w:sz w:val="20"/>
      <w:szCs w:val="20"/>
    </w:rPr>
  </w:style>
  <w:style w:type="paragraph" w:customStyle="1" w:styleId="408">
    <w:name w:val="toc 612"/>
    <w:next w:val="1"/>
    <w:qFormat/>
    <w:uiPriority w:val="99"/>
    <w:pPr>
      <w:wordWrap w:val="0"/>
      <w:ind w:left="2125"/>
      <w:jc w:val="both"/>
    </w:pPr>
    <w:rPr>
      <w:rFonts w:ascii="Calibri" w:hAnsi="Calibri" w:eastAsia="宋体" w:cs="Times New Roman"/>
      <w:sz w:val="21"/>
      <w:lang w:val="en-US" w:eastAsia="zh-CN" w:bidi="ar-SA"/>
    </w:rPr>
  </w:style>
  <w:style w:type="paragraph" w:customStyle="1" w:styleId="409">
    <w:name w:val="toc 315"/>
    <w:next w:val="1"/>
    <w:qFormat/>
    <w:uiPriority w:val="99"/>
    <w:pPr>
      <w:wordWrap w:val="0"/>
      <w:ind w:left="850"/>
      <w:jc w:val="both"/>
    </w:pPr>
    <w:rPr>
      <w:rFonts w:ascii="Calibri" w:hAnsi="Calibri" w:eastAsia="宋体" w:cs="Times New Roman"/>
      <w:sz w:val="21"/>
      <w:lang w:val="en-US" w:eastAsia="zh-CN" w:bidi="ar-SA"/>
    </w:rPr>
  </w:style>
  <w:style w:type="paragraph" w:customStyle="1" w:styleId="410">
    <w:name w:val="TOC Heading15"/>
    <w:next w:val="1"/>
    <w:qFormat/>
    <w:uiPriority w:val="99"/>
    <w:pPr>
      <w:wordWrap w:val="0"/>
    </w:pPr>
    <w:rPr>
      <w:rFonts w:ascii="Calibri" w:hAnsi="Calibri" w:eastAsia="宋体" w:cs="Times New Roman"/>
      <w:sz w:val="32"/>
      <w:lang w:val="en-US" w:eastAsia="zh-CN" w:bidi="ar-SA"/>
    </w:rPr>
  </w:style>
  <w:style w:type="paragraph" w:customStyle="1" w:styleId="411">
    <w:name w:val="toc 915"/>
    <w:next w:val="1"/>
    <w:qFormat/>
    <w:uiPriority w:val="99"/>
    <w:pPr>
      <w:wordWrap w:val="0"/>
      <w:ind w:left="3400"/>
      <w:jc w:val="both"/>
    </w:pPr>
    <w:rPr>
      <w:rFonts w:ascii="Calibri" w:hAnsi="Calibri" w:eastAsia="宋体" w:cs="Times New Roman"/>
      <w:sz w:val="21"/>
      <w:lang w:val="en-US" w:eastAsia="zh-CN" w:bidi="ar-SA"/>
    </w:rPr>
  </w:style>
  <w:style w:type="paragraph" w:customStyle="1" w:styleId="412">
    <w:name w:val="toc 39"/>
    <w:next w:val="1"/>
    <w:qFormat/>
    <w:uiPriority w:val="99"/>
    <w:pPr>
      <w:wordWrap w:val="0"/>
      <w:ind w:left="850"/>
      <w:jc w:val="both"/>
    </w:pPr>
    <w:rPr>
      <w:rFonts w:ascii="Calibri" w:hAnsi="Calibri" w:eastAsia="宋体" w:cs="Times New Roman"/>
      <w:sz w:val="21"/>
      <w:lang w:val="en-US" w:eastAsia="zh-CN" w:bidi="ar-SA"/>
    </w:rPr>
  </w:style>
  <w:style w:type="paragraph" w:customStyle="1" w:styleId="413">
    <w:name w:val="toc 710"/>
    <w:next w:val="1"/>
    <w:qFormat/>
    <w:uiPriority w:val="99"/>
    <w:pPr>
      <w:wordWrap w:val="0"/>
      <w:ind w:left="2550"/>
      <w:jc w:val="both"/>
    </w:pPr>
    <w:rPr>
      <w:rFonts w:ascii="Calibri" w:hAnsi="Calibri" w:eastAsia="宋体" w:cs="Times New Roman"/>
      <w:sz w:val="21"/>
      <w:lang w:val="en-US" w:eastAsia="zh-CN" w:bidi="ar-SA"/>
    </w:rPr>
  </w:style>
  <w:style w:type="paragraph" w:customStyle="1" w:styleId="414">
    <w:name w:val="toc 12"/>
    <w:next w:val="1"/>
    <w:qFormat/>
    <w:uiPriority w:val="99"/>
    <w:pPr>
      <w:wordWrap w:val="0"/>
      <w:jc w:val="both"/>
    </w:pPr>
    <w:rPr>
      <w:rFonts w:ascii="Calibri" w:hAnsi="Calibri" w:eastAsia="宋体" w:cs="Times New Roman"/>
      <w:sz w:val="21"/>
      <w:lang w:val="en-US" w:eastAsia="zh-CN" w:bidi="ar-SA"/>
    </w:rPr>
  </w:style>
  <w:style w:type="paragraph" w:customStyle="1" w:styleId="415">
    <w:name w:val="xl95"/>
    <w:basedOn w:val="1"/>
    <w:next w:val="416"/>
    <w:qFormat/>
    <w:uiPriority w:val="99"/>
    <w:pPr>
      <w:widowControl/>
      <w:shd w:val="clear" w:color="000000" w:fill="FFFFFF"/>
      <w:spacing w:before="280" w:after="280"/>
    </w:pPr>
    <w:rPr>
      <w:rFonts w:ascii="宋体" w:hAnsi="Calibri"/>
      <w:kern w:val="0"/>
      <w:sz w:val="20"/>
      <w:szCs w:val="20"/>
    </w:rPr>
  </w:style>
  <w:style w:type="paragraph" w:customStyle="1" w:styleId="416">
    <w:name w:val="toc 415"/>
    <w:next w:val="1"/>
    <w:qFormat/>
    <w:uiPriority w:val="99"/>
    <w:pPr>
      <w:wordWrap w:val="0"/>
      <w:ind w:left="1275"/>
      <w:jc w:val="both"/>
    </w:pPr>
    <w:rPr>
      <w:rFonts w:ascii="Calibri" w:hAnsi="Calibri" w:eastAsia="宋体" w:cs="Times New Roman"/>
      <w:sz w:val="21"/>
      <w:lang w:val="en-US" w:eastAsia="zh-CN" w:bidi="ar-SA"/>
    </w:rPr>
  </w:style>
  <w:style w:type="paragraph" w:customStyle="1" w:styleId="417">
    <w:name w:val="toc 29"/>
    <w:next w:val="1"/>
    <w:qFormat/>
    <w:uiPriority w:val="99"/>
    <w:pPr>
      <w:wordWrap w:val="0"/>
      <w:ind w:left="425"/>
      <w:jc w:val="both"/>
    </w:pPr>
    <w:rPr>
      <w:rFonts w:ascii="Calibri" w:hAnsi="Calibri" w:eastAsia="宋体" w:cs="Times New Roman"/>
      <w:sz w:val="21"/>
      <w:lang w:val="en-US" w:eastAsia="zh-CN" w:bidi="ar-SA"/>
    </w:rPr>
  </w:style>
  <w:style w:type="paragraph" w:customStyle="1" w:styleId="418">
    <w:name w:val="xl67"/>
    <w:basedOn w:val="1"/>
    <w:next w:val="419"/>
    <w:qFormat/>
    <w:uiPriority w:val="99"/>
    <w:pPr>
      <w:widowControl/>
      <w:shd w:val="clear" w:color="000000" w:fill="FFFFFF"/>
      <w:spacing w:before="280" w:after="280"/>
      <w:jc w:val="center"/>
    </w:pPr>
    <w:rPr>
      <w:rFonts w:ascii="宋体" w:hAnsi="Calibri"/>
      <w:b/>
      <w:kern w:val="0"/>
      <w:sz w:val="20"/>
      <w:szCs w:val="20"/>
    </w:rPr>
  </w:style>
  <w:style w:type="paragraph" w:customStyle="1" w:styleId="419">
    <w:name w:val="toc 714"/>
    <w:next w:val="1"/>
    <w:qFormat/>
    <w:uiPriority w:val="99"/>
    <w:pPr>
      <w:wordWrap w:val="0"/>
      <w:ind w:left="2550"/>
      <w:jc w:val="both"/>
    </w:pPr>
    <w:rPr>
      <w:rFonts w:ascii="Calibri" w:hAnsi="Calibri" w:eastAsia="宋体" w:cs="Times New Roman"/>
      <w:sz w:val="21"/>
      <w:lang w:val="en-US" w:eastAsia="zh-CN" w:bidi="ar-SA"/>
    </w:rPr>
  </w:style>
  <w:style w:type="paragraph" w:customStyle="1" w:styleId="420">
    <w:name w:val="toc 21"/>
    <w:next w:val="1"/>
    <w:qFormat/>
    <w:uiPriority w:val="99"/>
    <w:pPr>
      <w:wordWrap w:val="0"/>
      <w:ind w:left="425"/>
      <w:jc w:val="both"/>
    </w:pPr>
    <w:rPr>
      <w:rFonts w:ascii="Calibri" w:hAnsi="Calibri" w:eastAsia="宋体" w:cs="Times New Roman"/>
      <w:sz w:val="21"/>
      <w:lang w:val="en-US" w:eastAsia="zh-CN" w:bidi="ar-SA"/>
    </w:rPr>
  </w:style>
  <w:style w:type="paragraph" w:customStyle="1" w:styleId="421">
    <w:name w:val="正文 A"/>
    <w:next w:val="338"/>
    <w:qFormat/>
    <w:uiPriority w:val="99"/>
    <w:rPr>
      <w:rFonts w:ascii="Arial" w:hAnsi="Calibri" w:eastAsia="Times New Roman" w:cs="Times New Roman"/>
      <w:color w:val="000000"/>
      <w:sz w:val="21"/>
      <w:lang w:val="en-US" w:eastAsia="zh-CN" w:bidi="ar-SA"/>
    </w:rPr>
  </w:style>
  <w:style w:type="paragraph" w:customStyle="1" w:styleId="422">
    <w:name w:val="toc 68"/>
    <w:next w:val="1"/>
    <w:qFormat/>
    <w:uiPriority w:val="99"/>
    <w:pPr>
      <w:wordWrap w:val="0"/>
      <w:ind w:left="2125"/>
      <w:jc w:val="both"/>
    </w:pPr>
    <w:rPr>
      <w:rFonts w:ascii="Calibri" w:hAnsi="Calibri" w:eastAsia="宋体" w:cs="Times New Roman"/>
      <w:sz w:val="21"/>
      <w:lang w:val="en-US" w:eastAsia="zh-CN" w:bidi="ar-SA"/>
    </w:rPr>
  </w:style>
  <w:style w:type="paragraph" w:customStyle="1" w:styleId="423">
    <w:name w:val="toc 58"/>
    <w:next w:val="1"/>
    <w:qFormat/>
    <w:uiPriority w:val="99"/>
    <w:pPr>
      <w:wordWrap w:val="0"/>
      <w:ind w:left="1700"/>
      <w:jc w:val="both"/>
    </w:pPr>
    <w:rPr>
      <w:rFonts w:ascii="Calibri" w:hAnsi="Calibri" w:eastAsia="宋体" w:cs="Times New Roman"/>
      <w:sz w:val="21"/>
      <w:lang w:val="en-US" w:eastAsia="zh-CN" w:bidi="ar-SA"/>
    </w:rPr>
  </w:style>
  <w:style w:type="paragraph" w:customStyle="1" w:styleId="424">
    <w:name w:val="xl88"/>
    <w:basedOn w:val="1"/>
    <w:next w:val="410"/>
    <w:qFormat/>
    <w:uiPriority w:val="99"/>
    <w:pPr>
      <w:widowControl/>
      <w:shd w:val="clear" w:color="000000" w:fill="FFFFFF"/>
      <w:spacing w:before="280" w:after="280"/>
      <w:jc w:val="center"/>
    </w:pPr>
    <w:rPr>
      <w:rFonts w:ascii="宋体" w:hAnsi="Calibri"/>
      <w:kern w:val="0"/>
      <w:sz w:val="20"/>
      <w:szCs w:val="20"/>
    </w:rPr>
  </w:style>
  <w:style w:type="paragraph" w:customStyle="1" w:styleId="425">
    <w:name w:val="toc 71"/>
    <w:next w:val="1"/>
    <w:qFormat/>
    <w:uiPriority w:val="99"/>
    <w:pPr>
      <w:wordWrap w:val="0"/>
      <w:ind w:left="2550"/>
      <w:jc w:val="both"/>
    </w:pPr>
    <w:rPr>
      <w:rFonts w:ascii="Calibri" w:hAnsi="Calibri" w:eastAsia="宋体" w:cs="Times New Roman"/>
      <w:sz w:val="21"/>
      <w:lang w:val="en-US" w:eastAsia="zh-CN" w:bidi="ar-SA"/>
    </w:rPr>
  </w:style>
  <w:style w:type="paragraph" w:customStyle="1" w:styleId="426">
    <w:name w:val="xl100"/>
    <w:basedOn w:val="1"/>
    <w:next w:val="427"/>
    <w:qFormat/>
    <w:uiPriority w:val="99"/>
    <w:pPr>
      <w:widowControl/>
      <w:shd w:val="clear" w:color="000000" w:fill="FFFFFF"/>
      <w:spacing w:before="280" w:after="280"/>
    </w:pPr>
    <w:rPr>
      <w:rFonts w:ascii="宋体" w:hAnsi="Calibri"/>
      <w:kern w:val="0"/>
      <w:sz w:val="20"/>
      <w:szCs w:val="20"/>
    </w:rPr>
  </w:style>
  <w:style w:type="paragraph" w:customStyle="1" w:styleId="427">
    <w:name w:val="toc 510"/>
    <w:next w:val="1"/>
    <w:qFormat/>
    <w:uiPriority w:val="99"/>
    <w:pPr>
      <w:wordWrap w:val="0"/>
      <w:ind w:left="1700"/>
      <w:jc w:val="both"/>
    </w:pPr>
    <w:rPr>
      <w:rFonts w:ascii="Calibri" w:hAnsi="Calibri" w:eastAsia="宋体" w:cs="Times New Roman"/>
      <w:sz w:val="21"/>
      <w:lang w:val="en-US" w:eastAsia="zh-CN" w:bidi="ar-SA"/>
    </w:rPr>
  </w:style>
  <w:style w:type="paragraph" w:customStyle="1" w:styleId="428">
    <w:name w:val="toc 314"/>
    <w:next w:val="1"/>
    <w:qFormat/>
    <w:uiPriority w:val="99"/>
    <w:pPr>
      <w:wordWrap w:val="0"/>
      <w:ind w:left="850"/>
      <w:jc w:val="both"/>
    </w:pPr>
    <w:rPr>
      <w:rFonts w:ascii="Calibri" w:hAnsi="Calibri" w:eastAsia="宋体" w:cs="Times New Roman"/>
      <w:sz w:val="21"/>
      <w:lang w:val="en-US" w:eastAsia="zh-CN" w:bidi="ar-SA"/>
    </w:rPr>
  </w:style>
  <w:style w:type="paragraph" w:customStyle="1" w:styleId="429">
    <w:name w:val="xl114"/>
    <w:basedOn w:val="1"/>
    <w:next w:val="282"/>
    <w:qFormat/>
    <w:uiPriority w:val="99"/>
    <w:pPr>
      <w:widowControl/>
      <w:shd w:val="clear" w:color="000000" w:fill="FFFFFF"/>
      <w:spacing w:before="280" w:after="280"/>
      <w:jc w:val="center"/>
    </w:pPr>
    <w:rPr>
      <w:rFonts w:ascii="宋体" w:hAnsi="Calibri"/>
      <w:b/>
      <w:kern w:val="0"/>
      <w:sz w:val="20"/>
      <w:szCs w:val="20"/>
    </w:rPr>
  </w:style>
  <w:style w:type="paragraph" w:customStyle="1" w:styleId="430">
    <w:name w:val="xl107"/>
    <w:basedOn w:val="1"/>
    <w:next w:val="431"/>
    <w:qFormat/>
    <w:uiPriority w:val="99"/>
    <w:pPr>
      <w:widowControl/>
      <w:shd w:val="clear" w:color="000000" w:fill="FFFFFF"/>
      <w:spacing w:before="280" w:after="280"/>
    </w:pPr>
    <w:rPr>
      <w:rFonts w:ascii="宋体" w:hAnsi="Calibri"/>
      <w:kern w:val="0"/>
      <w:sz w:val="20"/>
      <w:szCs w:val="20"/>
    </w:rPr>
  </w:style>
  <w:style w:type="paragraph" w:customStyle="1" w:styleId="431">
    <w:name w:val="toc 610"/>
    <w:next w:val="1"/>
    <w:qFormat/>
    <w:uiPriority w:val="99"/>
    <w:pPr>
      <w:wordWrap w:val="0"/>
      <w:ind w:left="2125"/>
      <w:jc w:val="both"/>
    </w:pPr>
    <w:rPr>
      <w:rFonts w:ascii="Calibri" w:hAnsi="Calibri" w:eastAsia="宋体" w:cs="Times New Roman"/>
      <w:sz w:val="21"/>
      <w:lang w:val="en-US" w:eastAsia="zh-CN" w:bidi="ar-SA"/>
    </w:rPr>
  </w:style>
  <w:style w:type="paragraph" w:customStyle="1" w:styleId="432">
    <w:name w:val="toc 22"/>
    <w:next w:val="1"/>
    <w:qFormat/>
    <w:uiPriority w:val="99"/>
    <w:pPr>
      <w:wordWrap w:val="0"/>
      <w:ind w:left="425"/>
      <w:jc w:val="both"/>
    </w:pPr>
    <w:rPr>
      <w:rFonts w:ascii="Calibri" w:hAnsi="Calibri" w:eastAsia="宋体" w:cs="Times New Roman"/>
      <w:sz w:val="21"/>
      <w:lang w:val="en-US" w:eastAsia="zh-CN" w:bidi="ar-SA"/>
    </w:rPr>
  </w:style>
  <w:style w:type="paragraph" w:customStyle="1" w:styleId="433">
    <w:name w:val="xl90"/>
    <w:basedOn w:val="1"/>
    <w:next w:val="236"/>
    <w:qFormat/>
    <w:uiPriority w:val="99"/>
    <w:pPr>
      <w:widowControl/>
      <w:shd w:val="clear" w:color="000000" w:fill="FFFFFF"/>
      <w:spacing w:before="280" w:after="280"/>
    </w:pPr>
    <w:rPr>
      <w:rFonts w:ascii="宋体" w:hAnsi="Calibri"/>
      <w:kern w:val="0"/>
      <w:sz w:val="18"/>
      <w:szCs w:val="20"/>
    </w:rPr>
  </w:style>
  <w:style w:type="paragraph" w:customStyle="1" w:styleId="434">
    <w:name w:val="toc 616"/>
    <w:next w:val="1"/>
    <w:qFormat/>
    <w:uiPriority w:val="99"/>
    <w:pPr>
      <w:wordWrap w:val="0"/>
      <w:ind w:left="2125"/>
      <w:jc w:val="both"/>
    </w:pPr>
    <w:rPr>
      <w:rFonts w:ascii="Calibri" w:hAnsi="Calibri" w:eastAsia="宋体" w:cs="Times New Roman"/>
      <w:sz w:val="21"/>
      <w:lang w:val="en-US" w:eastAsia="zh-CN" w:bidi="ar-SA"/>
    </w:rPr>
  </w:style>
  <w:style w:type="paragraph" w:customStyle="1" w:styleId="435">
    <w:name w:val="toc 96"/>
    <w:next w:val="1"/>
    <w:qFormat/>
    <w:uiPriority w:val="99"/>
    <w:pPr>
      <w:wordWrap w:val="0"/>
      <w:ind w:left="3400"/>
      <w:jc w:val="both"/>
    </w:pPr>
    <w:rPr>
      <w:rFonts w:ascii="Calibri" w:hAnsi="Calibri" w:eastAsia="宋体" w:cs="Times New Roman"/>
      <w:sz w:val="21"/>
      <w:lang w:val="en-US" w:eastAsia="zh-CN" w:bidi="ar-SA"/>
    </w:rPr>
  </w:style>
  <w:style w:type="paragraph" w:customStyle="1" w:styleId="436">
    <w:name w:val="toc 42"/>
    <w:next w:val="1"/>
    <w:qFormat/>
    <w:uiPriority w:val="99"/>
    <w:pPr>
      <w:wordWrap w:val="0"/>
      <w:ind w:left="1275"/>
      <w:jc w:val="both"/>
    </w:pPr>
    <w:rPr>
      <w:rFonts w:ascii="Calibri" w:hAnsi="Calibri" w:eastAsia="宋体" w:cs="Times New Roman"/>
      <w:sz w:val="21"/>
      <w:lang w:val="en-US" w:eastAsia="zh-CN" w:bidi="ar-SA"/>
    </w:rPr>
  </w:style>
  <w:style w:type="paragraph" w:customStyle="1" w:styleId="437">
    <w:name w:val="xl117"/>
    <w:basedOn w:val="1"/>
    <w:next w:val="334"/>
    <w:qFormat/>
    <w:uiPriority w:val="99"/>
    <w:pPr>
      <w:widowControl/>
      <w:shd w:val="clear" w:color="000000" w:fill="FFFFFF"/>
      <w:spacing w:before="280" w:after="280"/>
      <w:jc w:val="center"/>
    </w:pPr>
    <w:rPr>
      <w:rFonts w:ascii="Arial Narrow" w:hAnsi="Calibri"/>
      <w:kern w:val="0"/>
      <w:sz w:val="24"/>
      <w:szCs w:val="20"/>
    </w:rPr>
  </w:style>
  <w:style w:type="paragraph" w:customStyle="1" w:styleId="438">
    <w:name w:val="p15"/>
    <w:basedOn w:val="1"/>
    <w:next w:val="260"/>
    <w:qFormat/>
    <w:uiPriority w:val="99"/>
    <w:pPr>
      <w:widowControl/>
      <w:ind w:firstLine="420"/>
    </w:pPr>
    <w:rPr>
      <w:rFonts w:hAnsi="Calibri"/>
      <w:kern w:val="0"/>
      <w:szCs w:val="20"/>
    </w:rPr>
  </w:style>
  <w:style w:type="paragraph" w:customStyle="1" w:styleId="439">
    <w:name w:val="xl87"/>
    <w:basedOn w:val="1"/>
    <w:next w:val="440"/>
    <w:qFormat/>
    <w:uiPriority w:val="99"/>
    <w:pPr>
      <w:widowControl/>
      <w:shd w:val="clear" w:color="000000" w:fill="FFFFFF"/>
      <w:spacing w:before="280" w:after="280"/>
    </w:pPr>
    <w:rPr>
      <w:rFonts w:ascii="Arial" w:hAnsi="Calibri"/>
      <w:kern w:val="0"/>
      <w:sz w:val="18"/>
      <w:szCs w:val="20"/>
    </w:rPr>
  </w:style>
  <w:style w:type="paragraph" w:customStyle="1" w:styleId="440">
    <w:name w:val="toc 98"/>
    <w:next w:val="1"/>
    <w:qFormat/>
    <w:uiPriority w:val="99"/>
    <w:pPr>
      <w:wordWrap w:val="0"/>
      <w:ind w:left="3400"/>
      <w:jc w:val="both"/>
    </w:pPr>
    <w:rPr>
      <w:rFonts w:ascii="Calibri" w:hAnsi="Calibri" w:eastAsia="宋体" w:cs="Times New Roman"/>
      <w:sz w:val="21"/>
      <w:lang w:val="en-US" w:eastAsia="zh-CN" w:bidi="ar-SA"/>
    </w:rPr>
  </w:style>
  <w:style w:type="paragraph" w:customStyle="1" w:styleId="441">
    <w:name w:val="列出段落7"/>
    <w:basedOn w:val="1"/>
    <w:next w:val="423"/>
    <w:qFormat/>
    <w:uiPriority w:val="99"/>
    <w:pPr>
      <w:ind w:firstLine="420"/>
    </w:pPr>
    <w:rPr>
      <w:rFonts w:hAnsi="Calibri"/>
      <w:kern w:val="0"/>
      <w:szCs w:val="20"/>
    </w:rPr>
  </w:style>
  <w:style w:type="paragraph" w:customStyle="1" w:styleId="442">
    <w:name w:val="xl78"/>
    <w:basedOn w:val="1"/>
    <w:next w:val="413"/>
    <w:qFormat/>
    <w:uiPriority w:val="99"/>
    <w:pPr>
      <w:widowControl/>
      <w:shd w:val="clear" w:color="000000" w:fill="FFFFFF"/>
      <w:spacing w:before="280" w:after="280"/>
    </w:pPr>
    <w:rPr>
      <w:rFonts w:ascii="宋体" w:hAnsi="Calibri"/>
      <w:b/>
      <w:kern w:val="0"/>
      <w:sz w:val="20"/>
      <w:szCs w:val="20"/>
    </w:rPr>
  </w:style>
  <w:style w:type="paragraph" w:customStyle="1" w:styleId="443">
    <w:name w:val="toc 516"/>
    <w:next w:val="1"/>
    <w:qFormat/>
    <w:uiPriority w:val="99"/>
    <w:pPr>
      <w:wordWrap w:val="0"/>
      <w:ind w:left="1700"/>
      <w:jc w:val="both"/>
    </w:pPr>
    <w:rPr>
      <w:rFonts w:ascii="Calibri" w:hAnsi="Calibri" w:eastAsia="宋体" w:cs="Times New Roman"/>
      <w:sz w:val="21"/>
      <w:lang w:val="en-US" w:eastAsia="zh-CN" w:bidi="ar-SA"/>
    </w:rPr>
  </w:style>
  <w:style w:type="paragraph" w:customStyle="1" w:styleId="444">
    <w:name w:val="xl89"/>
    <w:basedOn w:val="1"/>
    <w:next w:val="378"/>
    <w:qFormat/>
    <w:uiPriority w:val="99"/>
    <w:pPr>
      <w:widowControl/>
      <w:shd w:val="clear" w:color="000000" w:fill="FFFFFF"/>
      <w:spacing w:before="280" w:after="280"/>
    </w:pPr>
    <w:rPr>
      <w:rFonts w:ascii="宋体" w:hAnsi="Calibri"/>
      <w:kern w:val="0"/>
      <w:sz w:val="20"/>
      <w:szCs w:val="20"/>
    </w:rPr>
  </w:style>
  <w:style w:type="paragraph" w:customStyle="1" w:styleId="445">
    <w:name w:val="toc 910"/>
    <w:next w:val="1"/>
    <w:qFormat/>
    <w:uiPriority w:val="99"/>
    <w:pPr>
      <w:wordWrap w:val="0"/>
      <w:ind w:left="3400"/>
      <w:jc w:val="both"/>
    </w:pPr>
    <w:rPr>
      <w:rFonts w:ascii="Calibri" w:hAnsi="Calibri" w:eastAsia="宋体" w:cs="Times New Roman"/>
      <w:sz w:val="21"/>
      <w:lang w:val="en-US" w:eastAsia="zh-CN" w:bidi="ar-SA"/>
    </w:rPr>
  </w:style>
  <w:style w:type="paragraph" w:customStyle="1" w:styleId="446">
    <w:name w:val="toc 34"/>
    <w:next w:val="1"/>
    <w:qFormat/>
    <w:uiPriority w:val="99"/>
    <w:pPr>
      <w:wordWrap w:val="0"/>
      <w:ind w:left="850"/>
      <w:jc w:val="both"/>
    </w:pPr>
    <w:rPr>
      <w:rFonts w:ascii="Calibri" w:hAnsi="Calibri" w:eastAsia="宋体" w:cs="Times New Roman"/>
      <w:sz w:val="21"/>
      <w:lang w:val="en-US" w:eastAsia="zh-CN" w:bidi="ar-SA"/>
    </w:rPr>
  </w:style>
  <w:style w:type="paragraph" w:customStyle="1" w:styleId="447">
    <w:name w:val="toc 816"/>
    <w:next w:val="1"/>
    <w:qFormat/>
    <w:uiPriority w:val="99"/>
    <w:pPr>
      <w:wordWrap w:val="0"/>
      <w:ind w:left="2975"/>
      <w:jc w:val="both"/>
    </w:pPr>
    <w:rPr>
      <w:rFonts w:ascii="Calibri" w:hAnsi="Calibri" w:eastAsia="宋体" w:cs="Times New Roman"/>
      <w:sz w:val="21"/>
      <w:lang w:val="en-US" w:eastAsia="zh-CN" w:bidi="ar-SA"/>
    </w:rPr>
  </w:style>
  <w:style w:type="paragraph" w:customStyle="1" w:styleId="448">
    <w:name w:val="toc 43"/>
    <w:next w:val="1"/>
    <w:qFormat/>
    <w:uiPriority w:val="99"/>
    <w:pPr>
      <w:wordWrap w:val="0"/>
      <w:ind w:left="1275"/>
      <w:jc w:val="both"/>
    </w:pPr>
    <w:rPr>
      <w:rFonts w:ascii="Calibri" w:hAnsi="Calibri" w:eastAsia="宋体" w:cs="Times New Roman"/>
      <w:sz w:val="21"/>
      <w:lang w:val="en-US" w:eastAsia="zh-CN" w:bidi="ar-SA"/>
    </w:rPr>
  </w:style>
  <w:style w:type="paragraph" w:customStyle="1" w:styleId="449">
    <w:name w:val="toc 16"/>
    <w:next w:val="1"/>
    <w:qFormat/>
    <w:uiPriority w:val="99"/>
    <w:pPr>
      <w:wordWrap w:val="0"/>
      <w:jc w:val="both"/>
    </w:pPr>
    <w:rPr>
      <w:rFonts w:ascii="Calibri" w:hAnsi="Calibri" w:eastAsia="宋体" w:cs="Times New Roman"/>
      <w:sz w:val="21"/>
      <w:lang w:val="en-US" w:eastAsia="zh-CN" w:bidi="ar-SA"/>
    </w:rPr>
  </w:style>
  <w:style w:type="paragraph" w:styleId="450">
    <w:name w:val="Quote"/>
    <w:basedOn w:val="1"/>
    <w:next w:val="1"/>
    <w:link w:val="451"/>
    <w:qFormat/>
    <w:uiPriority w:val="99"/>
    <w:pPr>
      <w:widowControl/>
      <w:wordWrap w:val="0"/>
      <w:spacing w:before="200" w:after="160"/>
      <w:ind w:left="864" w:right="864"/>
      <w:jc w:val="center"/>
    </w:pPr>
    <w:rPr>
      <w:rFonts w:ascii="Calibri" w:hAnsi="Calibri"/>
      <w:i/>
      <w:kern w:val="0"/>
      <w:szCs w:val="20"/>
    </w:rPr>
  </w:style>
  <w:style w:type="character" w:customStyle="1" w:styleId="451">
    <w:name w:val="引用 Char"/>
    <w:link w:val="450"/>
    <w:qFormat/>
    <w:locked/>
    <w:uiPriority w:val="99"/>
    <w:rPr>
      <w:rFonts w:ascii="Calibri" w:hAnsi="Calibri" w:cs="Times New Roman"/>
      <w:i/>
      <w:sz w:val="21"/>
      <w:lang w:val="en-US" w:eastAsia="zh-CN" w:bidi="ar-SA"/>
    </w:rPr>
  </w:style>
  <w:style w:type="paragraph" w:customStyle="1" w:styleId="452">
    <w:name w:val="toc 114"/>
    <w:next w:val="1"/>
    <w:qFormat/>
    <w:uiPriority w:val="99"/>
    <w:pPr>
      <w:wordWrap w:val="0"/>
      <w:jc w:val="both"/>
    </w:pPr>
    <w:rPr>
      <w:rFonts w:ascii="Calibri" w:hAnsi="Calibri" w:eastAsia="宋体" w:cs="Times New Roman"/>
      <w:sz w:val="21"/>
      <w:lang w:val="en-US" w:eastAsia="zh-CN" w:bidi="ar-SA"/>
    </w:rPr>
  </w:style>
  <w:style w:type="paragraph" w:customStyle="1" w:styleId="453">
    <w:name w:val="xl119"/>
    <w:basedOn w:val="1"/>
    <w:next w:val="428"/>
    <w:qFormat/>
    <w:uiPriority w:val="99"/>
    <w:pPr>
      <w:widowControl/>
      <w:shd w:val="clear" w:color="000000" w:fill="FFFFFF"/>
      <w:spacing w:before="280" w:after="280"/>
      <w:jc w:val="center"/>
    </w:pPr>
    <w:rPr>
      <w:rFonts w:ascii="宋体" w:hAnsi="Calibri"/>
      <w:b/>
      <w:kern w:val="0"/>
      <w:sz w:val="20"/>
      <w:szCs w:val="20"/>
    </w:rPr>
  </w:style>
  <w:style w:type="paragraph" w:customStyle="1" w:styleId="454">
    <w:name w:val="toc 37"/>
    <w:next w:val="1"/>
    <w:qFormat/>
    <w:uiPriority w:val="99"/>
    <w:pPr>
      <w:wordWrap w:val="0"/>
      <w:ind w:left="850"/>
      <w:jc w:val="both"/>
    </w:pPr>
    <w:rPr>
      <w:rFonts w:ascii="Calibri" w:hAnsi="Calibri" w:eastAsia="宋体" w:cs="Times New Roman"/>
      <w:sz w:val="21"/>
      <w:lang w:val="en-US" w:eastAsia="zh-CN" w:bidi="ar-SA"/>
    </w:rPr>
  </w:style>
  <w:style w:type="paragraph" w:customStyle="1" w:styleId="455">
    <w:name w:val="xl109"/>
    <w:basedOn w:val="1"/>
    <w:next w:val="401"/>
    <w:qFormat/>
    <w:uiPriority w:val="99"/>
    <w:pPr>
      <w:widowControl/>
      <w:shd w:val="clear" w:color="000000" w:fill="FFFFFF"/>
      <w:spacing w:before="280" w:after="280"/>
    </w:pPr>
    <w:rPr>
      <w:rFonts w:ascii="宋体" w:hAnsi="Calibri"/>
      <w:kern w:val="0"/>
      <w:sz w:val="20"/>
      <w:szCs w:val="20"/>
    </w:rPr>
  </w:style>
  <w:style w:type="paragraph" w:customStyle="1" w:styleId="456">
    <w:name w:val="toc 215"/>
    <w:next w:val="1"/>
    <w:qFormat/>
    <w:uiPriority w:val="99"/>
    <w:pPr>
      <w:wordWrap w:val="0"/>
      <w:ind w:left="425"/>
      <w:jc w:val="both"/>
    </w:pPr>
    <w:rPr>
      <w:rFonts w:ascii="Calibri" w:hAnsi="Calibri" w:eastAsia="宋体" w:cs="Times New Roman"/>
      <w:sz w:val="21"/>
      <w:lang w:val="en-US" w:eastAsia="zh-CN" w:bidi="ar-SA"/>
    </w:rPr>
  </w:style>
  <w:style w:type="paragraph" w:customStyle="1" w:styleId="457">
    <w:name w:val="xl76"/>
    <w:basedOn w:val="1"/>
    <w:next w:val="409"/>
    <w:qFormat/>
    <w:uiPriority w:val="99"/>
    <w:pPr>
      <w:widowControl/>
      <w:shd w:val="clear" w:color="000000" w:fill="FFFFFF"/>
      <w:spacing w:before="280" w:after="280"/>
      <w:jc w:val="center"/>
    </w:pPr>
    <w:rPr>
      <w:rFonts w:ascii="宋体" w:hAnsi="Calibri"/>
      <w:b/>
      <w:kern w:val="0"/>
      <w:sz w:val="20"/>
      <w:szCs w:val="20"/>
    </w:rPr>
  </w:style>
  <w:style w:type="paragraph" w:customStyle="1" w:styleId="458">
    <w:name w:val="toc 92"/>
    <w:next w:val="1"/>
    <w:qFormat/>
    <w:uiPriority w:val="99"/>
    <w:pPr>
      <w:wordWrap w:val="0"/>
      <w:ind w:left="3400"/>
      <w:jc w:val="both"/>
    </w:pPr>
    <w:rPr>
      <w:rFonts w:ascii="Calibri" w:hAnsi="Calibri" w:eastAsia="宋体" w:cs="Times New Roman"/>
      <w:sz w:val="21"/>
      <w:lang w:val="en-US" w:eastAsia="zh-CN" w:bidi="ar-SA"/>
    </w:rPr>
  </w:style>
  <w:style w:type="paragraph" w:customStyle="1" w:styleId="459">
    <w:name w:val="toc 216"/>
    <w:next w:val="1"/>
    <w:qFormat/>
    <w:uiPriority w:val="99"/>
    <w:pPr>
      <w:wordWrap w:val="0"/>
      <w:ind w:left="425"/>
      <w:jc w:val="both"/>
    </w:pPr>
    <w:rPr>
      <w:rFonts w:ascii="Calibri" w:hAnsi="Calibri" w:eastAsia="宋体" w:cs="Times New Roman"/>
      <w:sz w:val="21"/>
      <w:lang w:val="en-US" w:eastAsia="zh-CN" w:bidi="ar-SA"/>
    </w:rPr>
  </w:style>
  <w:style w:type="paragraph" w:customStyle="1" w:styleId="460">
    <w:name w:val="xl70"/>
    <w:basedOn w:val="1"/>
    <w:next w:val="386"/>
    <w:qFormat/>
    <w:uiPriority w:val="99"/>
    <w:pPr>
      <w:widowControl/>
      <w:shd w:val="clear" w:color="000000" w:fill="FFFFFF"/>
      <w:spacing w:before="280" w:after="280"/>
    </w:pPr>
    <w:rPr>
      <w:rFonts w:ascii="宋体" w:hAnsi="Calibri"/>
      <w:kern w:val="0"/>
      <w:sz w:val="20"/>
      <w:szCs w:val="20"/>
    </w:rPr>
  </w:style>
  <w:style w:type="paragraph" w:customStyle="1" w:styleId="461">
    <w:name w:val="toc 33"/>
    <w:next w:val="1"/>
    <w:qFormat/>
    <w:uiPriority w:val="99"/>
    <w:pPr>
      <w:wordWrap w:val="0"/>
      <w:ind w:left="850"/>
      <w:jc w:val="both"/>
    </w:pPr>
    <w:rPr>
      <w:rFonts w:ascii="Calibri" w:hAnsi="Calibri" w:eastAsia="宋体" w:cs="Times New Roman"/>
      <w:sz w:val="21"/>
      <w:lang w:val="en-US" w:eastAsia="zh-CN" w:bidi="ar-SA"/>
    </w:rPr>
  </w:style>
  <w:style w:type="paragraph" w:customStyle="1" w:styleId="462">
    <w:name w:val="toc 61"/>
    <w:next w:val="1"/>
    <w:qFormat/>
    <w:uiPriority w:val="99"/>
    <w:pPr>
      <w:wordWrap w:val="0"/>
      <w:ind w:left="2125"/>
      <w:jc w:val="both"/>
    </w:pPr>
    <w:rPr>
      <w:rFonts w:ascii="Calibri" w:hAnsi="Calibri" w:eastAsia="宋体" w:cs="Times New Roman"/>
      <w:sz w:val="21"/>
      <w:lang w:val="en-US" w:eastAsia="zh-CN" w:bidi="ar-SA"/>
    </w:rPr>
  </w:style>
  <w:style w:type="paragraph" w:customStyle="1" w:styleId="463">
    <w:name w:val="xl98"/>
    <w:basedOn w:val="1"/>
    <w:next w:val="404"/>
    <w:qFormat/>
    <w:uiPriority w:val="99"/>
    <w:pPr>
      <w:widowControl/>
      <w:shd w:val="clear" w:color="000000" w:fill="FFFFFF"/>
      <w:spacing w:before="280" w:after="280"/>
      <w:jc w:val="center"/>
    </w:pPr>
    <w:rPr>
      <w:rFonts w:ascii="宋体" w:hAnsi="Calibri"/>
      <w:kern w:val="0"/>
      <w:sz w:val="20"/>
      <w:szCs w:val="20"/>
    </w:rPr>
  </w:style>
  <w:style w:type="paragraph" w:customStyle="1" w:styleId="464">
    <w:name w:val="toc 26"/>
    <w:next w:val="1"/>
    <w:qFormat/>
    <w:uiPriority w:val="99"/>
    <w:pPr>
      <w:wordWrap w:val="0"/>
      <w:ind w:left="425"/>
      <w:jc w:val="both"/>
    </w:pPr>
    <w:rPr>
      <w:rFonts w:ascii="Calibri" w:hAnsi="Calibri" w:eastAsia="宋体" w:cs="Times New Roman"/>
      <w:sz w:val="21"/>
      <w:lang w:val="en-US" w:eastAsia="zh-CN" w:bidi="ar-SA"/>
    </w:rPr>
  </w:style>
  <w:style w:type="paragraph" w:customStyle="1" w:styleId="465">
    <w:name w:val="toc 13"/>
    <w:next w:val="1"/>
    <w:qFormat/>
    <w:uiPriority w:val="99"/>
    <w:pPr>
      <w:wordWrap w:val="0"/>
      <w:jc w:val="both"/>
    </w:pPr>
    <w:rPr>
      <w:rFonts w:ascii="Calibri" w:hAnsi="Calibri" w:eastAsia="宋体" w:cs="Times New Roman"/>
      <w:sz w:val="21"/>
      <w:lang w:val="en-US" w:eastAsia="zh-CN" w:bidi="ar-SA"/>
    </w:rPr>
  </w:style>
  <w:style w:type="paragraph" w:customStyle="1" w:styleId="466">
    <w:name w:val="目录 51"/>
    <w:next w:val="1"/>
    <w:qFormat/>
    <w:uiPriority w:val="99"/>
    <w:pPr>
      <w:wordWrap w:val="0"/>
      <w:ind w:left="1700"/>
      <w:jc w:val="both"/>
    </w:pPr>
    <w:rPr>
      <w:rFonts w:ascii="Calibri" w:hAnsi="Calibri" w:eastAsia="宋体" w:cs="Times New Roman"/>
      <w:sz w:val="21"/>
      <w:lang w:val="en-US" w:eastAsia="zh-CN" w:bidi="ar-SA"/>
    </w:rPr>
  </w:style>
  <w:style w:type="paragraph" w:customStyle="1" w:styleId="467">
    <w:name w:val="xl101"/>
    <w:basedOn w:val="1"/>
    <w:next w:val="435"/>
    <w:qFormat/>
    <w:uiPriority w:val="99"/>
    <w:pPr>
      <w:widowControl/>
      <w:spacing w:before="280" w:after="280"/>
    </w:pPr>
    <w:rPr>
      <w:rFonts w:ascii="宋体" w:hAnsi="Calibri"/>
      <w:kern w:val="0"/>
      <w:sz w:val="20"/>
      <w:szCs w:val="20"/>
    </w:rPr>
  </w:style>
  <w:style w:type="paragraph" w:customStyle="1" w:styleId="468">
    <w:name w:val="toc 75"/>
    <w:next w:val="1"/>
    <w:qFormat/>
    <w:uiPriority w:val="99"/>
    <w:pPr>
      <w:wordWrap w:val="0"/>
      <w:ind w:left="2550"/>
      <w:jc w:val="both"/>
    </w:pPr>
    <w:rPr>
      <w:rFonts w:ascii="Calibri" w:hAnsi="Calibri" w:eastAsia="宋体" w:cs="Times New Roman"/>
      <w:sz w:val="21"/>
      <w:lang w:val="en-US" w:eastAsia="zh-CN" w:bidi="ar-SA"/>
    </w:rPr>
  </w:style>
  <w:style w:type="paragraph" w:customStyle="1" w:styleId="469">
    <w:name w:val="toc 715"/>
    <w:next w:val="1"/>
    <w:qFormat/>
    <w:uiPriority w:val="99"/>
    <w:pPr>
      <w:wordWrap w:val="0"/>
      <w:ind w:left="2550"/>
      <w:jc w:val="both"/>
    </w:pPr>
    <w:rPr>
      <w:rFonts w:ascii="Calibri" w:hAnsi="Calibri" w:eastAsia="宋体" w:cs="Times New Roman"/>
      <w:sz w:val="21"/>
      <w:lang w:val="en-US" w:eastAsia="zh-CN" w:bidi="ar-SA"/>
    </w:rPr>
  </w:style>
  <w:style w:type="paragraph" w:styleId="470">
    <w:name w:val="Intense Quote"/>
    <w:basedOn w:val="1"/>
    <w:next w:val="1"/>
    <w:link w:val="471"/>
    <w:qFormat/>
    <w:uiPriority w:val="99"/>
    <w:pPr>
      <w:widowControl/>
      <w:wordWrap w:val="0"/>
      <w:spacing w:before="360" w:after="360"/>
      <w:ind w:left="950" w:right="950"/>
      <w:jc w:val="center"/>
    </w:pPr>
    <w:rPr>
      <w:rFonts w:ascii="Calibri" w:hAnsi="Calibri"/>
      <w:i/>
      <w:kern w:val="0"/>
      <w:szCs w:val="20"/>
    </w:rPr>
  </w:style>
  <w:style w:type="character" w:customStyle="1" w:styleId="471">
    <w:name w:val="明显引用 Char"/>
    <w:link w:val="470"/>
    <w:qFormat/>
    <w:locked/>
    <w:uiPriority w:val="99"/>
    <w:rPr>
      <w:rFonts w:ascii="Calibri" w:hAnsi="Calibri" w:cs="Times New Roman"/>
      <w:i/>
      <w:sz w:val="21"/>
      <w:lang w:val="en-US" w:eastAsia="zh-CN" w:bidi="ar-SA"/>
    </w:rPr>
  </w:style>
  <w:style w:type="paragraph" w:customStyle="1" w:styleId="472">
    <w:name w:val="Char Char Char Char Char Char Char"/>
    <w:basedOn w:val="1"/>
    <w:next w:val="456"/>
    <w:qFormat/>
    <w:uiPriority w:val="99"/>
    <w:pPr>
      <w:widowControl/>
      <w:spacing w:after="160" w:line="240" w:lineRule="exact"/>
    </w:pPr>
    <w:rPr>
      <w:rFonts w:hAnsi="Calibri"/>
      <w:kern w:val="0"/>
      <w:szCs w:val="20"/>
    </w:rPr>
  </w:style>
  <w:style w:type="paragraph" w:customStyle="1" w:styleId="473">
    <w:name w:val="toc 23"/>
    <w:next w:val="1"/>
    <w:qFormat/>
    <w:uiPriority w:val="99"/>
    <w:pPr>
      <w:wordWrap w:val="0"/>
      <w:ind w:left="425"/>
      <w:jc w:val="both"/>
    </w:pPr>
    <w:rPr>
      <w:rFonts w:ascii="Calibri" w:hAnsi="Calibri" w:eastAsia="宋体" w:cs="Times New Roman"/>
      <w:sz w:val="21"/>
      <w:lang w:val="en-US" w:eastAsia="zh-CN" w:bidi="ar-SA"/>
    </w:rPr>
  </w:style>
  <w:style w:type="paragraph" w:customStyle="1" w:styleId="474">
    <w:name w:val="目录 61"/>
    <w:next w:val="1"/>
    <w:qFormat/>
    <w:uiPriority w:val="99"/>
    <w:pPr>
      <w:wordWrap w:val="0"/>
      <w:ind w:left="2125"/>
      <w:jc w:val="both"/>
    </w:pPr>
    <w:rPr>
      <w:rFonts w:ascii="Calibri" w:hAnsi="Calibri" w:eastAsia="宋体" w:cs="Times New Roman"/>
      <w:sz w:val="21"/>
      <w:lang w:val="en-US" w:eastAsia="zh-CN" w:bidi="ar-SA"/>
    </w:rPr>
  </w:style>
  <w:style w:type="paragraph" w:customStyle="1" w:styleId="475">
    <w:name w:val="toc 97"/>
    <w:next w:val="1"/>
    <w:qFormat/>
    <w:uiPriority w:val="99"/>
    <w:pPr>
      <w:wordWrap w:val="0"/>
      <w:ind w:left="3400"/>
      <w:jc w:val="both"/>
    </w:pPr>
    <w:rPr>
      <w:rFonts w:ascii="Calibri" w:hAnsi="Calibri" w:eastAsia="宋体" w:cs="Times New Roman"/>
      <w:sz w:val="21"/>
      <w:lang w:val="en-US" w:eastAsia="zh-CN" w:bidi="ar-SA"/>
    </w:rPr>
  </w:style>
  <w:style w:type="paragraph" w:customStyle="1" w:styleId="476">
    <w:name w:val="toc 74"/>
    <w:next w:val="1"/>
    <w:qFormat/>
    <w:uiPriority w:val="99"/>
    <w:pPr>
      <w:wordWrap w:val="0"/>
      <w:ind w:left="2550"/>
      <w:jc w:val="both"/>
    </w:pPr>
    <w:rPr>
      <w:rFonts w:ascii="Calibri" w:hAnsi="Calibri" w:eastAsia="宋体" w:cs="Times New Roman"/>
      <w:sz w:val="21"/>
      <w:lang w:val="en-US" w:eastAsia="zh-CN" w:bidi="ar-SA"/>
    </w:rPr>
  </w:style>
  <w:style w:type="paragraph" w:customStyle="1" w:styleId="477">
    <w:name w:val="xl64"/>
    <w:basedOn w:val="1"/>
    <w:next w:val="452"/>
    <w:qFormat/>
    <w:uiPriority w:val="99"/>
    <w:pPr>
      <w:widowControl/>
      <w:shd w:val="clear" w:color="000000" w:fill="FFFFFF"/>
      <w:spacing w:before="280" w:after="280"/>
    </w:pPr>
    <w:rPr>
      <w:rFonts w:ascii="宋体" w:hAnsi="Calibri"/>
      <w:kern w:val="0"/>
      <w:sz w:val="20"/>
      <w:szCs w:val="20"/>
    </w:rPr>
  </w:style>
  <w:style w:type="paragraph" w:customStyle="1" w:styleId="478">
    <w:name w:val="xl82"/>
    <w:basedOn w:val="1"/>
    <w:next w:val="298"/>
    <w:qFormat/>
    <w:uiPriority w:val="99"/>
    <w:pPr>
      <w:widowControl/>
      <w:shd w:val="clear" w:color="000000" w:fill="FFFFFF"/>
      <w:spacing w:before="280" w:after="280"/>
    </w:pPr>
    <w:rPr>
      <w:rFonts w:ascii="宋体" w:hAnsi="Calibri"/>
      <w:kern w:val="0"/>
      <w:sz w:val="20"/>
      <w:szCs w:val="20"/>
    </w:rPr>
  </w:style>
  <w:style w:type="paragraph" w:customStyle="1" w:styleId="479">
    <w:name w:val="toc 32"/>
    <w:next w:val="1"/>
    <w:qFormat/>
    <w:uiPriority w:val="99"/>
    <w:pPr>
      <w:wordWrap w:val="0"/>
      <w:ind w:left="850"/>
      <w:jc w:val="both"/>
    </w:pPr>
    <w:rPr>
      <w:rFonts w:ascii="Calibri" w:hAnsi="Calibri" w:eastAsia="宋体" w:cs="Times New Roman"/>
      <w:sz w:val="21"/>
      <w:lang w:val="en-US" w:eastAsia="zh-CN" w:bidi="ar-SA"/>
    </w:rPr>
  </w:style>
  <w:style w:type="paragraph" w:customStyle="1" w:styleId="480">
    <w:name w:val="xl77"/>
    <w:basedOn w:val="1"/>
    <w:next w:val="445"/>
    <w:qFormat/>
    <w:uiPriority w:val="99"/>
    <w:pPr>
      <w:widowControl/>
      <w:shd w:val="clear" w:color="000000" w:fill="FFFFFF"/>
      <w:spacing w:before="280" w:after="280"/>
      <w:jc w:val="center"/>
    </w:pPr>
    <w:rPr>
      <w:rFonts w:ascii="宋体" w:hAnsi="Calibri"/>
      <w:kern w:val="0"/>
      <w:sz w:val="20"/>
      <w:szCs w:val="20"/>
    </w:rPr>
  </w:style>
  <w:style w:type="character" w:customStyle="1" w:styleId="481">
    <w:name w:val="正文缩进 Char1"/>
    <w:qFormat/>
    <w:uiPriority w:val="99"/>
    <w:rPr>
      <w:rFonts w:eastAsia="宋体"/>
      <w:kern w:val="2"/>
      <w:sz w:val="21"/>
      <w:lang w:val="en-US" w:eastAsia="zh-CN"/>
    </w:rPr>
  </w:style>
  <w:style w:type="character" w:customStyle="1" w:styleId="482">
    <w:name w:val="fielderror"/>
    <w:qFormat/>
    <w:uiPriority w:val="99"/>
    <w:rPr>
      <w:rFonts w:cs="Times New Roman"/>
      <w:color w:val="800000"/>
    </w:rPr>
  </w:style>
  <w:style w:type="character" w:customStyle="1" w:styleId="483">
    <w:name w:val="hilite6"/>
    <w:qFormat/>
    <w:uiPriority w:val="99"/>
    <w:rPr>
      <w:rFonts w:cs="Times New Roman"/>
      <w:color w:val="000000"/>
    </w:rPr>
  </w:style>
  <w:style w:type="character" w:customStyle="1" w:styleId="484">
    <w:name w:val="active6"/>
    <w:qFormat/>
    <w:uiPriority w:val="99"/>
    <w:rPr>
      <w:rFonts w:cs="Times New Roman"/>
      <w:color w:val="FFFFFF"/>
    </w:rPr>
  </w:style>
  <w:style w:type="paragraph" w:customStyle="1" w:styleId="485">
    <w:name w:val="name"/>
    <w:basedOn w:val="1"/>
    <w:qFormat/>
    <w:uiPriority w:val="99"/>
    <w:pPr>
      <w:jc w:val="left"/>
    </w:pPr>
    <w:rPr>
      <w:kern w:val="0"/>
      <w:sz w:val="27"/>
      <w:szCs w:val="27"/>
    </w:rPr>
  </w:style>
  <w:style w:type="paragraph" w:customStyle="1" w:styleId="486">
    <w:name w:val="name2"/>
    <w:basedOn w:val="1"/>
    <w:qFormat/>
    <w:uiPriority w:val="99"/>
    <w:pPr>
      <w:jc w:val="right"/>
    </w:pPr>
    <w:rPr>
      <w:kern w:val="0"/>
    </w:rPr>
  </w:style>
  <w:style w:type="character" w:customStyle="1" w:styleId="487">
    <w:name w:val="font51"/>
    <w:qFormat/>
    <w:uiPriority w:val="99"/>
    <w:rPr>
      <w:rFonts w:ascii="宋体" w:hAnsi="宋体" w:eastAsia="宋体" w:cs="宋体"/>
      <w:color w:val="000000"/>
      <w:sz w:val="21"/>
      <w:szCs w:val="21"/>
      <w:u w:val="none"/>
    </w:rPr>
  </w:style>
  <w:style w:type="character" w:customStyle="1" w:styleId="488">
    <w:name w:val="font81"/>
    <w:qFormat/>
    <w:uiPriority w:val="99"/>
    <w:rPr>
      <w:rFonts w:ascii="Times New Roman" w:hAnsi="Times New Roman" w:cs="Times New Roman"/>
      <w:color w:val="000000"/>
      <w:sz w:val="21"/>
      <w:szCs w:val="21"/>
      <w:u w:val="none"/>
      <w:vertAlign w:val="subscript"/>
    </w:rPr>
  </w:style>
  <w:style w:type="table" w:customStyle="1" w:styleId="489">
    <w:name w:val="网格型1"/>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90">
    <w:name w:val="active"/>
    <w:qFormat/>
    <w:uiPriority w:val="0"/>
    <w:rPr>
      <w:color w:val="FFFFFF"/>
    </w:rPr>
  </w:style>
  <w:style w:type="character" w:customStyle="1" w:styleId="491">
    <w:name w:val="hilite"/>
    <w:qFormat/>
    <w:uiPriority w:val="0"/>
    <w:rPr>
      <w:color w:val="000000"/>
    </w:rPr>
  </w:style>
  <w:style w:type="character" w:customStyle="1" w:styleId="492">
    <w:name w:val="NormalCharacter"/>
    <w:semiHidden/>
    <w:qFormat/>
    <w:uiPriority w:val="0"/>
  </w:style>
  <w:style w:type="paragraph" w:customStyle="1" w:styleId="493">
    <w:name w:val="d正文"/>
    <w:basedOn w:val="1"/>
    <w:qFormat/>
    <w:uiPriority w:val="0"/>
    <w:pPr>
      <w:adjustRightInd w:val="0"/>
      <w:snapToGrid w:val="0"/>
      <w:spacing w:line="360" w:lineRule="auto"/>
      <w:ind w:firstLine="480" w:firstLineChars="200"/>
    </w:pPr>
    <w:rPr>
      <w:rFonts w:ascii="仿宋_GB2312" w:hAnsi="仿宋_GB2312"/>
      <w:bCs/>
      <w:kern w:val="0"/>
      <w:sz w:val="24"/>
    </w:rPr>
  </w:style>
  <w:style w:type="paragraph" w:customStyle="1" w:styleId="494">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95">
    <w:name w:val="inline-help"/>
    <w:basedOn w:val="47"/>
    <w:qFormat/>
    <w:uiPriority w:val="0"/>
  </w:style>
  <w:style w:type="character" w:customStyle="1" w:styleId="496">
    <w:name w:val="hover1"/>
    <w:basedOn w:val="47"/>
    <w:qFormat/>
    <w:uiPriority w:val="0"/>
  </w:style>
  <w:style w:type="character" w:customStyle="1" w:styleId="497">
    <w:name w:val="hover2"/>
    <w:basedOn w:val="47"/>
    <w:qFormat/>
    <w:uiPriority w:val="0"/>
    <w:rPr>
      <w:color w:val="2590EB"/>
    </w:rPr>
  </w:style>
  <w:style w:type="character" w:customStyle="1" w:styleId="498">
    <w:name w:val="hover3"/>
    <w:basedOn w:val="47"/>
    <w:qFormat/>
    <w:uiPriority w:val="0"/>
    <w:rPr>
      <w:color w:val="2590EB"/>
    </w:rPr>
  </w:style>
  <w:style w:type="character" w:customStyle="1" w:styleId="499">
    <w:name w:val="hover4"/>
    <w:basedOn w:val="47"/>
    <w:qFormat/>
    <w:uiPriority w:val="0"/>
    <w:rPr>
      <w:color w:val="2590EB"/>
      <w:shd w:val="clear" w:color="auto" w:fill="E9F4FD"/>
    </w:rPr>
  </w:style>
  <w:style w:type="character" w:customStyle="1" w:styleId="500">
    <w:name w:val="mini-outputtext1"/>
    <w:basedOn w:val="47"/>
    <w:qFormat/>
    <w:uiPriority w:val="0"/>
  </w:style>
  <w:style w:type="character" w:customStyle="1" w:styleId="501">
    <w:name w:val="hover"/>
    <w:basedOn w:val="47"/>
    <w:qFormat/>
    <w:uiPriority w:val="0"/>
    <w:rPr>
      <w:color w:val="2590EB"/>
      <w:shd w:val="clear" w:color="auto" w:fill="E9F4FD"/>
    </w:rPr>
  </w:style>
  <w:style w:type="paragraph" w:customStyle="1" w:styleId="502">
    <w:name w:val="标书正文1"/>
    <w:basedOn w:val="1"/>
    <w:qFormat/>
    <w:uiPriority w:val="0"/>
    <w:pPr>
      <w:spacing w:line="520" w:lineRule="exact"/>
      <w:ind w:firstLine="640" w:firstLineChars="200"/>
    </w:pPr>
  </w:style>
  <w:style w:type="character" w:customStyle="1" w:styleId="503">
    <w:name w:val="15"/>
    <w:basedOn w:val="47"/>
    <w:qFormat/>
    <w:uiPriority w:val="99"/>
    <w:rPr>
      <w:rFonts w:ascii="Times New Roman" w:hAnsi="Times New Roman" w:cs="Times New Roman"/>
      <w:b/>
      <w:bCs/>
    </w:rPr>
  </w:style>
  <w:style w:type="paragraph" w:customStyle="1" w:styleId="504">
    <w:name w:val="MSG_EN_FONT_STYLE_NAME_TEMPLATE_ROLE_NUMBER MSG_EN_FONT_STYLE_NAME_BY_ROLE_TEXT 11"/>
    <w:basedOn w:val="1"/>
    <w:qFormat/>
    <w:uiPriority w:val="0"/>
    <w:pPr>
      <w:widowControl/>
      <w:shd w:val="clear" w:color="auto" w:fill="FFFFFF"/>
      <w:adjustRightInd w:val="0"/>
      <w:snapToGrid w:val="0"/>
      <w:spacing w:after="200" w:line="490" w:lineRule="exact"/>
      <w:jc w:val="left"/>
    </w:pPr>
    <w:rPr>
      <w:rFonts w:ascii="PMingLiU" w:hAnsi="PMingLiU" w:eastAsia="PMingLiU" w:cs="PMingLiU"/>
      <w:spacing w:val="30"/>
      <w:kern w:val="0"/>
      <w:sz w:val="30"/>
      <w:szCs w:val="30"/>
    </w:rPr>
  </w:style>
  <w:style w:type="character" w:customStyle="1" w:styleId="505">
    <w:name w:val="first-child"/>
    <w:basedOn w:val="47"/>
    <w:qFormat/>
    <w:uiPriority w:val="0"/>
  </w:style>
  <w:style w:type="character" w:customStyle="1" w:styleId="506">
    <w:name w:val="layui-this"/>
    <w:basedOn w:val="47"/>
    <w:qFormat/>
    <w:uiPriority w:val="0"/>
    <w:rPr>
      <w:bdr w:val="single" w:color="EEEEEE"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98</Pages>
  <Words>7500</Words>
  <Characters>7894</Characters>
  <Lines>454</Lines>
  <Paragraphs>127</Paragraphs>
  <TotalTime>10</TotalTime>
  <ScaleCrop>false</ScaleCrop>
  <LinksUpToDate>false</LinksUpToDate>
  <CharactersWithSpaces>7961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2023-10-23T02:23:00Z</dcterms:created>
  <dc:creator>Administrator</dc:creator>
  <cp:lastModifiedBy>东海国际</cp:lastModifiedBy>
  <cp:lastPrinted>2023-10-30T06:37:00Z</cp:lastPrinted>
  <dcterms:modified xsi:type="dcterms:W3CDTF">2025-02-24T10:40:46Z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0CE2924B0B13442BB42D6666D21DD2E8_13</vt:lpwstr>
  </property>
  <property fmtid="{D5CDD505-2E9C-101B-9397-08002B2CF9AE}" pid="3" name="KSOProductBuildVer">
    <vt:lpwstr>2052-12.1.0.20305</vt:lpwstr>
  </property>
  <property fmtid="{D5CDD505-2E9C-101B-9397-08002B2CF9AE}" pid="4" name="KSOTemplateDocerSaveRecord">
    <vt:lpwstr>eyJoZGlkIjoiNjBjMTVjMDgyOTBjZGRlMDk5YTFlNzc5YzVlZDk4MTQiLCJ1c2VySWQiOiI1NTg0MDgyNTcifQ==</vt:lpwstr>
  </property>
</Properties>
</file>