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729C39">
      <w:pPr>
        <w:pStyle w:val="16"/>
        <w:spacing w:before="454" w:beforeAutospacing="0" w:after="454" w:afterAutospacing="0"/>
        <w:ind w:left="454" w:right="454"/>
        <w:jc w:val="center"/>
        <w:outlineLvl w:val="0"/>
        <w:rPr>
          <w:rFonts w:hint="eastAsia" w:eastAsia="宋体"/>
          <w:sz w:val="40"/>
          <w:szCs w:val="40"/>
          <w:lang w:eastAsia="zh-CN"/>
        </w:rPr>
      </w:pPr>
      <w:r>
        <w:rPr>
          <w:rFonts w:hint="eastAsia" w:eastAsia="宋体"/>
          <w:sz w:val="40"/>
          <w:szCs w:val="40"/>
          <w:lang w:eastAsia="zh-CN"/>
        </w:rPr>
        <w:t>公立医疗机构药品采购服务项目</w:t>
      </w:r>
    </w:p>
    <w:p w14:paraId="476AFE8D">
      <w:pPr>
        <w:pStyle w:val="16"/>
        <w:jc w:val="center"/>
        <w:outlineLvl w:val="1"/>
        <w:rPr>
          <w:rFonts w:ascii="黑体" w:hAnsi="宋体" w:eastAsia="黑体" w:cs="黑体"/>
          <w:sz w:val="40"/>
          <w:szCs w:val="40"/>
        </w:rPr>
      </w:pPr>
      <w:r>
        <w:rPr>
          <w:rFonts w:hint="eastAsia" w:ascii="黑体" w:hAnsi="宋体" w:eastAsia="黑体" w:cs="黑体"/>
          <w:sz w:val="40"/>
          <w:szCs w:val="40"/>
        </w:rPr>
        <w:t>招标文件信息</w:t>
      </w:r>
    </w:p>
    <w:tbl>
      <w:tblPr>
        <w:tblStyle w:val="20"/>
        <w:tblW w:w="7943" w:type="dxa"/>
        <w:jc w:val="center"/>
        <w:tblCellSpacing w:w="0" w:type="dxa"/>
        <w:tblLayout w:type="fixed"/>
        <w:tblCellMar>
          <w:top w:w="45" w:type="dxa"/>
          <w:left w:w="45" w:type="dxa"/>
          <w:bottom w:w="45" w:type="dxa"/>
          <w:right w:w="45" w:type="dxa"/>
        </w:tblCellMar>
      </w:tblPr>
      <w:tblGrid>
        <w:gridCol w:w="2723"/>
        <w:gridCol w:w="5220"/>
      </w:tblGrid>
      <w:tr w14:paraId="305848E3">
        <w:tblPrEx>
          <w:tblCellMar>
            <w:top w:w="45" w:type="dxa"/>
            <w:left w:w="45" w:type="dxa"/>
            <w:bottom w:w="45" w:type="dxa"/>
            <w:right w:w="45" w:type="dxa"/>
          </w:tblCellMar>
        </w:tblPrEx>
        <w:trPr>
          <w:trHeight w:val="738" w:hRule="atLeast"/>
          <w:tblCellSpacing w:w="0" w:type="dxa"/>
          <w:jc w:val="center"/>
        </w:trPr>
        <w:tc>
          <w:tcPr>
            <w:tcW w:w="2723" w:type="dxa"/>
            <w:vAlign w:val="center"/>
          </w:tcPr>
          <w:p w14:paraId="69E5C089">
            <w:pPr>
              <w:jc w:val="right"/>
              <w:rPr>
                <w:sz w:val="30"/>
                <w:szCs w:val="30"/>
              </w:rPr>
            </w:pPr>
            <w:r>
              <w:rPr>
                <w:rFonts w:ascii="宋体" w:hAnsi="宋体" w:eastAsia="宋体" w:cs="宋体"/>
                <w:sz w:val="30"/>
                <w:szCs w:val="30"/>
              </w:rPr>
              <w:t>项目编号：</w:t>
            </w:r>
          </w:p>
        </w:tc>
        <w:tc>
          <w:tcPr>
            <w:tcW w:w="5220" w:type="dxa"/>
            <w:vAlign w:val="center"/>
          </w:tcPr>
          <w:p w14:paraId="0B62F61F">
            <w:pPr>
              <w:rPr>
                <w:rFonts w:hint="eastAsia" w:ascii="宋体" w:hAnsi="宋体" w:eastAsia="宋体"/>
                <w:sz w:val="30"/>
                <w:szCs w:val="30"/>
                <w:lang w:eastAsia="zh-CN"/>
              </w:rPr>
            </w:pPr>
            <w:r>
              <w:rPr>
                <w:rFonts w:hint="eastAsia" w:ascii="宋体" w:hAnsi="宋体" w:eastAsia="宋体"/>
                <w:sz w:val="30"/>
                <w:szCs w:val="30"/>
                <w:lang w:eastAsia="zh-CN"/>
              </w:rPr>
              <w:t>3324-DH2531F3111（SZDL2025001135）</w:t>
            </w:r>
          </w:p>
        </w:tc>
      </w:tr>
      <w:tr w14:paraId="4FCEA748">
        <w:tblPrEx>
          <w:tblCellMar>
            <w:top w:w="45" w:type="dxa"/>
            <w:left w:w="45" w:type="dxa"/>
            <w:bottom w:w="45" w:type="dxa"/>
            <w:right w:w="45" w:type="dxa"/>
          </w:tblCellMar>
        </w:tblPrEx>
        <w:trPr>
          <w:trHeight w:val="738" w:hRule="atLeast"/>
          <w:tblCellSpacing w:w="0" w:type="dxa"/>
          <w:jc w:val="center"/>
        </w:trPr>
        <w:tc>
          <w:tcPr>
            <w:tcW w:w="2723" w:type="dxa"/>
            <w:vAlign w:val="center"/>
          </w:tcPr>
          <w:p w14:paraId="0A5CC04A">
            <w:pPr>
              <w:jc w:val="right"/>
              <w:rPr>
                <w:sz w:val="30"/>
                <w:szCs w:val="30"/>
              </w:rPr>
            </w:pPr>
            <w:r>
              <w:rPr>
                <w:rFonts w:ascii="宋体" w:hAnsi="宋体" w:eastAsia="宋体" w:cs="宋体"/>
                <w:sz w:val="30"/>
                <w:szCs w:val="30"/>
              </w:rPr>
              <w:t>项目名称：</w:t>
            </w:r>
          </w:p>
        </w:tc>
        <w:tc>
          <w:tcPr>
            <w:tcW w:w="5220" w:type="dxa"/>
            <w:vAlign w:val="center"/>
          </w:tcPr>
          <w:p w14:paraId="1617CB42">
            <w:pPr>
              <w:rPr>
                <w:rFonts w:hint="eastAsia" w:eastAsia="宋体"/>
                <w:sz w:val="30"/>
                <w:szCs w:val="30"/>
                <w:lang w:eastAsia="zh-CN"/>
              </w:rPr>
            </w:pPr>
            <w:r>
              <w:rPr>
                <w:rFonts w:hint="eastAsia" w:ascii="宋体" w:hAnsi="宋体" w:eastAsia="宋体" w:cs="宋体"/>
                <w:sz w:val="30"/>
                <w:szCs w:val="30"/>
                <w:lang w:eastAsia="zh-CN"/>
              </w:rPr>
              <w:t>公立医疗机构药品采购服务项目</w:t>
            </w:r>
          </w:p>
        </w:tc>
      </w:tr>
      <w:tr w14:paraId="7C2DDE63">
        <w:tblPrEx>
          <w:tblCellMar>
            <w:top w:w="45" w:type="dxa"/>
            <w:left w:w="45" w:type="dxa"/>
            <w:bottom w:w="45" w:type="dxa"/>
            <w:right w:w="45" w:type="dxa"/>
          </w:tblCellMar>
        </w:tblPrEx>
        <w:trPr>
          <w:trHeight w:val="738" w:hRule="atLeast"/>
          <w:tblCellSpacing w:w="0" w:type="dxa"/>
          <w:jc w:val="center"/>
        </w:trPr>
        <w:tc>
          <w:tcPr>
            <w:tcW w:w="2723" w:type="dxa"/>
            <w:vAlign w:val="center"/>
          </w:tcPr>
          <w:p w14:paraId="6FCD2F60">
            <w:pPr>
              <w:jc w:val="right"/>
              <w:rPr>
                <w:sz w:val="30"/>
                <w:szCs w:val="30"/>
              </w:rPr>
            </w:pPr>
            <w:r>
              <w:rPr>
                <w:rFonts w:ascii="宋体" w:hAnsi="宋体" w:eastAsia="宋体" w:cs="宋体"/>
                <w:sz w:val="30"/>
                <w:szCs w:val="30"/>
              </w:rPr>
              <w:t>包 号：</w:t>
            </w:r>
          </w:p>
        </w:tc>
        <w:tc>
          <w:tcPr>
            <w:tcW w:w="5220" w:type="dxa"/>
            <w:vAlign w:val="center"/>
          </w:tcPr>
          <w:p w14:paraId="410B515E">
            <w:pPr>
              <w:rPr>
                <w:sz w:val="30"/>
                <w:szCs w:val="30"/>
              </w:rPr>
            </w:pPr>
            <w:r>
              <w:rPr>
                <w:rFonts w:ascii="宋体" w:hAnsi="宋体" w:eastAsia="宋体" w:cs="宋体"/>
                <w:sz w:val="30"/>
                <w:szCs w:val="30"/>
              </w:rPr>
              <w:t>A</w:t>
            </w:r>
          </w:p>
        </w:tc>
      </w:tr>
      <w:tr w14:paraId="7870D1D3">
        <w:tblPrEx>
          <w:tblCellMar>
            <w:top w:w="45" w:type="dxa"/>
            <w:left w:w="45" w:type="dxa"/>
            <w:bottom w:w="45" w:type="dxa"/>
            <w:right w:w="45" w:type="dxa"/>
          </w:tblCellMar>
        </w:tblPrEx>
        <w:trPr>
          <w:trHeight w:val="738" w:hRule="atLeast"/>
          <w:tblCellSpacing w:w="0" w:type="dxa"/>
          <w:jc w:val="center"/>
        </w:trPr>
        <w:tc>
          <w:tcPr>
            <w:tcW w:w="2723" w:type="dxa"/>
            <w:vAlign w:val="center"/>
          </w:tcPr>
          <w:p w14:paraId="24A83764">
            <w:pPr>
              <w:jc w:val="right"/>
              <w:rPr>
                <w:sz w:val="30"/>
                <w:szCs w:val="30"/>
              </w:rPr>
            </w:pPr>
            <w:r>
              <w:rPr>
                <w:rFonts w:ascii="宋体" w:hAnsi="宋体" w:eastAsia="宋体" w:cs="宋体"/>
                <w:sz w:val="30"/>
                <w:szCs w:val="30"/>
              </w:rPr>
              <w:t>项目类型：</w:t>
            </w:r>
          </w:p>
        </w:tc>
        <w:tc>
          <w:tcPr>
            <w:tcW w:w="5220" w:type="dxa"/>
            <w:vAlign w:val="center"/>
          </w:tcPr>
          <w:p w14:paraId="402A4C8A">
            <w:pPr>
              <w:rPr>
                <w:sz w:val="30"/>
                <w:szCs w:val="30"/>
              </w:rPr>
            </w:pPr>
            <w:r>
              <w:rPr>
                <w:rFonts w:ascii="宋体" w:hAnsi="宋体" w:eastAsia="宋体" w:cs="宋体"/>
                <w:sz w:val="30"/>
                <w:szCs w:val="30"/>
              </w:rPr>
              <w:t>服务类</w:t>
            </w:r>
          </w:p>
        </w:tc>
      </w:tr>
      <w:tr w14:paraId="3848401C">
        <w:tblPrEx>
          <w:tblCellMar>
            <w:top w:w="45" w:type="dxa"/>
            <w:left w:w="45" w:type="dxa"/>
            <w:bottom w:w="45" w:type="dxa"/>
            <w:right w:w="45" w:type="dxa"/>
          </w:tblCellMar>
        </w:tblPrEx>
        <w:trPr>
          <w:trHeight w:val="738" w:hRule="atLeast"/>
          <w:tblCellSpacing w:w="0" w:type="dxa"/>
          <w:jc w:val="center"/>
        </w:trPr>
        <w:tc>
          <w:tcPr>
            <w:tcW w:w="2723" w:type="dxa"/>
            <w:vAlign w:val="center"/>
          </w:tcPr>
          <w:p w14:paraId="780882B8">
            <w:pPr>
              <w:jc w:val="right"/>
              <w:rPr>
                <w:sz w:val="30"/>
                <w:szCs w:val="30"/>
              </w:rPr>
            </w:pPr>
            <w:r>
              <w:rPr>
                <w:rFonts w:ascii="宋体" w:hAnsi="宋体" w:eastAsia="宋体" w:cs="宋体"/>
                <w:sz w:val="30"/>
                <w:szCs w:val="30"/>
              </w:rPr>
              <w:t>采购方式：</w:t>
            </w:r>
          </w:p>
        </w:tc>
        <w:tc>
          <w:tcPr>
            <w:tcW w:w="5220" w:type="dxa"/>
            <w:vAlign w:val="center"/>
          </w:tcPr>
          <w:p w14:paraId="0717D7CD">
            <w:pPr>
              <w:rPr>
                <w:sz w:val="30"/>
                <w:szCs w:val="30"/>
              </w:rPr>
            </w:pPr>
            <w:r>
              <w:rPr>
                <w:rFonts w:ascii="宋体" w:hAnsi="宋体" w:eastAsia="宋体" w:cs="宋体"/>
                <w:sz w:val="30"/>
                <w:szCs w:val="30"/>
              </w:rPr>
              <w:t>公开招标</w:t>
            </w:r>
          </w:p>
        </w:tc>
      </w:tr>
      <w:tr w14:paraId="2C395C6B">
        <w:tblPrEx>
          <w:tblCellMar>
            <w:top w:w="45" w:type="dxa"/>
            <w:left w:w="45" w:type="dxa"/>
            <w:bottom w:w="45" w:type="dxa"/>
            <w:right w:w="45" w:type="dxa"/>
          </w:tblCellMar>
        </w:tblPrEx>
        <w:trPr>
          <w:trHeight w:val="738" w:hRule="atLeast"/>
          <w:tblCellSpacing w:w="0" w:type="dxa"/>
          <w:jc w:val="center"/>
        </w:trPr>
        <w:tc>
          <w:tcPr>
            <w:tcW w:w="2723" w:type="dxa"/>
            <w:vAlign w:val="center"/>
          </w:tcPr>
          <w:p w14:paraId="75FB247F">
            <w:pPr>
              <w:jc w:val="right"/>
              <w:rPr>
                <w:sz w:val="30"/>
                <w:szCs w:val="30"/>
              </w:rPr>
            </w:pPr>
            <w:r>
              <w:rPr>
                <w:rFonts w:ascii="宋体" w:hAnsi="宋体" w:eastAsia="宋体" w:cs="宋体"/>
                <w:sz w:val="30"/>
                <w:szCs w:val="30"/>
              </w:rPr>
              <w:t>货币类型：</w:t>
            </w:r>
          </w:p>
        </w:tc>
        <w:tc>
          <w:tcPr>
            <w:tcW w:w="5220" w:type="dxa"/>
            <w:vAlign w:val="center"/>
          </w:tcPr>
          <w:p w14:paraId="6E0DFD2E">
            <w:pPr>
              <w:rPr>
                <w:sz w:val="30"/>
                <w:szCs w:val="30"/>
              </w:rPr>
            </w:pPr>
            <w:r>
              <w:rPr>
                <w:rFonts w:ascii="宋体" w:hAnsi="宋体" w:eastAsia="宋体" w:cs="宋体"/>
                <w:sz w:val="30"/>
                <w:szCs w:val="30"/>
              </w:rPr>
              <w:t>人民币</w:t>
            </w:r>
          </w:p>
        </w:tc>
      </w:tr>
      <w:tr w14:paraId="0ADCD7D3">
        <w:tblPrEx>
          <w:tblCellMar>
            <w:top w:w="45" w:type="dxa"/>
            <w:left w:w="45" w:type="dxa"/>
            <w:bottom w:w="45" w:type="dxa"/>
            <w:right w:w="45" w:type="dxa"/>
          </w:tblCellMar>
        </w:tblPrEx>
        <w:trPr>
          <w:trHeight w:val="738" w:hRule="atLeast"/>
          <w:tblCellSpacing w:w="0" w:type="dxa"/>
          <w:jc w:val="center"/>
        </w:trPr>
        <w:tc>
          <w:tcPr>
            <w:tcW w:w="2723" w:type="dxa"/>
            <w:vAlign w:val="center"/>
          </w:tcPr>
          <w:p w14:paraId="287A817F">
            <w:pPr>
              <w:jc w:val="right"/>
              <w:rPr>
                <w:sz w:val="30"/>
                <w:szCs w:val="30"/>
              </w:rPr>
            </w:pPr>
            <w:r>
              <w:rPr>
                <w:rFonts w:ascii="宋体" w:hAnsi="宋体" w:eastAsia="宋体" w:cs="宋体"/>
                <w:sz w:val="30"/>
                <w:szCs w:val="30"/>
              </w:rPr>
              <w:t>评标方法：</w:t>
            </w:r>
          </w:p>
        </w:tc>
        <w:tc>
          <w:tcPr>
            <w:tcW w:w="5220" w:type="dxa"/>
            <w:vAlign w:val="center"/>
          </w:tcPr>
          <w:p w14:paraId="3E471CAC">
            <w:pPr>
              <w:rPr>
                <w:sz w:val="30"/>
                <w:szCs w:val="30"/>
              </w:rPr>
            </w:pPr>
            <w:r>
              <w:rPr>
                <w:rFonts w:ascii="宋体" w:hAnsi="宋体" w:eastAsia="宋体" w:cs="宋体"/>
                <w:sz w:val="30"/>
                <w:szCs w:val="30"/>
              </w:rPr>
              <w:t>综合评分法（新价格分算法）</w:t>
            </w:r>
          </w:p>
        </w:tc>
      </w:tr>
    </w:tbl>
    <w:p w14:paraId="2A585850">
      <w:pPr>
        <w:pStyle w:val="16"/>
        <w:jc w:val="center"/>
        <w:outlineLvl w:val="1"/>
        <w:rPr>
          <w:rFonts w:ascii="黑体" w:hAnsi="黑体" w:eastAsia="黑体"/>
          <w:sz w:val="40"/>
          <w:szCs w:val="40"/>
        </w:rPr>
      </w:pPr>
      <w:r>
        <w:rPr>
          <w:rFonts w:hint="eastAsia" w:ascii="黑体" w:hAnsi="宋体" w:eastAsia="黑体" w:cs="黑体"/>
          <w:sz w:val="40"/>
          <w:szCs w:val="40"/>
        </w:rPr>
        <w:br w:type="page"/>
      </w:r>
      <w:r>
        <w:rPr>
          <w:rFonts w:hint="eastAsia" w:ascii="黑体" w:hAnsi="黑体" w:eastAsia="黑体"/>
          <w:sz w:val="40"/>
          <w:szCs w:val="40"/>
        </w:rPr>
        <w:t>资格性审查表</w:t>
      </w:r>
    </w:p>
    <w:tbl>
      <w:tblPr>
        <w:tblStyle w:val="20"/>
        <w:tblW w:w="852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0" w:type="dxa"/>
          <w:left w:w="108" w:type="dxa"/>
          <w:bottom w:w="20" w:type="dxa"/>
          <w:right w:w="108" w:type="dxa"/>
        </w:tblCellMar>
      </w:tblPr>
      <w:tblGrid>
        <w:gridCol w:w="745"/>
        <w:gridCol w:w="7775"/>
      </w:tblGrid>
      <w:tr w14:paraId="4EF19E7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45" w:type="dxa"/>
            <w:tcBorders>
              <w:top w:val="single" w:color="000000" w:sz="8" w:space="0"/>
              <w:left w:val="single" w:color="000000" w:sz="8" w:space="0"/>
              <w:bottom w:val="single" w:color="000000" w:sz="8" w:space="0"/>
              <w:right w:val="single" w:color="000000" w:sz="8" w:space="0"/>
            </w:tcBorders>
            <w:shd w:val="clear" w:color="auto" w:fill="E6EFFA"/>
            <w:vAlign w:val="center"/>
          </w:tcPr>
          <w:p w14:paraId="4B459C97">
            <w:pPr>
              <w:jc w:val="center"/>
              <w:rPr>
                <w:rFonts w:hint="eastAsia" w:ascii="宋体" w:hAnsi="宋体" w:eastAsia="宋体" w:cs="宋体"/>
                <w:sz w:val="22"/>
                <w:szCs w:val="22"/>
              </w:rPr>
            </w:pPr>
            <w:r>
              <w:rPr>
                <w:rFonts w:hint="eastAsia" w:ascii="宋体" w:hAnsi="宋体" w:eastAsia="宋体" w:cs="宋体"/>
                <w:sz w:val="22"/>
                <w:szCs w:val="22"/>
              </w:rPr>
              <w:t>序号</w:t>
            </w:r>
          </w:p>
        </w:tc>
        <w:tc>
          <w:tcPr>
            <w:tcW w:w="7775" w:type="dxa"/>
            <w:tcBorders>
              <w:top w:val="single" w:color="000000" w:sz="8" w:space="0"/>
              <w:left w:val="single" w:color="000000" w:sz="8" w:space="0"/>
              <w:bottom w:val="single" w:color="000000" w:sz="8" w:space="0"/>
              <w:right w:val="single" w:color="000000" w:sz="8" w:space="0"/>
            </w:tcBorders>
            <w:shd w:val="clear" w:color="auto" w:fill="E6EFFA"/>
            <w:vAlign w:val="center"/>
          </w:tcPr>
          <w:p w14:paraId="0E28DB67">
            <w:pPr>
              <w:jc w:val="center"/>
              <w:rPr>
                <w:rFonts w:hint="eastAsia" w:ascii="宋体" w:hAnsi="宋体" w:eastAsia="宋体" w:cs="宋体"/>
                <w:sz w:val="22"/>
                <w:szCs w:val="22"/>
              </w:rPr>
            </w:pPr>
            <w:r>
              <w:rPr>
                <w:rFonts w:hint="eastAsia" w:ascii="宋体" w:hAnsi="宋体" w:eastAsia="宋体" w:cs="宋体"/>
                <w:sz w:val="22"/>
                <w:szCs w:val="22"/>
              </w:rPr>
              <w:t>内容</w:t>
            </w:r>
          </w:p>
        </w:tc>
      </w:tr>
      <w:tr w14:paraId="7AC6F64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45" w:type="dxa"/>
            <w:tcBorders>
              <w:top w:val="single" w:color="000000" w:sz="8" w:space="0"/>
              <w:left w:val="single" w:color="000000" w:sz="8" w:space="0"/>
              <w:bottom w:val="single" w:color="000000" w:sz="8" w:space="0"/>
              <w:right w:val="single" w:color="000000" w:sz="8" w:space="0"/>
            </w:tcBorders>
            <w:vAlign w:val="center"/>
          </w:tcPr>
          <w:p w14:paraId="3FA888BB">
            <w:pPr>
              <w:jc w:val="center"/>
              <w:rPr>
                <w:rFonts w:hint="eastAsia" w:ascii="宋体" w:hAnsi="宋体" w:eastAsia="宋体" w:cs="宋体"/>
                <w:sz w:val="22"/>
                <w:szCs w:val="22"/>
              </w:rPr>
            </w:pPr>
            <w:r>
              <w:rPr>
                <w:rFonts w:hint="eastAsia" w:ascii="宋体" w:hAnsi="宋体" w:eastAsia="宋体" w:cs="宋体"/>
                <w:sz w:val="22"/>
                <w:szCs w:val="22"/>
              </w:rPr>
              <w:t>1</w:t>
            </w:r>
          </w:p>
        </w:tc>
        <w:tc>
          <w:tcPr>
            <w:tcW w:w="7775" w:type="dxa"/>
            <w:tcBorders>
              <w:top w:val="single" w:color="000000" w:sz="8" w:space="0"/>
              <w:left w:val="single" w:color="000000" w:sz="8" w:space="0"/>
              <w:bottom w:val="single" w:color="000000" w:sz="8" w:space="0"/>
              <w:right w:val="single" w:color="000000" w:sz="8" w:space="0"/>
            </w:tcBorders>
            <w:vAlign w:val="center"/>
          </w:tcPr>
          <w:p w14:paraId="6AC8349B">
            <w:pPr>
              <w:jc w:val="both"/>
              <w:rPr>
                <w:rFonts w:hint="eastAsia" w:ascii="宋体" w:hAnsi="宋体" w:eastAsia="宋体" w:cs="宋体"/>
                <w:sz w:val="22"/>
                <w:szCs w:val="22"/>
              </w:rPr>
            </w:pPr>
            <w:r>
              <w:rPr>
                <w:rFonts w:hint="eastAsia" w:ascii="宋体" w:hAnsi="宋体" w:eastAsia="宋体" w:cs="宋体"/>
                <w:sz w:val="22"/>
                <w:szCs w:val="22"/>
              </w:rPr>
              <w:t>投标人不具备招标文件所列的资格要求，或未提交相应的资格证明资料（详见招标公告投标人资格要求）。</w:t>
            </w:r>
          </w:p>
        </w:tc>
      </w:tr>
    </w:tbl>
    <w:p w14:paraId="4AD06D40">
      <w:pPr>
        <w:pStyle w:val="16"/>
        <w:spacing w:before="280" w:beforeAutospacing="0"/>
        <w:jc w:val="center"/>
        <w:outlineLvl w:val="1"/>
        <w:rPr>
          <w:rFonts w:ascii="黑体" w:hAnsi="黑体" w:eastAsia="黑体"/>
          <w:sz w:val="40"/>
          <w:szCs w:val="40"/>
        </w:rPr>
      </w:pPr>
      <w:r>
        <w:rPr>
          <w:rFonts w:hint="eastAsia" w:ascii="黑体" w:hAnsi="黑体" w:eastAsia="黑体"/>
          <w:sz w:val="40"/>
          <w:szCs w:val="40"/>
        </w:rPr>
        <w:t>符合性审查表</w:t>
      </w:r>
    </w:p>
    <w:tbl>
      <w:tblPr>
        <w:tblStyle w:val="20"/>
        <w:tblW w:w="851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0" w:type="dxa"/>
          <w:left w:w="108" w:type="dxa"/>
          <w:bottom w:w="20" w:type="dxa"/>
          <w:right w:w="108" w:type="dxa"/>
        </w:tblCellMar>
      </w:tblPr>
      <w:tblGrid>
        <w:gridCol w:w="743"/>
        <w:gridCol w:w="7774"/>
      </w:tblGrid>
      <w:tr w14:paraId="6D35043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43" w:type="dxa"/>
            <w:tcBorders>
              <w:top w:val="single" w:color="000000" w:sz="8" w:space="0"/>
              <w:left w:val="single" w:color="000000" w:sz="8" w:space="0"/>
              <w:bottom w:val="single" w:color="000000" w:sz="8" w:space="0"/>
              <w:right w:val="single" w:color="000000" w:sz="8" w:space="0"/>
            </w:tcBorders>
            <w:shd w:val="clear" w:color="auto" w:fill="E6EFFA"/>
            <w:vAlign w:val="center"/>
          </w:tcPr>
          <w:p w14:paraId="3B7A032E">
            <w:pPr>
              <w:jc w:val="center"/>
              <w:rPr>
                <w:rFonts w:hint="eastAsia" w:ascii="宋体" w:hAnsi="宋体" w:eastAsia="宋体" w:cs="宋体"/>
                <w:sz w:val="22"/>
                <w:szCs w:val="22"/>
              </w:rPr>
            </w:pPr>
            <w:r>
              <w:rPr>
                <w:rFonts w:hint="eastAsia" w:ascii="宋体" w:hAnsi="宋体" w:eastAsia="宋体" w:cs="宋体"/>
                <w:sz w:val="22"/>
                <w:szCs w:val="22"/>
              </w:rPr>
              <w:t>序号</w:t>
            </w:r>
          </w:p>
        </w:tc>
        <w:tc>
          <w:tcPr>
            <w:tcW w:w="7774" w:type="dxa"/>
            <w:tcBorders>
              <w:top w:val="single" w:color="000000" w:sz="8" w:space="0"/>
              <w:left w:val="single" w:color="000000" w:sz="8" w:space="0"/>
              <w:bottom w:val="single" w:color="000000" w:sz="8" w:space="0"/>
              <w:right w:val="single" w:color="000000" w:sz="8" w:space="0"/>
            </w:tcBorders>
            <w:shd w:val="clear" w:color="auto" w:fill="E6EFFA"/>
            <w:vAlign w:val="center"/>
          </w:tcPr>
          <w:p w14:paraId="62604FA5">
            <w:pPr>
              <w:jc w:val="center"/>
              <w:rPr>
                <w:rFonts w:hint="eastAsia" w:ascii="宋体" w:hAnsi="宋体" w:eastAsia="宋体" w:cs="宋体"/>
                <w:sz w:val="22"/>
                <w:szCs w:val="22"/>
              </w:rPr>
            </w:pPr>
            <w:r>
              <w:rPr>
                <w:rFonts w:hint="eastAsia" w:ascii="宋体" w:hAnsi="宋体" w:eastAsia="宋体" w:cs="宋体"/>
                <w:sz w:val="22"/>
                <w:szCs w:val="22"/>
              </w:rPr>
              <w:t>内容</w:t>
            </w:r>
          </w:p>
        </w:tc>
      </w:tr>
      <w:tr w14:paraId="666D9B7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43" w:type="dxa"/>
            <w:tcBorders>
              <w:top w:val="single" w:color="000000" w:sz="8" w:space="0"/>
              <w:left w:val="single" w:color="000000" w:sz="8" w:space="0"/>
              <w:bottom w:val="single" w:color="000000" w:sz="8" w:space="0"/>
              <w:right w:val="single" w:color="000000" w:sz="8" w:space="0"/>
            </w:tcBorders>
            <w:vAlign w:val="center"/>
          </w:tcPr>
          <w:p w14:paraId="73290099">
            <w:pPr>
              <w:numPr>
                <w:ilvl w:val="0"/>
                <w:numId w:val="0"/>
              </w:numPr>
              <w:ind w:left="425" w:leftChars="0" w:hanging="425" w:firstLineChars="0"/>
              <w:jc w:val="center"/>
              <w:rPr>
                <w:rFonts w:hint="eastAsia" w:ascii="宋体" w:hAnsi="宋体" w:eastAsia="宋体" w:cs="宋体"/>
                <w:sz w:val="22"/>
                <w:szCs w:val="22"/>
              </w:rPr>
            </w:pPr>
            <w:r>
              <w:rPr>
                <w:rFonts w:hint="default" w:ascii="宋体" w:hAnsi="宋体" w:eastAsia="宋体" w:cs="宋体"/>
                <w:sz w:val="22"/>
                <w:szCs w:val="22"/>
                <w:lang w:val="en-US" w:eastAsia="zh-CN" w:bidi="ar-SA"/>
              </w:rPr>
              <w:t>1</w:t>
            </w:r>
          </w:p>
        </w:tc>
        <w:tc>
          <w:tcPr>
            <w:tcW w:w="7774" w:type="dxa"/>
            <w:tcBorders>
              <w:top w:val="single" w:color="000000" w:sz="8" w:space="0"/>
              <w:left w:val="single" w:color="000000" w:sz="8" w:space="0"/>
              <w:bottom w:val="single" w:color="000000" w:sz="8" w:space="0"/>
              <w:right w:val="single" w:color="000000" w:sz="8" w:space="0"/>
            </w:tcBorders>
          </w:tcPr>
          <w:p w14:paraId="37B043D2">
            <w:pPr>
              <w:rPr>
                <w:rFonts w:hint="eastAsia" w:ascii="宋体" w:hAnsi="宋体" w:eastAsia="宋体" w:cs="宋体"/>
                <w:sz w:val="22"/>
                <w:szCs w:val="22"/>
              </w:rPr>
            </w:pPr>
            <w:r>
              <w:rPr>
                <w:rFonts w:hint="eastAsia" w:ascii="宋体" w:hAnsi="宋体" w:eastAsia="宋体" w:cs="宋体"/>
                <w:sz w:val="22"/>
                <w:szCs w:val="22"/>
              </w:rPr>
              <w:t>将一个包或一个标段的内容拆开投标；</w:t>
            </w:r>
          </w:p>
        </w:tc>
      </w:tr>
      <w:tr w14:paraId="6D81514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43" w:type="dxa"/>
            <w:tcBorders>
              <w:top w:val="single" w:color="000000" w:sz="8" w:space="0"/>
              <w:left w:val="single" w:color="000000" w:sz="8" w:space="0"/>
              <w:bottom w:val="single" w:color="000000" w:sz="8" w:space="0"/>
              <w:right w:val="single" w:color="000000" w:sz="8" w:space="0"/>
            </w:tcBorders>
            <w:vAlign w:val="center"/>
          </w:tcPr>
          <w:p w14:paraId="18344F10">
            <w:pPr>
              <w:numPr>
                <w:ilvl w:val="0"/>
                <w:numId w:val="0"/>
              </w:numPr>
              <w:ind w:left="425" w:leftChars="0" w:hanging="425" w:firstLineChars="0"/>
              <w:jc w:val="center"/>
              <w:rPr>
                <w:rFonts w:hint="eastAsia" w:ascii="宋体" w:hAnsi="宋体" w:eastAsia="宋体" w:cs="宋体"/>
                <w:sz w:val="22"/>
                <w:szCs w:val="22"/>
              </w:rPr>
            </w:pPr>
            <w:r>
              <w:rPr>
                <w:rFonts w:hint="default" w:ascii="宋体" w:hAnsi="宋体" w:eastAsia="宋体" w:cs="宋体"/>
                <w:sz w:val="22"/>
                <w:szCs w:val="22"/>
                <w:lang w:val="en-US" w:eastAsia="zh-CN" w:bidi="ar-SA"/>
              </w:rPr>
              <w:t>2</w:t>
            </w:r>
          </w:p>
        </w:tc>
        <w:tc>
          <w:tcPr>
            <w:tcW w:w="7774" w:type="dxa"/>
            <w:tcBorders>
              <w:top w:val="single" w:color="000000" w:sz="8" w:space="0"/>
              <w:left w:val="single" w:color="000000" w:sz="8" w:space="0"/>
              <w:bottom w:val="single" w:color="000000" w:sz="8" w:space="0"/>
              <w:right w:val="single" w:color="000000" w:sz="8" w:space="0"/>
            </w:tcBorders>
          </w:tcPr>
          <w:p w14:paraId="4B159713">
            <w:pPr>
              <w:rPr>
                <w:rFonts w:hint="eastAsia" w:ascii="宋体" w:hAnsi="宋体" w:eastAsia="宋体" w:cs="宋体"/>
                <w:sz w:val="22"/>
                <w:szCs w:val="22"/>
              </w:rPr>
            </w:pPr>
            <w:r>
              <w:rPr>
                <w:rFonts w:hint="eastAsia" w:ascii="宋体" w:hAnsi="宋体" w:eastAsia="宋体" w:cs="宋体"/>
                <w:sz w:val="22"/>
                <w:szCs w:val="22"/>
              </w:rPr>
              <w:t>对同一项目投标时，提供两套以上的投标方案（招标文件另有规定的除外）；</w:t>
            </w:r>
          </w:p>
        </w:tc>
      </w:tr>
      <w:tr w14:paraId="22673D5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43" w:type="dxa"/>
            <w:tcBorders>
              <w:top w:val="single" w:color="000000" w:sz="8" w:space="0"/>
              <w:left w:val="single" w:color="000000" w:sz="8" w:space="0"/>
              <w:bottom w:val="single" w:color="000000" w:sz="8" w:space="0"/>
              <w:right w:val="single" w:color="000000" w:sz="8" w:space="0"/>
            </w:tcBorders>
            <w:vAlign w:val="center"/>
          </w:tcPr>
          <w:p w14:paraId="1C6A3659">
            <w:pPr>
              <w:numPr>
                <w:ilvl w:val="0"/>
                <w:numId w:val="0"/>
              </w:numPr>
              <w:ind w:left="425" w:leftChars="0" w:hanging="425" w:firstLineChars="0"/>
              <w:jc w:val="center"/>
              <w:rPr>
                <w:rFonts w:hint="eastAsia" w:ascii="宋体" w:hAnsi="宋体" w:eastAsia="宋体" w:cs="宋体"/>
                <w:sz w:val="22"/>
                <w:szCs w:val="22"/>
              </w:rPr>
            </w:pPr>
            <w:r>
              <w:rPr>
                <w:rFonts w:hint="default" w:ascii="宋体" w:hAnsi="宋体" w:eastAsia="宋体" w:cs="宋体"/>
                <w:sz w:val="22"/>
                <w:szCs w:val="22"/>
                <w:lang w:val="en-US" w:eastAsia="zh-CN" w:bidi="ar-SA"/>
              </w:rPr>
              <w:t>3</w:t>
            </w:r>
          </w:p>
        </w:tc>
        <w:tc>
          <w:tcPr>
            <w:tcW w:w="7774" w:type="dxa"/>
            <w:tcBorders>
              <w:top w:val="single" w:color="000000" w:sz="8" w:space="0"/>
              <w:left w:val="single" w:color="000000" w:sz="8" w:space="0"/>
              <w:bottom w:val="single" w:color="000000" w:sz="8" w:space="0"/>
              <w:right w:val="single" w:color="000000" w:sz="8" w:space="0"/>
            </w:tcBorders>
          </w:tcPr>
          <w:p w14:paraId="24DB865A">
            <w:pPr>
              <w:rPr>
                <w:rFonts w:hint="eastAsia" w:ascii="宋体" w:hAnsi="宋体" w:eastAsia="宋体" w:cs="宋体"/>
                <w:sz w:val="22"/>
                <w:szCs w:val="22"/>
              </w:rPr>
            </w:pPr>
            <w:r>
              <w:rPr>
                <w:rFonts w:hint="eastAsia" w:ascii="宋体" w:hAnsi="宋体" w:eastAsia="宋体" w:cs="宋体"/>
                <w:sz w:val="22"/>
                <w:szCs w:val="22"/>
              </w:rPr>
              <w:t>分项报价或投标总价高于预算金额（最高投标限价）的；</w:t>
            </w:r>
          </w:p>
        </w:tc>
      </w:tr>
      <w:tr w14:paraId="70F35EE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43" w:type="dxa"/>
            <w:tcBorders>
              <w:top w:val="single" w:color="000000" w:sz="8" w:space="0"/>
              <w:left w:val="single" w:color="000000" w:sz="8" w:space="0"/>
              <w:bottom w:val="single" w:color="000000" w:sz="8" w:space="0"/>
              <w:right w:val="single" w:color="000000" w:sz="8" w:space="0"/>
            </w:tcBorders>
            <w:vAlign w:val="center"/>
          </w:tcPr>
          <w:p w14:paraId="03DAE1FD">
            <w:pPr>
              <w:numPr>
                <w:ilvl w:val="0"/>
                <w:numId w:val="0"/>
              </w:numPr>
              <w:ind w:left="425" w:leftChars="0" w:hanging="425" w:firstLineChars="0"/>
              <w:jc w:val="center"/>
              <w:rPr>
                <w:rFonts w:hint="eastAsia" w:ascii="宋体" w:hAnsi="宋体" w:eastAsia="宋体" w:cs="宋体"/>
                <w:sz w:val="22"/>
                <w:szCs w:val="22"/>
              </w:rPr>
            </w:pPr>
            <w:r>
              <w:rPr>
                <w:rFonts w:hint="default" w:ascii="宋体" w:hAnsi="宋体" w:eastAsia="宋体" w:cs="宋体"/>
                <w:sz w:val="22"/>
                <w:szCs w:val="22"/>
                <w:lang w:val="en-US" w:eastAsia="zh-CN" w:bidi="ar-SA"/>
              </w:rPr>
              <w:t>4</w:t>
            </w:r>
          </w:p>
        </w:tc>
        <w:tc>
          <w:tcPr>
            <w:tcW w:w="7774" w:type="dxa"/>
            <w:tcBorders>
              <w:top w:val="single" w:color="000000" w:sz="8" w:space="0"/>
              <w:left w:val="single" w:color="000000" w:sz="8" w:space="0"/>
              <w:bottom w:val="single" w:color="000000" w:sz="8" w:space="0"/>
              <w:right w:val="single" w:color="000000" w:sz="8" w:space="0"/>
            </w:tcBorders>
          </w:tcPr>
          <w:p w14:paraId="02B99A3D">
            <w:pPr>
              <w:rPr>
                <w:rFonts w:hint="eastAsia" w:ascii="宋体" w:hAnsi="宋体" w:eastAsia="宋体" w:cs="宋体"/>
                <w:sz w:val="22"/>
                <w:szCs w:val="22"/>
              </w:rPr>
            </w:pPr>
            <w:r>
              <w:rPr>
                <w:rFonts w:hint="eastAsia" w:ascii="宋体" w:hAnsi="宋体" w:eastAsia="宋体" w:cs="宋体"/>
                <w:sz w:val="22"/>
                <w:szCs w:val="22"/>
              </w:rPr>
              <w:t>评审委员会认为投标人的报价明显低于其他通过符合性审查投标人的报价，有可能影响产品质量或者不能诚信履约的，投标人不能在合理的时间内提供书面说明，或无法提交相关证明材料，投标人不能证明其报价合理性的（若评审委员会成员对是否须由投标人作出报价合理性说明，以及书面说明是否采纳等判断不一致的，按照“少数服从多数”的原则确定评审委员会的意见）；</w:t>
            </w:r>
          </w:p>
        </w:tc>
      </w:tr>
      <w:tr w14:paraId="61EC1DF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43" w:type="dxa"/>
            <w:tcBorders>
              <w:top w:val="single" w:color="000000" w:sz="8" w:space="0"/>
              <w:left w:val="single" w:color="000000" w:sz="8" w:space="0"/>
              <w:bottom w:val="single" w:color="000000" w:sz="8" w:space="0"/>
              <w:right w:val="single" w:color="000000" w:sz="8" w:space="0"/>
            </w:tcBorders>
            <w:vAlign w:val="center"/>
          </w:tcPr>
          <w:p w14:paraId="08741151">
            <w:pPr>
              <w:numPr>
                <w:ilvl w:val="0"/>
                <w:numId w:val="0"/>
              </w:numPr>
              <w:ind w:left="425" w:leftChars="0" w:hanging="425" w:firstLineChars="0"/>
              <w:jc w:val="center"/>
              <w:rPr>
                <w:rFonts w:hint="eastAsia" w:ascii="宋体" w:hAnsi="宋体" w:eastAsia="宋体" w:cs="宋体"/>
                <w:sz w:val="22"/>
                <w:szCs w:val="22"/>
              </w:rPr>
            </w:pPr>
            <w:r>
              <w:rPr>
                <w:rFonts w:hint="default" w:ascii="宋体" w:hAnsi="宋体" w:eastAsia="宋体" w:cs="宋体"/>
                <w:sz w:val="22"/>
                <w:szCs w:val="22"/>
                <w:lang w:val="en-US" w:eastAsia="zh-CN" w:bidi="ar-SA"/>
              </w:rPr>
              <w:t>5</w:t>
            </w:r>
          </w:p>
        </w:tc>
        <w:tc>
          <w:tcPr>
            <w:tcW w:w="7774" w:type="dxa"/>
            <w:tcBorders>
              <w:top w:val="single" w:color="000000" w:sz="8" w:space="0"/>
              <w:left w:val="single" w:color="000000" w:sz="8" w:space="0"/>
              <w:bottom w:val="single" w:color="000000" w:sz="8" w:space="0"/>
              <w:right w:val="single" w:color="000000" w:sz="8" w:space="0"/>
            </w:tcBorders>
          </w:tcPr>
          <w:p w14:paraId="082B84A9">
            <w:pPr>
              <w:rPr>
                <w:rFonts w:hint="eastAsia" w:ascii="宋体" w:hAnsi="宋体" w:eastAsia="宋体" w:cs="宋体"/>
                <w:sz w:val="22"/>
                <w:szCs w:val="22"/>
              </w:rPr>
            </w:pPr>
            <w:r>
              <w:rPr>
                <w:rFonts w:hint="eastAsia" w:ascii="宋体" w:hAnsi="宋体" w:eastAsia="宋体" w:cs="宋体"/>
                <w:sz w:val="22"/>
                <w:szCs w:val="22"/>
              </w:rPr>
              <w:t>所投产品、工程、服务在商务、技术等方面没有实质性满足招标文件要求的（是否实质性满足招标文件要求，由评标委员会根据《实质性条款响应情况表》做出评判）；</w:t>
            </w:r>
          </w:p>
        </w:tc>
      </w:tr>
      <w:tr w14:paraId="477F332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43" w:type="dxa"/>
            <w:tcBorders>
              <w:top w:val="single" w:color="000000" w:sz="8" w:space="0"/>
              <w:left w:val="single" w:color="000000" w:sz="8" w:space="0"/>
              <w:bottom w:val="single" w:color="000000" w:sz="8" w:space="0"/>
              <w:right w:val="single" w:color="000000" w:sz="8" w:space="0"/>
            </w:tcBorders>
            <w:vAlign w:val="center"/>
          </w:tcPr>
          <w:p w14:paraId="77A3C7B7">
            <w:pPr>
              <w:numPr>
                <w:ilvl w:val="0"/>
                <w:numId w:val="0"/>
              </w:numPr>
              <w:ind w:left="425" w:leftChars="0" w:hanging="425" w:firstLineChars="0"/>
              <w:jc w:val="center"/>
              <w:rPr>
                <w:rFonts w:hint="eastAsia" w:ascii="宋体" w:hAnsi="宋体" w:eastAsia="宋体" w:cs="宋体"/>
                <w:sz w:val="22"/>
                <w:szCs w:val="22"/>
              </w:rPr>
            </w:pPr>
            <w:r>
              <w:rPr>
                <w:rFonts w:hint="default" w:ascii="宋体" w:hAnsi="宋体" w:eastAsia="宋体" w:cs="宋体"/>
                <w:sz w:val="22"/>
                <w:szCs w:val="22"/>
                <w:lang w:val="en-US" w:eastAsia="zh-CN" w:bidi="ar-SA"/>
              </w:rPr>
              <w:t>6</w:t>
            </w:r>
          </w:p>
        </w:tc>
        <w:tc>
          <w:tcPr>
            <w:tcW w:w="7774" w:type="dxa"/>
            <w:tcBorders>
              <w:top w:val="single" w:color="000000" w:sz="8" w:space="0"/>
              <w:left w:val="single" w:color="000000" w:sz="8" w:space="0"/>
              <w:bottom w:val="single" w:color="000000" w:sz="8" w:space="0"/>
              <w:right w:val="single" w:color="000000" w:sz="8" w:space="0"/>
            </w:tcBorders>
          </w:tcPr>
          <w:p w14:paraId="7A98237B">
            <w:pPr>
              <w:rPr>
                <w:rFonts w:hint="eastAsia" w:ascii="宋体" w:hAnsi="宋体" w:eastAsia="宋体" w:cs="宋体"/>
                <w:sz w:val="22"/>
                <w:szCs w:val="22"/>
              </w:rPr>
            </w:pPr>
            <w:r>
              <w:rPr>
                <w:rFonts w:hint="eastAsia" w:ascii="宋体" w:hAnsi="宋体" w:eastAsia="宋体" w:cs="宋体"/>
                <w:sz w:val="22"/>
                <w:szCs w:val="22"/>
              </w:rPr>
              <w:t>未按招标文件所提供的样式填写《投标函》；未按招标文件所提供的《政府采购投标及履约承诺函》进行承诺；未按招标文件对投标文件组成的要求提供投标文件的（投标文件组成不完整）；</w:t>
            </w:r>
          </w:p>
        </w:tc>
      </w:tr>
      <w:tr w14:paraId="43433F0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43" w:type="dxa"/>
            <w:tcBorders>
              <w:top w:val="single" w:color="000000" w:sz="8" w:space="0"/>
              <w:left w:val="single" w:color="000000" w:sz="8" w:space="0"/>
              <w:bottom w:val="single" w:color="000000" w:sz="8" w:space="0"/>
              <w:right w:val="single" w:color="000000" w:sz="8" w:space="0"/>
            </w:tcBorders>
            <w:vAlign w:val="center"/>
          </w:tcPr>
          <w:p w14:paraId="083F54AD">
            <w:pPr>
              <w:numPr>
                <w:ilvl w:val="0"/>
                <w:numId w:val="0"/>
              </w:numPr>
              <w:ind w:left="425" w:leftChars="0" w:hanging="425" w:firstLineChars="0"/>
              <w:jc w:val="center"/>
              <w:rPr>
                <w:rFonts w:hint="eastAsia" w:ascii="宋体" w:hAnsi="宋体" w:eastAsia="宋体" w:cs="宋体"/>
                <w:sz w:val="22"/>
                <w:szCs w:val="22"/>
              </w:rPr>
            </w:pPr>
            <w:r>
              <w:rPr>
                <w:rFonts w:hint="default" w:ascii="宋体" w:hAnsi="宋体" w:eastAsia="宋体" w:cs="宋体"/>
                <w:sz w:val="22"/>
                <w:szCs w:val="22"/>
                <w:lang w:val="en-US" w:eastAsia="zh-CN" w:bidi="ar-SA"/>
              </w:rPr>
              <w:t>7</w:t>
            </w:r>
          </w:p>
        </w:tc>
        <w:tc>
          <w:tcPr>
            <w:tcW w:w="7774" w:type="dxa"/>
            <w:tcBorders>
              <w:top w:val="single" w:color="000000" w:sz="8" w:space="0"/>
              <w:left w:val="single" w:color="000000" w:sz="8" w:space="0"/>
              <w:bottom w:val="single" w:color="000000" w:sz="8" w:space="0"/>
              <w:right w:val="single" w:color="000000" w:sz="8" w:space="0"/>
            </w:tcBorders>
          </w:tcPr>
          <w:p w14:paraId="4362FB94">
            <w:pPr>
              <w:rPr>
                <w:rFonts w:hint="eastAsia" w:ascii="宋体" w:hAnsi="宋体" w:eastAsia="宋体" w:cs="宋体"/>
                <w:sz w:val="22"/>
                <w:szCs w:val="22"/>
              </w:rPr>
            </w:pPr>
            <w:r>
              <w:rPr>
                <w:rFonts w:hint="eastAsia" w:ascii="宋体" w:hAnsi="宋体" w:eastAsia="宋体" w:cs="宋体"/>
                <w:sz w:val="22"/>
                <w:szCs w:val="22"/>
              </w:rPr>
              <w:t>投标报价有缺漏项目或对招标文件规定的服务清单项目及数量进行修改；</w:t>
            </w:r>
          </w:p>
        </w:tc>
      </w:tr>
      <w:tr w14:paraId="34ADCD5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43" w:type="dxa"/>
            <w:tcBorders>
              <w:top w:val="single" w:color="000000" w:sz="8" w:space="0"/>
              <w:left w:val="single" w:color="000000" w:sz="8" w:space="0"/>
              <w:bottom w:val="single" w:color="000000" w:sz="8" w:space="0"/>
              <w:right w:val="single" w:color="000000" w:sz="8" w:space="0"/>
            </w:tcBorders>
            <w:vAlign w:val="center"/>
          </w:tcPr>
          <w:p w14:paraId="0B7A65E9">
            <w:pPr>
              <w:numPr>
                <w:ilvl w:val="0"/>
                <w:numId w:val="0"/>
              </w:numPr>
              <w:ind w:left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8</w:t>
            </w:r>
          </w:p>
        </w:tc>
        <w:tc>
          <w:tcPr>
            <w:tcW w:w="7774" w:type="dxa"/>
            <w:tcBorders>
              <w:top w:val="single" w:color="000000" w:sz="8" w:space="0"/>
              <w:left w:val="single" w:color="000000" w:sz="8" w:space="0"/>
              <w:bottom w:val="single" w:color="000000" w:sz="8" w:space="0"/>
              <w:right w:val="single" w:color="000000" w:sz="8" w:space="0"/>
            </w:tcBorders>
          </w:tcPr>
          <w:p w14:paraId="5B644455">
            <w:pPr>
              <w:rPr>
                <w:rFonts w:hint="eastAsia" w:ascii="宋体" w:hAnsi="宋体" w:eastAsia="宋体" w:cs="宋体"/>
                <w:sz w:val="22"/>
                <w:szCs w:val="22"/>
              </w:rPr>
            </w:pPr>
            <w:r>
              <w:rPr>
                <w:rFonts w:hint="eastAsia" w:ascii="宋体" w:hAnsi="宋体" w:eastAsia="宋体" w:cs="宋体"/>
                <w:sz w:val="22"/>
                <w:szCs w:val="22"/>
              </w:rPr>
              <w:t>投标文件存在列放位置错误，导致属于信息公开情形的没有被公开；</w:t>
            </w:r>
          </w:p>
        </w:tc>
      </w:tr>
      <w:tr w14:paraId="168E1D1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43" w:type="dxa"/>
            <w:tcBorders>
              <w:top w:val="single" w:color="000000" w:sz="8" w:space="0"/>
              <w:left w:val="single" w:color="000000" w:sz="8" w:space="0"/>
              <w:bottom w:val="single" w:color="000000" w:sz="8" w:space="0"/>
              <w:right w:val="single" w:color="000000" w:sz="8" w:space="0"/>
            </w:tcBorders>
            <w:vAlign w:val="center"/>
          </w:tcPr>
          <w:p w14:paraId="54596474">
            <w:pPr>
              <w:jc w:val="center"/>
              <w:rPr>
                <w:rFonts w:hint="eastAsia" w:ascii="宋体" w:hAnsi="宋体" w:eastAsia="宋体" w:cs="宋体"/>
                <w:sz w:val="22"/>
                <w:szCs w:val="22"/>
              </w:rPr>
            </w:pPr>
            <w:r>
              <w:rPr>
                <w:rFonts w:hint="eastAsia" w:ascii="宋体" w:hAnsi="宋体" w:eastAsia="宋体" w:cs="宋体"/>
                <w:sz w:val="22"/>
                <w:szCs w:val="22"/>
              </w:rPr>
              <w:t>9</w:t>
            </w:r>
          </w:p>
        </w:tc>
        <w:tc>
          <w:tcPr>
            <w:tcW w:w="7774" w:type="dxa"/>
            <w:tcBorders>
              <w:top w:val="single" w:color="000000" w:sz="8" w:space="0"/>
              <w:left w:val="single" w:color="000000" w:sz="8" w:space="0"/>
              <w:bottom w:val="single" w:color="000000" w:sz="8" w:space="0"/>
              <w:right w:val="single" w:color="000000" w:sz="8" w:space="0"/>
            </w:tcBorders>
          </w:tcPr>
          <w:p w14:paraId="0113816A">
            <w:pPr>
              <w:rPr>
                <w:rFonts w:hint="eastAsia" w:ascii="宋体" w:hAnsi="宋体" w:eastAsia="宋体" w:cs="宋体"/>
                <w:sz w:val="22"/>
                <w:szCs w:val="22"/>
              </w:rPr>
            </w:pPr>
            <w:r>
              <w:rPr>
                <w:rFonts w:hint="eastAsia" w:ascii="宋体" w:hAnsi="宋体" w:eastAsia="宋体" w:cs="宋体"/>
                <w:sz w:val="22"/>
                <w:szCs w:val="22"/>
              </w:rPr>
              <w:t>投标文件电子文档带病毒；</w:t>
            </w:r>
          </w:p>
        </w:tc>
      </w:tr>
      <w:tr w14:paraId="3415204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43" w:type="dxa"/>
            <w:tcBorders>
              <w:top w:val="single" w:color="000000" w:sz="8" w:space="0"/>
              <w:left w:val="single" w:color="000000" w:sz="8" w:space="0"/>
              <w:bottom w:val="single" w:color="000000" w:sz="8" w:space="0"/>
              <w:right w:val="single" w:color="000000" w:sz="8" w:space="0"/>
            </w:tcBorders>
            <w:vAlign w:val="center"/>
          </w:tcPr>
          <w:p w14:paraId="02F745F1">
            <w:pPr>
              <w:jc w:val="center"/>
              <w:rPr>
                <w:rFonts w:hint="eastAsia" w:ascii="宋体" w:hAnsi="宋体" w:eastAsia="宋体" w:cs="宋体"/>
                <w:sz w:val="22"/>
                <w:szCs w:val="22"/>
              </w:rPr>
            </w:pPr>
            <w:r>
              <w:rPr>
                <w:rFonts w:hint="eastAsia" w:ascii="宋体" w:hAnsi="宋体" w:eastAsia="宋体" w:cs="宋体"/>
                <w:sz w:val="22"/>
                <w:szCs w:val="22"/>
              </w:rPr>
              <w:t>10</w:t>
            </w:r>
          </w:p>
        </w:tc>
        <w:tc>
          <w:tcPr>
            <w:tcW w:w="7774" w:type="dxa"/>
            <w:tcBorders>
              <w:top w:val="single" w:color="000000" w:sz="8" w:space="0"/>
              <w:left w:val="single" w:color="000000" w:sz="8" w:space="0"/>
              <w:bottom w:val="single" w:color="000000" w:sz="8" w:space="0"/>
              <w:right w:val="single" w:color="000000" w:sz="8" w:space="0"/>
            </w:tcBorders>
          </w:tcPr>
          <w:p w14:paraId="79A88690">
            <w:pPr>
              <w:rPr>
                <w:rFonts w:hint="eastAsia" w:ascii="宋体" w:hAnsi="宋体" w:eastAsia="宋体" w:cs="宋体"/>
                <w:sz w:val="22"/>
                <w:szCs w:val="22"/>
              </w:rPr>
            </w:pPr>
            <w:r>
              <w:rPr>
                <w:rFonts w:hint="eastAsia" w:ascii="宋体" w:hAnsi="宋体" w:eastAsia="宋体" w:cs="宋体"/>
                <w:sz w:val="22"/>
                <w:szCs w:val="22"/>
              </w:rPr>
              <w:t>投标文件用不属于本公司的电子密钥或电子营业执照进行加密的；</w:t>
            </w:r>
          </w:p>
        </w:tc>
      </w:tr>
      <w:tr w14:paraId="6CE8877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43" w:type="dxa"/>
            <w:tcBorders>
              <w:top w:val="single" w:color="000000" w:sz="8" w:space="0"/>
              <w:left w:val="single" w:color="000000" w:sz="8" w:space="0"/>
              <w:bottom w:val="single" w:color="000000" w:sz="8" w:space="0"/>
              <w:right w:val="single" w:color="000000" w:sz="8" w:space="0"/>
            </w:tcBorders>
            <w:vAlign w:val="center"/>
          </w:tcPr>
          <w:p w14:paraId="38645360">
            <w:pPr>
              <w:jc w:val="center"/>
              <w:rPr>
                <w:rFonts w:hint="eastAsia" w:ascii="宋体" w:hAnsi="宋体" w:eastAsia="宋体" w:cs="宋体"/>
                <w:sz w:val="22"/>
                <w:szCs w:val="22"/>
              </w:rPr>
            </w:pPr>
            <w:r>
              <w:rPr>
                <w:rFonts w:hint="eastAsia" w:ascii="宋体" w:hAnsi="宋体" w:eastAsia="宋体" w:cs="宋体"/>
                <w:sz w:val="22"/>
                <w:szCs w:val="22"/>
              </w:rPr>
              <w:t>11</w:t>
            </w:r>
          </w:p>
        </w:tc>
        <w:tc>
          <w:tcPr>
            <w:tcW w:w="7774" w:type="dxa"/>
            <w:tcBorders>
              <w:top w:val="single" w:color="000000" w:sz="8" w:space="0"/>
              <w:left w:val="single" w:color="000000" w:sz="8" w:space="0"/>
              <w:bottom w:val="single" w:color="000000" w:sz="8" w:space="0"/>
              <w:right w:val="single" w:color="000000" w:sz="8" w:space="0"/>
            </w:tcBorders>
          </w:tcPr>
          <w:p w14:paraId="42E53280">
            <w:pPr>
              <w:rPr>
                <w:rFonts w:hint="eastAsia" w:ascii="宋体" w:hAnsi="宋体" w:eastAsia="宋体" w:cs="宋体"/>
                <w:sz w:val="22"/>
                <w:szCs w:val="22"/>
              </w:rPr>
            </w:pPr>
            <w:r>
              <w:rPr>
                <w:rFonts w:hint="eastAsia" w:ascii="宋体" w:hAnsi="宋体" w:eastAsia="宋体" w:cs="宋体"/>
                <w:sz w:val="22"/>
                <w:szCs w:val="22"/>
              </w:rPr>
              <w:t xml:space="preserve">出现以下情形之一的供应商作投标无效处理，并依法上报监管机关。 </w:t>
            </w:r>
          </w:p>
          <w:p w14:paraId="115279BE">
            <w:pPr>
              <w:rPr>
                <w:rFonts w:hint="eastAsia" w:ascii="宋体" w:hAnsi="宋体" w:eastAsia="宋体" w:cs="宋体"/>
                <w:sz w:val="22"/>
                <w:szCs w:val="22"/>
              </w:rPr>
            </w:pPr>
            <w:r>
              <w:rPr>
                <w:rFonts w:hint="eastAsia" w:ascii="宋体" w:hAnsi="宋体" w:eastAsia="宋体" w:cs="宋体"/>
                <w:sz w:val="22"/>
                <w:szCs w:val="22"/>
              </w:rPr>
              <w:t xml:space="preserve">（1）不同投标供应商投标文件“文件制作机器码”和“IP 地址”一致的； </w:t>
            </w:r>
          </w:p>
          <w:p w14:paraId="34397C9C">
            <w:pPr>
              <w:rPr>
                <w:rFonts w:hint="eastAsia" w:ascii="宋体" w:hAnsi="宋体" w:eastAsia="宋体" w:cs="宋体"/>
                <w:sz w:val="22"/>
                <w:szCs w:val="22"/>
              </w:rPr>
            </w:pPr>
            <w:r>
              <w:rPr>
                <w:rFonts w:hint="eastAsia" w:ascii="宋体" w:hAnsi="宋体" w:eastAsia="宋体" w:cs="宋体"/>
                <w:sz w:val="22"/>
                <w:szCs w:val="22"/>
              </w:rPr>
              <w:t xml:space="preserve">（2）不同投标供应商投标文件“文件创建标识码”和“IP 地址”一致的； </w:t>
            </w:r>
          </w:p>
          <w:p w14:paraId="3D229BD3">
            <w:pPr>
              <w:rPr>
                <w:rFonts w:hint="eastAsia" w:ascii="宋体" w:hAnsi="宋体" w:eastAsia="宋体" w:cs="宋体"/>
                <w:sz w:val="22"/>
                <w:szCs w:val="22"/>
              </w:rPr>
            </w:pPr>
            <w:r>
              <w:rPr>
                <w:rFonts w:hint="eastAsia" w:ascii="宋体" w:hAnsi="宋体" w:eastAsia="宋体" w:cs="宋体"/>
                <w:sz w:val="22"/>
                <w:szCs w:val="22"/>
              </w:rPr>
              <w:t xml:space="preserve">（3）不同投标供应商投标文件“文件制作机器码”一致的； </w:t>
            </w:r>
          </w:p>
          <w:p w14:paraId="1E844B26">
            <w:pPr>
              <w:rPr>
                <w:rFonts w:hint="eastAsia" w:ascii="宋体" w:hAnsi="宋体" w:eastAsia="宋体" w:cs="宋体"/>
                <w:sz w:val="22"/>
                <w:szCs w:val="22"/>
              </w:rPr>
            </w:pPr>
            <w:r>
              <w:rPr>
                <w:rFonts w:hint="eastAsia" w:ascii="宋体" w:hAnsi="宋体" w:eastAsia="宋体" w:cs="宋体"/>
                <w:sz w:val="22"/>
                <w:szCs w:val="22"/>
              </w:rPr>
              <w:t>（4）不同投标供应商投标文件“文件创建标识码”一致的。</w:t>
            </w:r>
          </w:p>
        </w:tc>
      </w:tr>
      <w:tr w14:paraId="15B395C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43" w:type="dxa"/>
            <w:tcBorders>
              <w:top w:val="single" w:color="000000" w:sz="8" w:space="0"/>
              <w:left w:val="single" w:color="000000" w:sz="8" w:space="0"/>
              <w:bottom w:val="single" w:color="000000" w:sz="8" w:space="0"/>
              <w:right w:val="single" w:color="000000" w:sz="8" w:space="0"/>
            </w:tcBorders>
            <w:vAlign w:val="center"/>
          </w:tcPr>
          <w:p w14:paraId="032592F4">
            <w:pPr>
              <w:jc w:val="center"/>
              <w:rPr>
                <w:rFonts w:hint="eastAsia" w:ascii="宋体" w:hAnsi="宋体" w:eastAsia="宋体" w:cs="宋体"/>
                <w:sz w:val="22"/>
                <w:szCs w:val="22"/>
              </w:rPr>
            </w:pPr>
            <w:r>
              <w:rPr>
                <w:rFonts w:hint="eastAsia" w:ascii="宋体" w:hAnsi="宋体" w:eastAsia="宋体" w:cs="宋体"/>
                <w:sz w:val="22"/>
                <w:szCs w:val="22"/>
              </w:rPr>
              <w:t>12</w:t>
            </w:r>
          </w:p>
        </w:tc>
        <w:tc>
          <w:tcPr>
            <w:tcW w:w="7774" w:type="dxa"/>
            <w:tcBorders>
              <w:top w:val="single" w:color="000000" w:sz="8" w:space="0"/>
              <w:left w:val="single" w:color="000000" w:sz="8" w:space="0"/>
              <w:bottom w:val="single" w:color="000000" w:sz="8" w:space="0"/>
              <w:right w:val="single" w:color="000000" w:sz="8" w:space="0"/>
            </w:tcBorders>
          </w:tcPr>
          <w:p w14:paraId="1030F16F">
            <w:pPr>
              <w:rPr>
                <w:rFonts w:hint="eastAsia" w:ascii="宋体" w:hAnsi="宋体" w:eastAsia="宋体" w:cs="宋体"/>
                <w:sz w:val="22"/>
                <w:szCs w:val="22"/>
              </w:rPr>
            </w:pPr>
            <w:r>
              <w:rPr>
                <w:rFonts w:hint="eastAsia" w:ascii="宋体" w:hAnsi="宋体" w:eastAsia="宋体" w:cs="宋体"/>
                <w:sz w:val="22"/>
                <w:szCs w:val="22"/>
              </w:rPr>
              <w:t>未在规定时间内解密的；</w:t>
            </w:r>
          </w:p>
        </w:tc>
      </w:tr>
      <w:tr w14:paraId="03713E5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43" w:type="dxa"/>
            <w:tcBorders>
              <w:top w:val="single" w:color="000000" w:sz="8" w:space="0"/>
              <w:left w:val="single" w:color="000000" w:sz="8" w:space="0"/>
              <w:bottom w:val="single" w:color="000000" w:sz="8" w:space="0"/>
              <w:right w:val="single" w:color="000000" w:sz="8" w:space="0"/>
            </w:tcBorders>
            <w:vAlign w:val="center"/>
          </w:tcPr>
          <w:p w14:paraId="207B6CEE">
            <w:pPr>
              <w:jc w:val="center"/>
              <w:rPr>
                <w:rFonts w:hint="eastAsia" w:ascii="宋体" w:hAnsi="宋体" w:eastAsia="宋体" w:cs="宋体"/>
                <w:sz w:val="22"/>
                <w:szCs w:val="22"/>
              </w:rPr>
            </w:pPr>
            <w:r>
              <w:rPr>
                <w:rFonts w:hint="eastAsia" w:ascii="宋体" w:hAnsi="宋体" w:eastAsia="宋体" w:cs="宋体"/>
                <w:sz w:val="22"/>
                <w:szCs w:val="22"/>
              </w:rPr>
              <w:t>13</w:t>
            </w:r>
          </w:p>
        </w:tc>
        <w:tc>
          <w:tcPr>
            <w:tcW w:w="7774" w:type="dxa"/>
            <w:tcBorders>
              <w:top w:val="single" w:color="000000" w:sz="8" w:space="0"/>
              <w:left w:val="single" w:color="000000" w:sz="8" w:space="0"/>
              <w:bottom w:val="single" w:color="000000" w:sz="8" w:space="0"/>
              <w:right w:val="single" w:color="000000" w:sz="8" w:space="0"/>
            </w:tcBorders>
          </w:tcPr>
          <w:p w14:paraId="142919C6">
            <w:pPr>
              <w:rPr>
                <w:rFonts w:hint="eastAsia" w:ascii="宋体" w:hAnsi="宋体" w:eastAsia="宋体" w:cs="宋体"/>
                <w:sz w:val="22"/>
                <w:szCs w:val="22"/>
              </w:rPr>
            </w:pPr>
            <w:r>
              <w:rPr>
                <w:rFonts w:hint="eastAsia" w:ascii="宋体" w:hAnsi="宋体" w:eastAsia="宋体" w:cs="宋体"/>
                <w:sz w:val="22"/>
                <w:szCs w:val="22"/>
              </w:rPr>
              <w:t>法律、法规规定的其他情形。</w:t>
            </w:r>
          </w:p>
        </w:tc>
      </w:tr>
    </w:tbl>
    <w:p w14:paraId="4B41377D">
      <w:pPr>
        <w:pStyle w:val="16"/>
        <w:jc w:val="center"/>
        <w:outlineLvl w:val="1"/>
        <w:rPr>
          <w:rFonts w:ascii="黑体" w:hAnsi="宋体" w:eastAsia="黑体" w:cs="黑体"/>
          <w:sz w:val="40"/>
          <w:szCs w:val="40"/>
        </w:rPr>
      </w:pPr>
      <w:r>
        <w:rPr>
          <w:rFonts w:hint="eastAsia" w:ascii="黑体" w:hAnsi="宋体" w:eastAsia="黑体" w:cs="黑体"/>
          <w:sz w:val="40"/>
          <w:szCs w:val="40"/>
        </w:rPr>
        <w:br w:type="page"/>
      </w:r>
      <w:r>
        <w:rPr>
          <w:rFonts w:hint="eastAsia" w:ascii="黑体" w:hAnsi="宋体" w:eastAsia="黑体" w:cs="黑体"/>
          <w:sz w:val="40"/>
          <w:szCs w:val="40"/>
        </w:rPr>
        <w:t>评标信息</w:t>
      </w:r>
    </w:p>
    <w:tbl>
      <w:tblPr>
        <w:tblStyle w:val="20"/>
        <w:tblW w:w="9078" w:type="dxa"/>
        <w:jc w:val="center"/>
        <w:tblCellSpacing w:w="0" w:type="dxa"/>
        <w:tblLayout w:type="fixed"/>
        <w:tblCellMar>
          <w:top w:w="45" w:type="dxa"/>
          <w:left w:w="45" w:type="dxa"/>
          <w:bottom w:w="45" w:type="dxa"/>
          <w:right w:w="45" w:type="dxa"/>
        </w:tblCellMar>
      </w:tblPr>
      <w:tblGrid>
        <w:gridCol w:w="8860"/>
        <w:gridCol w:w="218"/>
      </w:tblGrid>
      <w:tr w14:paraId="20BFD9DC">
        <w:trPr>
          <w:tblCellSpacing w:w="0" w:type="dxa"/>
          <w:jc w:val="center"/>
        </w:trPr>
        <w:tc>
          <w:tcPr>
            <w:tcW w:w="8860" w:type="dxa"/>
            <w:vAlign w:val="center"/>
          </w:tcPr>
          <w:p w14:paraId="2B166805">
            <w:pPr>
              <w:rPr>
                <w:b/>
                <w:bCs/>
              </w:rPr>
            </w:pPr>
            <w:r>
              <w:rPr>
                <w:rFonts w:ascii="宋体" w:hAnsi="宋体" w:eastAsia="宋体" w:cs="宋体"/>
                <w:b/>
                <w:bCs/>
              </w:rPr>
              <w:t>评标方法：综合评分法（新价格分算法）</w:t>
            </w:r>
          </w:p>
        </w:tc>
        <w:tc>
          <w:tcPr>
            <w:tcW w:w="218" w:type="dxa"/>
            <w:vAlign w:val="center"/>
          </w:tcPr>
          <w:p w14:paraId="49C3977F">
            <w:pPr>
              <w:jc w:val="right"/>
              <w:rPr>
                <w:rFonts w:ascii="宋体"/>
                <w:b/>
                <w:bCs/>
              </w:rPr>
            </w:pPr>
          </w:p>
        </w:tc>
      </w:tr>
      <w:tr w14:paraId="4540B554">
        <w:tblPrEx>
          <w:tblCellMar>
            <w:top w:w="45" w:type="dxa"/>
            <w:left w:w="45" w:type="dxa"/>
            <w:bottom w:w="45" w:type="dxa"/>
            <w:right w:w="45" w:type="dxa"/>
          </w:tblCellMar>
        </w:tblPrEx>
        <w:trPr>
          <w:tblCellSpacing w:w="0" w:type="dxa"/>
          <w:jc w:val="center"/>
        </w:trPr>
        <w:tc>
          <w:tcPr>
            <w:tcW w:w="9078" w:type="dxa"/>
            <w:gridSpan w:val="2"/>
            <w:vAlign w:val="center"/>
          </w:tcPr>
          <w:p w14:paraId="502ECDC6">
            <w:pPr>
              <w:pStyle w:val="16"/>
              <w:spacing w:line="324" w:lineRule="auto"/>
              <w:ind w:firstLine="420"/>
              <w:rPr>
                <w:sz w:val="21"/>
                <w:szCs w:val="21"/>
              </w:rPr>
            </w:pPr>
            <w:r>
              <w:rPr>
                <w:sz w:val="21"/>
                <w:szCs w:val="21"/>
              </w:rPr>
              <w:t xml:space="preserve">综合评分法，是指投标文件满足招标文件全部实质性要求，且按照评审因素的量化指标评审得分最高的投标人为中标候选人的评标方法。 </w:t>
            </w:r>
          </w:p>
          <w:p w14:paraId="24844109">
            <w:pPr>
              <w:pStyle w:val="16"/>
              <w:ind w:firstLine="420"/>
              <w:rPr>
                <w:sz w:val="21"/>
                <w:szCs w:val="21"/>
              </w:rPr>
            </w:pPr>
            <w:r>
              <w:rPr>
                <w:sz w:val="21"/>
                <w:szCs w:val="21"/>
              </w:rPr>
              <w:t>价格分计算方法：</w:t>
            </w:r>
          </w:p>
          <w:p w14:paraId="034130C0">
            <w:pPr>
              <w:pStyle w:val="16"/>
              <w:spacing w:line="324" w:lineRule="auto"/>
              <w:ind w:left="420"/>
              <w:rPr>
                <w:sz w:val="21"/>
                <w:szCs w:val="21"/>
              </w:rPr>
            </w:pPr>
            <w:r>
              <w:rPr>
                <w:sz w:val="21"/>
                <w:szCs w:val="21"/>
              </w:rPr>
              <w:t xml:space="preserve">采用低价优先法计算，即满足招标文件要求且投标价格最低的投标报价为评标基准价，其价格分为满分。其他投标人的价格分统一按照下列公式计算： </w:t>
            </w:r>
            <w:r>
              <w:rPr>
                <w:sz w:val="21"/>
                <w:szCs w:val="21"/>
              </w:rPr>
              <w:br w:type="textWrapping"/>
            </w:r>
            <w:r>
              <w:rPr>
                <w:sz w:val="21"/>
                <w:szCs w:val="21"/>
              </w:rPr>
              <w:t xml:space="preserve">投标报价得分=(评标基准价／投标报价)×100 </w:t>
            </w:r>
            <w:r>
              <w:rPr>
                <w:sz w:val="21"/>
                <w:szCs w:val="21"/>
              </w:rPr>
              <w:br w:type="textWrapping"/>
            </w:r>
            <w:r>
              <w:rPr>
                <w:sz w:val="21"/>
                <w:szCs w:val="21"/>
              </w:rPr>
              <w:t xml:space="preserve">评标总得分＝F1×A1＋F2×A2＋……＋Fn×An </w:t>
            </w:r>
            <w:r>
              <w:rPr>
                <w:sz w:val="21"/>
                <w:szCs w:val="21"/>
              </w:rPr>
              <w:br w:type="textWrapping"/>
            </w:r>
            <w:r>
              <w:rPr>
                <w:sz w:val="21"/>
                <w:szCs w:val="21"/>
              </w:rPr>
              <w:t xml:space="preserve">F1、F2……Fn分别为各项评审因素的得分； </w:t>
            </w:r>
            <w:r>
              <w:rPr>
                <w:sz w:val="21"/>
                <w:szCs w:val="21"/>
              </w:rPr>
              <w:br w:type="textWrapping"/>
            </w:r>
            <w:r>
              <w:rPr>
                <w:sz w:val="21"/>
                <w:szCs w:val="21"/>
              </w:rPr>
              <w:t xml:space="preserve">A1、A2、……An 分别为各项评审因素所占的权重(A1＋A2＋……＋An＝1)。 </w:t>
            </w:r>
            <w:r>
              <w:rPr>
                <w:sz w:val="21"/>
                <w:szCs w:val="21"/>
              </w:rPr>
              <w:br w:type="textWrapping"/>
            </w:r>
            <w:r>
              <w:rPr>
                <w:sz w:val="21"/>
                <w:szCs w:val="21"/>
              </w:rPr>
              <w:t xml:space="preserve">评标过程中，不得去掉报价中的最高报价和最低报价。 </w:t>
            </w:r>
            <w:r>
              <w:rPr>
                <w:sz w:val="21"/>
                <w:szCs w:val="21"/>
              </w:rPr>
              <w:br w:type="textWrapping"/>
            </w:r>
            <w:r>
              <w:rPr>
                <w:sz w:val="21"/>
                <w:szCs w:val="21"/>
              </w:rPr>
              <w:t xml:space="preserve">此方法适用于货物类、服务类、工程类项目。 </w:t>
            </w:r>
          </w:p>
        </w:tc>
      </w:tr>
    </w:tbl>
    <w:p w14:paraId="40CA2B48">
      <w:pPr>
        <w:rPr>
          <w:vanish/>
        </w:rPr>
      </w:pPr>
    </w:p>
    <w:tbl>
      <w:tblPr>
        <w:tblStyle w:val="20"/>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0" w:type="dxa"/>
          <w:left w:w="108" w:type="dxa"/>
          <w:bottom w:w="20" w:type="dxa"/>
          <w:right w:w="108" w:type="dxa"/>
        </w:tblCellMar>
      </w:tblPr>
      <w:tblGrid>
        <w:gridCol w:w="780"/>
        <w:gridCol w:w="705"/>
        <w:gridCol w:w="2311"/>
        <w:gridCol w:w="677"/>
        <w:gridCol w:w="4599"/>
      </w:tblGrid>
      <w:tr w14:paraId="04CC315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trHeight w:val="590" w:hRule="atLeast"/>
          <w:jc w:val="center"/>
        </w:trPr>
        <w:tc>
          <w:tcPr>
            <w:tcW w:w="780" w:type="dxa"/>
            <w:tcBorders>
              <w:top w:val="single" w:color="000000" w:sz="8" w:space="0"/>
              <w:left w:val="single" w:color="000000" w:sz="8" w:space="0"/>
              <w:bottom w:val="single" w:color="000000" w:sz="8" w:space="0"/>
              <w:right w:val="single" w:color="000000" w:sz="8" w:space="0"/>
            </w:tcBorders>
            <w:shd w:val="clear" w:color="auto" w:fill="E6EFFA"/>
            <w:vAlign w:val="center"/>
          </w:tcPr>
          <w:p w14:paraId="57E5996B">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rPr>
              <w:t>序号</w:t>
            </w:r>
          </w:p>
        </w:tc>
        <w:tc>
          <w:tcPr>
            <w:tcW w:w="3693" w:type="dxa"/>
            <w:gridSpan w:val="3"/>
            <w:tcBorders>
              <w:top w:val="single" w:color="000000" w:sz="8" w:space="0"/>
              <w:left w:val="single" w:color="000000" w:sz="8" w:space="0"/>
              <w:bottom w:val="single" w:color="000000" w:sz="8" w:space="0"/>
              <w:right w:val="single" w:color="000000" w:sz="8" w:space="0"/>
            </w:tcBorders>
            <w:shd w:val="clear" w:color="auto" w:fill="E6EFFA"/>
            <w:vAlign w:val="center"/>
          </w:tcPr>
          <w:p w14:paraId="524EF8F8">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rPr>
              <w:t>评分项</w:t>
            </w:r>
          </w:p>
        </w:tc>
        <w:tc>
          <w:tcPr>
            <w:tcW w:w="4599" w:type="dxa"/>
            <w:tcBorders>
              <w:top w:val="single" w:color="000000" w:sz="8" w:space="0"/>
              <w:left w:val="single" w:color="000000" w:sz="8" w:space="0"/>
              <w:bottom w:val="single" w:color="000000" w:sz="8" w:space="0"/>
              <w:right w:val="single" w:color="000000" w:sz="8" w:space="0"/>
            </w:tcBorders>
            <w:shd w:val="clear" w:color="auto" w:fill="E6EFFA"/>
            <w:vAlign w:val="center"/>
          </w:tcPr>
          <w:p w14:paraId="313370A9">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rPr>
              <w:t>权重(%)</w:t>
            </w:r>
          </w:p>
        </w:tc>
      </w:tr>
      <w:tr w14:paraId="5E328F7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trHeight w:val="500" w:hRule="atLeast"/>
          <w:jc w:val="center"/>
        </w:trPr>
        <w:tc>
          <w:tcPr>
            <w:tcW w:w="780" w:type="dxa"/>
            <w:tcBorders>
              <w:top w:val="single" w:color="000000" w:sz="8" w:space="0"/>
              <w:left w:val="single" w:color="000000" w:sz="8" w:space="0"/>
              <w:bottom w:val="single" w:color="000000" w:sz="8" w:space="0"/>
              <w:right w:val="single" w:color="000000" w:sz="8" w:space="0"/>
            </w:tcBorders>
          </w:tcPr>
          <w:p w14:paraId="45F8993E">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color w:val="0000FF"/>
                <w:sz w:val="22"/>
                <w:szCs w:val="22"/>
                <w:highlight w:val="none"/>
              </w:rPr>
            </w:pPr>
            <w:r>
              <w:rPr>
                <w:rFonts w:hint="eastAsia" w:ascii="宋体" w:hAnsi="宋体" w:eastAsia="宋体" w:cs="宋体"/>
                <w:b/>
                <w:bCs/>
                <w:color w:val="0000FF"/>
                <w:sz w:val="22"/>
                <w:szCs w:val="22"/>
                <w:highlight w:val="none"/>
              </w:rPr>
              <w:t>1</w:t>
            </w:r>
          </w:p>
        </w:tc>
        <w:tc>
          <w:tcPr>
            <w:tcW w:w="3693" w:type="dxa"/>
            <w:gridSpan w:val="3"/>
            <w:tcBorders>
              <w:top w:val="single" w:color="000000" w:sz="8" w:space="0"/>
              <w:left w:val="single" w:color="000000" w:sz="8" w:space="0"/>
              <w:bottom w:val="single" w:color="000000" w:sz="8" w:space="0"/>
              <w:right w:val="single" w:color="000000" w:sz="8" w:space="0"/>
            </w:tcBorders>
          </w:tcPr>
          <w:p w14:paraId="6514DA97">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color w:val="0000FF"/>
                <w:sz w:val="22"/>
                <w:szCs w:val="22"/>
                <w:highlight w:val="none"/>
              </w:rPr>
            </w:pPr>
            <w:r>
              <w:rPr>
                <w:rFonts w:hint="eastAsia" w:ascii="宋体" w:hAnsi="宋体" w:eastAsia="宋体" w:cs="宋体"/>
                <w:b/>
                <w:bCs/>
                <w:color w:val="0000FF"/>
                <w:sz w:val="22"/>
                <w:szCs w:val="22"/>
                <w:highlight w:val="none"/>
              </w:rPr>
              <w:t>价格</w:t>
            </w:r>
          </w:p>
        </w:tc>
        <w:tc>
          <w:tcPr>
            <w:tcW w:w="4599" w:type="dxa"/>
            <w:tcBorders>
              <w:top w:val="single" w:color="000000" w:sz="8" w:space="0"/>
              <w:left w:val="single" w:color="000000" w:sz="8" w:space="0"/>
              <w:bottom w:val="single" w:color="000000" w:sz="8" w:space="0"/>
              <w:right w:val="single" w:color="000000" w:sz="8" w:space="0"/>
            </w:tcBorders>
          </w:tcPr>
          <w:p w14:paraId="598F6C27">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color w:val="0000FF"/>
                <w:sz w:val="22"/>
                <w:szCs w:val="22"/>
                <w:highlight w:val="none"/>
                <w:lang w:val="en-US" w:eastAsia="zh-CN"/>
              </w:rPr>
            </w:pPr>
            <w:r>
              <w:rPr>
                <w:rFonts w:hint="eastAsia" w:ascii="宋体" w:hAnsi="宋体" w:eastAsia="宋体" w:cs="宋体"/>
                <w:b/>
                <w:bCs/>
                <w:color w:val="0000FF"/>
                <w:sz w:val="22"/>
                <w:szCs w:val="22"/>
                <w:highlight w:val="none"/>
                <w:lang w:val="en-US" w:eastAsia="zh-CN"/>
              </w:rPr>
              <w:t>10</w:t>
            </w:r>
          </w:p>
        </w:tc>
      </w:tr>
      <w:tr w14:paraId="1EBD901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80" w:type="dxa"/>
            <w:vMerge w:val="restart"/>
            <w:tcBorders>
              <w:top w:val="single" w:color="000000" w:sz="8" w:space="0"/>
              <w:left w:val="single" w:color="000000" w:sz="8" w:space="0"/>
              <w:right w:val="single" w:color="000000" w:sz="8" w:space="0"/>
            </w:tcBorders>
          </w:tcPr>
          <w:p w14:paraId="07676D05">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color w:val="0000FF"/>
                <w:sz w:val="22"/>
                <w:szCs w:val="22"/>
                <w:highlight w:val="none"/>
              </w:rPr>
            </w:pPr>
            <w:r>
              <w:rPr>
                <w:rFonts w:hint="eastAsia" w:ascii="宋体" w:hAnsi="宋体" w:eastAsia="宋体" w:cs="宋体"/>
                <w:b/>
                <w:bCs/>
                <w:color w:val="0000FF"/>
                <w:sz w:val="22"/>
                <w:szCs w:val="22"/>
                <w:highlight w:val="none"/>
              </w:rPr>
              <w:t>2</w:t>
            </w:r>
          </w:p>
          <w:p w14:paraId="7838CC1B">
            <w:pPr>
              <w:keepNext w:val="0"/>
              <w:keepLines w:val="0"/>
              <w:pageBreakBefore w:val="0"/>
              <w:widowControl/>
              <w:kinsoku/>
              <w:overflowPunct/>
              <w:topLinePunct w:val="0"/>
              <w:autoSpaceDE/>
              <w:autoSpaceDN/>
              <w:bidi w:val="0"/>
              <w:adjustRightInd/>
              <w:snapToGrid/>
              <w:spacing w:line="240" w:lineRule="auto"/>
              <w:textAlignment w:val="auto"/>
              <w:rPr>
                <w:rFonts w:hint="eastAsia" w:ascii="宋体" w:hAnsi="宋体" w:eastAsia="宋体" w:cs="宋体"/>
                <w:b/>
                <w:bCs/>
                <w:color w:val="0000FF"/>
                <w:sz w:val="22"/>
                <w:szCs w:val="22"/>
                <w:highlight w:val="none"/>
              </w:rPr>
            </w:pPr>
          </w:p>
          <w:p w14:paraId="36C4E482">
            <w:pPr>
              <w:keepNext w:val="0"/>
              <w:keepLines w:val="0"/>
              <w:pageBreakBefore w:val="0"/>
              <w:widowControl/>
              <w:kinsoku/>
              <w:overflowPunct/>
              <w:topLinePunct w:val="0"/>
              <w:autoSpaceDE/>
              <w:autoSpaceDN/>
              <w:bidi w:val="0"/>
              <w:adjustRightInd/>
              <w:snapToGrid/>
              <w:spacing w:line="240" w:lineRule="auto"/>
              <w:textAlignment w:val="auto"/>
              <w:rPr>
                <w:rFonts w:hint="eastAsia" w:ascii="宋体" w:hAnsi="宋体" w:eastAsia="宋体" w:cs="宋体"/>
                <w:b/>
                <w:bCs/>
                <w:color w:val="0000FF"/>
                <w:sz w:val="22"/>
                <w:szCs w:val="22"/>
                <w:highlight w:val="none"/>
              </w:rPr>
            </w:pPr>
          </w:p>
        </w:tc>
        <w:tc>
          <w:tcPr>
            <w:tcW w:w="3693" w:type="dxa"/>
            <w:gridSpan w:val="3"/>
            <w:tcBorders>
              <w:top w:val="single" w:color="000000" w:sz="8" w:space="0"/>
              <w:left w:val="single" w:color="000000" w:sz="8" w:space="0"/>
              <w:bottom w:val="single" w:color="000000" w:sz="8" w:space="0"/>
              <w:right w:val="single" w:color="000000" w:sz="8" w:space="0"/>
            </w:tcBorders>
          </w:tcPr>
          <w:p w14:paraId="07A2DE79">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color w:val="0000FF"/>
                <w:sz w:val="22"/>
                <w:szCs w:val="22"/>
                <w:highlight w:val="none"/>
              </w:rPr>
            </w:pPr>
            <w:r>
              <w:rPr>
                <w:rFonts w:hint="eastAsia" w:ascii="宋体" w:hAnsi="宋体" w:eastAsia="宋体" w:cs="宋体"/>
                <w:b/>
                <w:bCs/>
                <w:color w:val="0000FF"/>
                <w:sz w:val="22"/>
                <w:szCs w:val="22"/>
                <w:highlight w:val="none"/>
              </w:rPr>
              <w:t>技术部分</w:t>
            </w:r>
          </w:p>
        </w:tc>
        <w:tc>
          <w:tcPr>
            <w:tcW w:w="4599" w:type="dxa"/>
            <w:tcBorders>
              <w:top w:val="single" w:color="000000" w:sz="8" w:space="0"/>
              <w:left w:val="single" w:color="000000" w:sz="8" w:space="0"/>
              <w:bottom w:val="single" w:color="000000" w:sz="8" w:space="0"/>
              <w:right w:val="single" w:color="000000" w:sz="8" w:space="0"/>
            </w:tcBorders>
          </w:tcPr>
          <w:p w14:paraId="04EAF036">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color w:val="0000FF"/>
                <w:sz w:val="22"/>
                <w:szCs w:val="22"/>
                <w:highlight w:val="none"/>
                <w:lang w:val="en-US" w:eastAsia="zh-CN"/>
              </w:rPr>
            </w:pPr>
            <w:r>
              <w:rPr>
                <w:rFonts w:hint="eastAsia" w:ascii="宋体" w:hAnsi="宋体" w:eastAsia="宋体" w:cs="宋体"/>
                <w:b/>
                <w:bCs/>
                <w:color w:val="0000FF"/>
                <w:sz w:val="22"/>
                <w:szCs w:val="22"/>
                <w:highlight w:val="none"/>
                <w:lang w:val="en-US" w:eastAsia="zh-CN"/>
              </w:rPr>
              <w:t>62</w:t>
            </w:r>
          </w:p>
        </w:tc>
      </w:tr>
      <w:tr w14:paraId="459517B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80" w:type="dxa"/>
            <w:vMerge w:val="continue"/>
            <w:tcBorders>
              <w:left w:val="single" w:color="000000" w:sz="8" w:space="0"/>
              <w:right w:val="single" w:color="000000" w:sz="8" w:space="0"/>
            </w:tcBorders>
            <w:shd w:val="clear" w:color="auto" w:fill="E6EFFA"/>
            <w:vAlign w:val="center"/>
          </w:tcPr>
          <w:p w14:paraId="697A0F8F">
            <w:pPr>
              <w:keepNext w:val="0"/>
              <w:keepLines w:val="0"/>
              <w:pageBreakBefore w:val="0"/>
              <w:widowControl/>
              <w:kinsoku/>
              <w:overflowPunct/>
              <w:topLinePunct w:val="0"/>
              <w:autoSpaceDE/>
              <w:autoSpaceDN/>
              <w:bidi w:val="0"/>
              <w:adjustRightInd/>
              <w:snapToGrid/>
              <w:spacing w:line="240" w:lineRule="auto"/>
              <w:textAlignment w:val="auto"/>
              <w:rPr>
                <w:rFonts w:hint="eastAsia" w:ascii="宋体" w:hAnsi="宋体" w:eastAsia="宋体" w:cs="宋体"/>
                <w:b/>
                <w:bCs/>
                <w:color w:val="0000FF"/>
                <w:sz w:val="22"/>
                <w:szCs w:val="22"/>
                <w:highlight w:val="none"/>
              </w:rPr>
            </w:pPr>
          </w:p>
        </w:tc>
        <w:tc>
          <w:tcPr>
            <w:tcW w:w="705"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2A142359">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序号</w:t>
            </w:r>
          </w:p>
        </w:tc>
        <w:tc>
          <w:tcPr>
            <w:tcW w:w="2311"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2DA579AC">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评分因素</w:t>
            </w:r>
          </w:p>
        </w:tc>
        <w:tc>
          <w:tcPr>
            <w:tcW w:w="677"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5B7EBBC8">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权重(%)</w:t>
            </w:r>
          </w:p>
        </w:tc>
        <w:tc>
          <w:tcPr>
            <w:tcW w:w="4599"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0096C708">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评分准则</w:t>
            </w:r>
          </w:p>
        </w:tc>
      </w:tr>
      <w:tr w14:paraId="1B68371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80" w:type="dxa"/>
            <w:vMerge w:val="continue"/>
            <w:tcBorders>
              <w:left w:val="single" w:color="000000" w:sz="8" w:space="0"/>
              <w:right w:val="single" w:color="000000" w:sz="8" w:space="0"/>
            </w:tcBorders>
            <w:vAlign w:val="center"/>
          </w:tcPr>
          <w:p w14:paraId="24B0951D">
            <w:pPr>
              <w:keepNext w:val="0"/>
              <w:keepLines w:val="0"/>
              <w:pageBreakBefore w:val="0"/>
              <w:widowControl/>
              <w:kinsoku/>
              <w:overflowPunct/>
              <w:topLinePunct w:val="0"/>
              <w:autoSpaceDE/>
              <w:autoSpaceDN/>
              <w:bidi w:val="0"/>
              <w:adjustRightInd/>
              <w:snapToGrid/>
              <w:spacing w:line="240" w:lineRule="auto"/>
              <w:textAlignment w:val="auto"/>
              <w:rPr>
                <w:rFonts w:hint="eastAsia" w:ascii="宋体" w:hAnsi="宋体" w:eastAsia="宋体" w:cs="宋体"/>
                <w:b/>
                <w:bCs/>
                <w:color w:val="0000FF"/>
                <w:sz w:val="22"/>
                <w:szCs w:val="22"/>
                <w:highlight w:val="none"/>
              </w:rPr>
            </w:pPr>
          </w:p>
        </w:tc>
        <w:tc>
          <w:tcPr>
            <w:tcW w:w="70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43F19EB">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1</w:t>
            </w:r>
          </w:p>
        </w:tc>
        <w:tc>
          <w:tcPr>
            <w:tcW w:w="231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7071D58">
            <w:pPr>
              <w:wordWrap w:val="0"/>
              <w:jc w:val="cente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实施方案</w:t>
            </w:r>
          </w:p>
        </w:tc>
        <w:tc>
          <w:tcPr>
            <w:tcW w:w="67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C5C3FBC">
            <w:pPr>
              <w:wordWrap w:val="0"/>
              <w:jc w:val="cente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lang w:val="en-US" w:eastAsia="zh-CN"/>
              </w:rPr>
              <w:t>7</w:t>
            </w:r>
          </w:p>
        </w:tc>
        <w:tc>
          <w:tcPr>
            <w:tcW w:w="4599" w:type="dxa"/>
            <w:tcBorders>
              <w:top w:val="single" w:color="000000" w:sz="8" w:space="0"/>
              <w:left w:val="single" w:color="000000" w:sz="8" w:space="0"/>
              <w:bottom w:val="single" w:color="000000" w:sz="8" w:space="0"/>
              <w:right w:val="single" w:color="000000" w:sz="8" w:space="0"/>
            </w:tcBorders>
            <w:shd w:val="clear" w:color="auto" w:fill="auto"/>
            <w:vAlign w:val="top"/>
          </w:tcPr>
          <w:p w14:paraId="3F2EA49D">
            <w:pPr>
              <w:rPr>
                <w:rFonts w:hint="eastAsia" w:ascii="宋体" w:hAnsi="宋体" w:eastAsia="宋体" w:cs="宋体"/>
                <w:color w:val="auto"/>
                <w:sz w:val="22"/>
                <w:szCs w:val="22"/>
              </w:rPr>
            </w:pPr>
            <w:r>
              <w:rPr>
                <w:rFonts w:hint="eastAsia" w:ascii="宋体" w:hAnsi="宋体" w:eastAsia="宋体" w:cs="宋体"/>
                <w:color w:val="auto"/>
                <w:sz w:val="22"/>
                <w:szCs w:val="22"/>
              </w:rPr>
              <w:t>评审内容：</w:t>
            </w:r>
          </w:p>
          <w:p w14:paraId="7902088A">
            <w:pPr>
              <w:rPr>
                <w:rFonts w:hint="eastAsia" w:ascii="宋体" w:hAnsi="宋体" w:eastAsia="宋体" w:cs="宋体"/>
                <w:color w:val="auto"/>
                <w:sz w:val="22"/>
                <w:szCs w:val="22"/>
              </w:rPr>
            </w:pPr>
            <w:r>
              <w:rPr>
                <w:rFonts w:hint="eastAsia" w:ascii="宋体" w:hAnsi="宋体" w:eastAsia="宋体" w:cs="宋体"/>
                <w:color w:val="auto"/>
                <w:sz w:val="22"/>
                <w:szCs w:val="22"/>
              </w:rPr>
              <w:t>供应商根据采购需求提供</w:t>
            </w:r>
            <w:r>
              <w:rPr>
                <w:rFonts w:hint="eastAsia" w:ascii="宋体" w:hAnsi="宋体" w:eastAsia="宋体" w:cs="宋体"/>
                <w:color w:val="auto"/>
                <w:sz w:val="22"/>
                <w:szCs w:val="22"/>
                <w:lang w:eastAsia="zh-Hans"/>
              </w:rPr>
              <w:t>实施</w:t>
            </w:r>
            <w:r>
              <w:rPr>
                <w:rFonts w:hint="eastAsia" w:ascii="宋体" w:hAnsi="宋体" w:eastAsia="宋体" w:cs="宋体"/>
                <w:color w:val="auto"/>
                <w:sz w:val="22"/>
                <w:szCs w:val="22"/>
              </w:rPr>
              <w:t>方案，具体包含以下内容</w:t>
            </w:r>
            <w:r>
              <w:rPr>
                <w:rFonts w:hint="eastAsia" w:ascii="宋体" w:hAnsi="宋体" w:eastAsia="宋体" w:cs="宋体"/>
                <w:color w:val="auto"/>
                <w:sz w:val="22"/>
                <w:szCs w:val="22"/>
                <w:lang w:eastAsia="zh-Hans"/>
              </w:rPr>
              <w:t>：</w:t>
            </w:r>
          </w:p>
          <w:p w14:paraId="451B84DC">
            <w:pPr>
              <w:rPr>
                <w:rFonts w:hint="eastAsia" w:ascii="宋体" w:hAnsi="宋体" w:eastAsia="宋体" w:cs="宋体"/>
                <w:color w:val="auto"/>
                <w:sz w:val="22"/>
                <w:szCs w:val="22"/>
              </w:rPr>
            </w:pPr>
            <w:r>
              <w:rPr>
                <w:rFonts w:hint="eastAsia" w:ascii="宋体" w:hAnsi="宋体" w:eastAsia="宋体" w:cs="宋体"/>
                <w:color w:val="auto"/>
                <w:sz w:val="22"/>
                <w:szCs w:val="22"/>
              </w:rPr>
              <w:t>1.供应商</w:t>
            </w:r>
            <w:r>
              <w:rPr>
                <w:rFonts w:hint="eastAsia" w:ascii="宋体" w:hAnsi="宋体" w:eastAsia="宋体" w:cs="宋体"/>
                <w:color w:val="auto"/>
                <w:sz w:val="22"/>
                <w:szCs w:val="22"/>
                <w:lang w:eastAsia="zh-Hans"/>
              </w:rPr>
              <w:t>提供</w:t>
            </w:r>
            <w:r>
              <w:rPr>
                <w:rFonts w:hint="eastAsia" w:ascii="宋体" w:hAnsi="宋体" w:eastAsia="宋体" w:cs="宋体"/>
                <w:color w:val="auto"/>
                <w:sz w:val="22"/>
                <w:szCs w:val="22"/>
              </w:rPr>
              <w:t>平台</w:t>
            </w:r>
            <w:r>
              <w:rPr>
                <w:rFonts w:hint="eastAsia" w:ascii="宋体" w:hAnsi="宋体" w:eastAsia="宋体" w:cs="宋体"/>
                <w:color w:val="auto"/>
                <w:sz w:val="22"/>
                <w:szCs w:val="22"/>
                <w:lang w:val="en-US" w:eastAsia="zh-CN"/>
              </w:rPr>
              <w:t>系统</w:t>
            </w:r>
            <w:r>
              <w:rPr>
                <w:rFonts w:hint="eastAsia" w:ascii="宋体" w:hAnsi="宋体" w:eastAsia="宋体" w:cs="宋体"/>
                <w:color w:val="auto"/>
                <w:sz w:val="22"/>
                <w:szCs w:val="22"/>
              </w:rPr>
              <w:t>切换，</w:t>
            </w:r>
            <w:r>
              <w:rPr>
                <w:rFonts w:hint="eastAsia" w:ascii="宋体" w:hAnsi="宋体" w:eastAsia="宋体" w:cs="宋体"/>
                <w:color w:val="auto"/>
                <w:sz w:val="22"/>
                <w:szCs w:val="22"/>
                <w:lang w:eastAsia="zh-Hans"/>
              </w:rPr>
              <w:t>数据</w:t>
            </w:r>
            <w:r>
              <w:rPr>
                <w:rFonts w:hint="eastAsia" w:ascii="宋体" w:hAnsi="宋体" w:eastAsia="宋体" w:cs="宋体"/>
                <w:color w:val="auto"/>
                <w:sz w:val="22"/>
                <w:szCs w:val="22"/>
              </w:rPr>
              <w:t>对接思路及方案</w:t>
            </w:r>
            <w:r>
              <w:rPr>
                <w:rFonts w:hint="eastAsia" w:ascii="宋体" w:hAnsi="宋体" w:eastAsia="宋体" w:cs="宋体"/>
                <w:color w:val="auto"/>
                <w:sz w:val="22"/>
                <w:szCs w:val="22"/>
                <w:lang w:eastAsia="zh-Hans"/>
              </w:rPr>
              <w:t>；</w:t>
            </w:r>
          </w:p>
          <w:p w14:paraId="6043D7C9">
            <w:pPr>
              <w:rPr>
                <w:rFonts w:hint="eastAsia" w:ascii="宋体" w:hAnsi="宋体" w:eastAsia="宋体" w:cs="宋体"/>
                <w:color w:val="auto"/>
                <w:sz w:val="22"/>
                <w:szCs w:val="22"/>
              </w:rPr>
            </w:pPr>
            <w:r>
              <w:rPr>
                <w:rFonts w:hint="eastAsia" w:ascii="宋体" w:hAnsi="宋体" w:eastAsia="宋体" w:cs="宋体"/>
                <w:color w:val="auto"/>
                <w:sz w:val="22"/>
                <w:szCs w:val="22"/>
              </w:rPr>
              <w:t>2.供应商</w:t>
            </w:r>
            <w:r>
              <w:rPr>
                <w:rFonts w:hint="eastAsia" w:ascii="宋体" w:hAnsi="宋体" w:eastAsia="宋体" w:cs="宋体"/>
                <w:color w:val="auto"/>
                <w:sz w:val="22"/>
                <w:szCs w:val="22"/>
                <w:lang w:eastAsia="zh-Hans"/>
              </w:rPr>
              <w:t>提供</w:t>
            </w:r>
            <w:r>
              <w:rPr>
                <w:rFonts w:hint="eastAsia" w:ascii="宋体" w:hAnsi="宋体" w:eastAsia="宋体" w:cs="宋体"/>
                <w:color w:val="auto"/>
                <w:sz w:val="22"/>
                <w:szCs w:val="22"/>
              </w:rPr>
              <w:t>分类采购业务实施方案；</w:t>
            </w:r>
          </w:p>
          <w:p w14:paraId="5934C378">
            <w:pPr>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3</w:t>
            </w:r>
            <w:r>
              <w:rPr>
                <w:rFonts w:hint="eastAsia" w:ascii="宋体" w:hAnsi="宋体" w:eastAsia="宋体" w:cs="宋体"/>
                <w:color w:val="auto"/>
                <w:sz w:val="22"/>
                <w:szCs w:val="22"/>
              </w:rPr>
              <w:t>.供应商</w:t>
            </w:r>
            <w:r>
              <w:rPr>
                <w:rFonts w:hint="eastAsia" w:ascii="宋体" w:hAnsi="宋体" w:eastAsia="宋体" w:cs="宋体"/>
                <w:color w:val="auto"/>
                <w:sz w:val="22"/>
                <w:szCs w:val="22"/>
                <w:lang w:eastAsia="zh-Hans"/>
              </w:rPr>
              <w:t>提供相关职能机构业务</w:t>
            </w:r>
            <w:r>
              <w:rPr>
                <w:rFonts w:hint="eastAsia" w:ascii="宋体" w:hAnsi="宋体" w:eastAsia="宋体" w:cs="宋体"/>
                <w:color w:val="auto"/>
                <w:sz w:val="22"/>
                <w:szCs w:val="22"/>
              </w:rPr>
              <w:t>系统对接思路及方案</w:t>
            </w:r>
            <w:r>
              <w:rPr>
                <w:rFonts w:hint="eastAsia" w:ascii="宋体" w:hAnsi="宋体" w:eastAsia="宋体" w:cs="宋体"/>
                <w:color w:val="auto"/>
                <w:sz w:val="22"/>
                <w:szCs w:val="22"/>
                <w:lang w:eastAsia="zh-Hans"/>
              </w:rPr>
              <w:t>；</w:t>
            </w:r>
          </w:p>
          <w:p w14:paraId="3898B5BF">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lang w:val="en-US" w:eastAsia="zh-CN"/>
              </w:rPr>
              <w:t>4</w:t>
            </w:r>
            <w:r>
              <w:rPr>
                <w:rFonts w:hint="eastAsia" w:ascii="宋体" w:hAnsi="宋体" w:eastAsia="宋体" w:cs="宋体"/>
                <w:color w:val="auto"/>
                <w:sz w:val="22"/>
                <w:szCs w:val="22"/>
                <w:lang w:eastAsia="zh-Hans"/>
              </w:rPr>
              <w:t>.供应商提供集采药品采购交易数据监测、分析、预警</w:t>
            </w:r>
            <w:r>
              <w:rPr>
                <w:rFonts w:hint="eastAsia" w:ascii="宋体" w:hAnsi="宋体" w:eastAsia="宋体" w:cs="宋体"/>
                <w:color w:val="auto"/>
                <w:sz w:val="22"/>
                <w:szCs w:val="22"/>
                <w:lang w:eastAsia="zh-CN"/>
              </w:rPr>
              <w:t>、主管部门督办</w:t>
            </w:r>
            <w:r>
              <w:rPr>
                <w:rFonts w:hint="eastAsia" w:ascii="宋体" w:hAnsi="宋体" w:eastAsia="宋体" w:cs="宋体"/>
                <w:color w:val="auto"/>
                <w:sz w:val="22"/>
                <w:szCs w:val="22"/>
                <w:lang w:eastAsia="zh-Hans"/>
              </w:rPr>
              <w:t>服务方案；</w:t>
            </w:r>
          </w:p>
          <w:p w14:paraId="48C2B450">
            <w:pPr>
              <w:ind w:left="0" w:leftChars="0" w:firstLine="0" w:firstLineChars="0"/>
              <w:rPr>
                <w:rFonts w:hint="eastAsia" w:ascii="宋体" w:hAnsi="宋体" w:eastAsia="宋体" w:cs="宋体"/>
                <w:color w:val="auto"/>
                <w:sz w:val="22"/>
                <w:szCs w:val="22"/>
                <w:lang w:val="en-US" w:eastAsia="zh-Hans"/>
              </w:rPr>
            </w:pPr>
            <w:r>
              <w:rPr>
                <w:rFonts w:hint="eastAsia" w:ascii="宋体" w:hAnsi="宋体" w:eastAsia="宋体" w:cs="宋体"/>
                <w:color w:val="auto"/>
                <w:sz w:val="22"/>
                <w:szCs w:val="22"/>
                <w:lang w:val="en-US" w:eastAsia="zh-Hans"/>
              </w:rPr>
              <w:t>5.供应商提供药品采购交易“事前、事中、事后”全流程监测预警指标管理方案；</w:t>
            </w:r>
          </w:p>
          <w:p w14:paraId="20556342">
            <w:pPr>
              <w:ind w:left="0" w:leftChars="0" w:firstLine="0" w:firstLineChars="0"/>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Hans"/>
              </w:rPr>
              <w:t>6.供应商提供药品供应配送评价服务方案</w:t>
            </w:r>
            <w:r>
              <w:rPr>
                <w:rFonts w:hint="eastAsia" w:ascii="宋体" w:hAnsi="宋体" w:eastAsia="宋体" w:cs="宋体"/>
                <w:color w:val="auto"/>
                <w:sz w:val="22"/>
                <w:szCs w:val="22"/>
                <w:lang w:val="en-US" w:eastAsia="zh-CN"/>
              </w:rPr>
              <w:t>；</w:t>
            </w:r>
          </w:p>
          <w:p w14:paraId="6862579E">
            <w:pPr>
              <w:ind w:left="0" w:leftChars="0" w:firstLine="0" w:firstLineChars="0"/>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7.供应商提供数据质量管理思路及方案；</w:t>
            </w:r>
          </w:p>
          <w:p w14:paraId="03FE840E">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lang w:val="en-US" w:eastAsia="zh-CN"/>
              </w:rPr>
              <w:t>8</w:t>
            </w:r>
            <w:r>
              <w:rPr>
                <w:rFonts w:hint="eastAsia" w:ascii="宋体" w:hAnsi="宋体" w:eastAsia="宋体" w:cs="宋体"/>
                <w:color w:val="auto"/>
                <w:sz w:val="22"/>
                <w:szCs w:val="22"/>
                <w:lang w:eastAsia="zh-Hans"/>
              </w:rPr>
              <w:t>.</w:t>
            </w:r>
            <w:r>
              <w:rPr>
                <w:rFonts w:hint="eastAsia" w:ascii="宋体" w:hAnsi="宋体" w:eastAsia="宋体" w:cs="宋体"/>
                <w:color w:val="auto"/>
                <w:sz w:val="22"/>
                <w:szCs w:val="22"/>
              </w:rPr>
              <w:t>供应商</w:t>
            </w:r>
            <w:r>
              <w:rPr>
                <w:rFonts w:hint="eastAsia" w:ascii="宋体" w:hAnsi="宋体" w:eastAsia="宋体" w:cs="宋体"/>
                <w:color w:val="auto"/>
                <w:sz w:val="22"/>
                <w:szCs w:val="22"/>
                <w:lang w:eastAsia="zh-Hans"/>
              </w:rPr>
              <w:t>提供药品数据国家编码标准基础服务方案；</w:t>
            </w:r>
          </w:p>
          <w:p w14:paraId="7505A83F">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lang w:val="en-US" w:eastAsia="zh-CN"/>
              </w:rPr>
              <w:t>9</w:t>
            </w:r>
            <w:r>
              <w:rPr>
                <w:rFonts w:hint="eastAsia" w:ascii="宋体" w:hAnsi="宋体" w:eastAsia="宋体" w:cs="宋体"/>
                <w:color w:val="auto"/>
                <w:sz w:val="22"/>
                <w:szCs w:val="22"/>
                <w:lang w:eastAsia="zh-Hans"/>
              </w:rPr>
              <w:t>.</w:t>
            </w:r>
            <w:r>
              <w:rPr>
                <w:rFonts w:hint="eastAsia" w:ascii="宋体" w:hAnsi="宋体" w:eastAsia="宋体" w:cs="宋体"/>
                <w:color w:val="auto"/>
                <w:sz w:val="22"/>
                <w:szCs w:val="22"/>
              </w:rPr>
              <w:t>供应商</w:t>
            </w:r>
            <w:r>
              <w:rPr>
                <w:rFonts w:hint="eastAsia" w:ascii="宋体" w:hAnsi="宋体" w:eastAsia="宋体" w:cs="宋体"/>
                <w:color w:val="auto"/>
                <w:sz w:val="22"/>
                <w:szCs w:val="22"/>
                <w:lang w:eastAsia="zh-Hans"/>
              </w:rPr>
              <w:t>提供药品价格联动和数据共享协同服务方案；</w:t>
            </w:r>
          </w:p>
          <w:p w14:paraId="45016293">
            <w:pPr>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10</w:t>
            </w:r>
            <w:r>
              <w:rPr>
                <w:rFonts w:hint="eastAsia" w:ascii="宋体" w:hAnsi="宋体" w:eastAsia="宋体" w:cs="宋体"/>
                <w:color w:val="auto"/>
                <w:sz w:val="22"/>
                <w:szCs w:val="22"/>
                <w:lang w:eastAsia="zh-Hans"/>
              </w:rPr>
              <w:t>.</w:t>
            </w:r>
            <w:r>
              <w:rPr>
                <w:rFonts w:hint="eastAsia" w:ascii="宋体" w:hAnsi="宋体" w:eastAsia="宋体" w:cs="宋体"/>
                <w:color w:val="auto"/>
                <w:sz w:val="22"/>
                <w:szCs w:val="22"/>
              </w:rPr>
              <w:t>供应商</w:t>
            </w:r>
            <w:r>
              <w:rPr>
                <w:rFonts w:hint="eastAsia" w:ascii="宋体" w:hAnsi="宋体" w:eastAsia="宋体" w:cs="宋体"/>
                <w:color w:val="auto"/>
                <w:sz w:val="22"/>
                <w:szCs w:val="22"/>
                <w:lang w:eastAsia="zh-Hans"/>
              </w:rPr>
              <w:t>提供系统培训及医药机构采购支持服务方案</w:t>
            </w:r>
            <w:r>
              <w:rPr>
                <w:rFonts w:hint="eastAsia" w:ascii="宋体" w:hAnsi="宋体" w:eastAsia="宋体" w:cs="宋体"/>
                <w:color w:val="auto"/>
                <w:sz w:val="22"/>
                <w:szCs w:val="22"/>
              </w:rPr>
              <w:t>。</w:t>
            </w:r>
          </w:p>
          <w:p w14:paraId="4700E063">
            <w:pP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满足以上</w:t>
            </w:r>
            <w:r>
              <w:rPr>
                <w:rFonts w:hint="eastAsia" w:ascii="宋体" w:hAnsi="宋体" w:eastAsia="宋体" w:cs="宋体"/>
                <w:color w:val="auto"/>
                <w:sz w:val="22"/>
                <w:szCs w:val="22"/>
                <w:lang w:val="en-US" w:eastAsia="zh-CN"/>
              </w:rPr>
              <w:t>10</w:t>
            </w:r>
            <w:r>
              <w:rPr>
                <w:rFonts w:hint="eastAsia" w:ascii="宋体" w:hAnsi="宋体" w:eastAsia="宋体" w:cs="宋体"/>
                <w:color w:val="auto"/>
                <w:sz w:val="22"/>
                <w:szCs w:val="22"/>
              </w:rPr>
              <w:t>项要求得80分，每不满足以上1项扣20分，扣完为止。在此基础上，专家根据各供应商的具体响应内容按照量化的评审因素指标进一步评审，评审为优（如方案全面具体，思路明确，能完全满足采购需求）的加20分；评审为良（如方案比较全面具体，思路较明确，能合理满足采购需求）的加15分；评审为中（如方案比较简单，思路一般，能基本满足采购需求）的加 10分；评审为差（如</w:t>
            </w:r>
            <w:r>
              <w:rPr>
                <w:rFonts w:hint="eastAsia" w:ascii="宋体" w:hAnsi="宋体" w:eastAsia="宋体" w:cs="宋体"/>
                <w:color w:val="auto"/>
                <w:sz w:val="22"/>
                <w:szCs w:val="22"/>
                <w:lang w:eastAsia="zh-Hans"/>
              </w:rPr>
              <w:t>未能按采购要求提供方案，或方案不能满足采购需求</w:t>
            </w:r>
            <w:r>
              <w:rPr>
                <w:rFonts w:hint="eastAsia" w:ascii="宋体" w:hAnsi="宋体" w:eastAsia="宋体" w:cs="宋体"/>
                <w:color w:val="auto"/>
                <w:sz w:val="22"/>
                <w:szCs w:val="22"/>
              </w:rPr>
              <w:t>）的不加分。</w:t>
            </w:r>
          </w:p>
        </w:tc>
      </w:tr>
      <w:tr w14:paraId="43180CE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80" w:type="dxa"/>
            <w:vMerge w:val="continue"/>
            <w:tcBorders>
              <w:left w:val="single" w:color="000000" w:sz="8" w:space="0"/>
              <w:right w:val="single" w:color="000000" w:sz="8" w:space="0"/>
            </w:tcBorders>
            <w:vAlign w:val="center"/>
          </w:tcPr>
          <w:p w14:paraId="3719EDA6">
            <w:pPr>
              <w:keepNext w:val="0"/>
              <w:keepLines w:val="0"/>
              <w:pageBreakBefore w:val="0"/>
              <w:widowControl/>
              <w:kinsoku/>
              <w:overflowPunct/>
              <w:topLinePunct w:val="0"/>
              <w:autoSpaceDE/>
              <w:autoSpaceDN/>
              <w:bidi w:val="0"/>
              <w:adjustRightInd/>
              <w:snapToGrid/>
              <w:spacing w:line="240" w:lineRule="auto"/>
              <w:textAlignment w:val="auto"/>
              <w:rPr>
                <w:rFonts w:hint="eastAsia" w:ascii="宋体" w:hAnsi="宋体" w:eastAsia="宋体" w:cs="宋体"/>
                <w:b/>
                <w:bCs/>
                <w:color w:val="0000FF"/>
                <w:sz w:val="22"/>
                <w:szCs w:val="22"/>
                <w:highlight w:val="none"/>
              </w:rPr>
            </w:pPr>
          </w:p>
        </w:tc>
        <w:tc>
          <w:tcPr>
            <w:tcW w:w="70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E4D0380">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2</w:t>
            </w:r>
          </w:p>
        </w:tc>
        <w:tc>
          <w:tcPr>
            <w:tcW w:w="231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26A6798">
            <w:pPr>
              <w:wordWrap w:val="0"/>
              <w:jc w:val="cente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平台</w:t>
            </w:r>
            <w:r>
              <w:rPr>
                <w:rFonts w:hint="eastAsia" w:ascii="宋体" w:hAnsi="宋体" w:eastAsia="宋体" w:cs="宋体"/>
                <w:color w:val="auto"/>
                <w:sz w:val="22"/>
                <w:szCs w:val="22"/>
                <w:lang w:val="en-US" w:eastAsia="zh-CN"/>
              </w:rPr>
              <w:t>系统</w:t>
            </w:r>
            <w:r>
              <w:rPr>
                <w:rFonts w:hint="eastAsia" w:ascii="宋体" w:hAnsi="宋体" w:eastAsia="宋体" w:cs="宋体"/>
                <w:color w:val="auto"/>
                <w:sz w:val="22"/>
                <w:szCs w:val="22"/>
              </w:rPr>
              <w:t>功能设计</w:t>
            </w:r>
          </w:p>
        </w:tc>
        <w:tc>
          <w:tcPr>
            <w:tcW w:w="67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15DF84C">
            <w:pPr>
              <w:wordWrap w:val="0"/>
              <w:jc w:val="cente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lang w:val="en-US" w:eastAsia="zh-CN"/>
              </w:rPr>
              <w:t>8</w:t>
            </w:r>
          </w:p>
        </w:tc>
        <w:tc>
          <w:tcPr>
            <w:tcW w:w="459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5B266FC">
            <w:pPr>
              <w:rPr>
                <w:rFonts w:hint="eastAsia" w:ascii="宋体" w:hAnsi="宋体" w:eastAsia="宋体" w:cs="宋体"/>
                <w:color w:val="auto"/>
                <w:sz w:val="22"/>
                <w:szCs w:val="22"/>
              </w:rPr>
            </w:pPr>
            <w:r>
              <w:rPr>
                <w:rFonts w:hint="eastAsia" w:ascii="宋体" w:hAnsi="宋体" w:eastAsia="宋体" w:cs="宋体"/>
                <w:color w:val="auto"/>
                <w:sz w:val="22"/>
                <w:szCs w:val="22"/>
              </w:rPr>
              <w:t>评审内容：</w:t>
            </w:r>
          </w:p>
          <w:p w14:paraId="06B5C620">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rPr>
              <w:t>供应商</w:t>
            </w:r>
            <w:r>
              <w:rPr>
                <w:rFonts w:hint="eastAsia" w:ascii="宋体" w:hAnsi="宋体" w:eastAsia="宋体" w:cs="宋体"/>
                <w:color w:val="auto"/>
                <w:sz w:val="22"/>
                <w:szCs w:val="22"/>
                <w:lang w:eastAsia="zh-Hans"/>
              </w:rPr>
              <w:t>根据平台</w:t>
            </w:r>
            <w:r>
              <w:rPr>
                <w:rFonts w:hint="eastAsia" w:ascii="宋体" w:hAnsi="宋体" w:eastAsia="宋体" w:cs="宋体"/>
                <w:color w:val="auto"/>
                <w:sz w:val="22"/>
                <w:szCs w:val="22"/>
                <w:lang w:val="en-US" w:eastAsia="zh-CN"/>
              </w:rPr>
              <w:t>系统</w:t>
            </w:r>
            <w:r>
              <w:rPr>
                <w:rFonts w:hint="eastAsia" w:ascii="宋体" w:hAnsi="宋体" w:eastAsia="宋体" w:cs="宋体"/>
                <w:color w:val="auto"/>
                <w:sz w:val="22"/>
                <w:szCs w:val="22"/>
                <w:lang w:eastAsia="zh-Hans"/>
              </w:rPr>
              <w:t>功能要求，需提供整体设计方案，功能设计方案，数据库</w:t>
            </w:r>
            <w:r>
              <w:rPr>
                <w:rFonts w:hint="eastAsia" w:ascii="宋体" w:hAnsi="宋体" w:eastAsia="宋体" w:cs="宋体"/>
                <w:color w:val="auto"/>
                <w:sz w:val="22"/>
                <w:szCs w:val="22"/>
              </w:rPr>
              <w:t>设计</w:t>
            </w:r>
            <w:r>
              <w:rPr>
                <w:rFonts w:hint="eastAsia" w:ascii="宋体" w:hAnsi="宋体" w:eastAsia="宋体" w:cs="宋体"/>
                <w:color w:val="auto"/>
                <w:sz w:val="22"/>
                <w:szCs w:val="22"/>
                <w:lang w:eastAsia="zh-Hans"/>
              </w:rPr>
              <w:t>方案，具体</w:t>
            </w:r>
            <w:r>
              <w:rPr>
                <w:rFonts w:hint="eastAsia" w:ascii="宋体" w:hAnsi="宋体" w:eastAsia="宋体" w:cs="宋体"/>
                <w:color w:val="auto"/>
                <w:sz w:val="22"/>
                <w:szCs w:val="22"/>
              </w:rPr>
              <w:t>内容</w:t>
            </w:r>
            <w:r>
              <w:rPr>
                <w:rFonts w:hint="eastAsia" w:ascii="宋体" w:hAnsi="宋体" w:eastAsia="宋体" w:cs="宋体"/>
                <w:color w:val="auto"/>
                <w:sz w:val="22"/>
                <w:szCs w:val="22"/>
                <w:lang w:eastAsia="zh-Hans"/>
              </w:rPr>
              <w:t>如下：</w:t>
            </w:r>
          </w:p>
          <w:p w14:paraId="3F553BE1">
            <w:pPr>
              <w:rPr>
                <w:rFonts w:hint="eastAsia" w:ascii="宋体" w:hAnsi="宋体" w:eastAsia="宋体" w:cs="宋体"/>
                <w:color w:val="auto"/>
                <w:sz w:val="22"/>
                <w:szCs w:val="22"/>
              </w:rPr>
            </w:pPr>
            <w:r>
              <w:rPr>
                <w:rFonts w:hint="eastAsia" w:ascii="宋体" w:hAnsi="宋体" w:eastAsia="宋体" w:cs="宋体"/>
                <w:color w:val="auto"/>
                <w:sz w:val="22"/>
                <w:szCs w:val="22"/>
              </w:rPr>
              <w:t>（一）整体设计方案</w:t>
            </w:r>
          </w:p>
          <w:p w14:paraId="560BB8A7">
            <w:pPr>
              <w:rPr>
                <w:rFonts w:hint="eastAsia" w:ascii="宋体" w:hAnsi="宋体" w:eastAsia="宋体" w:cs="宋体"/>
                <w:color w:val="auto"/>
                <w:sz w:val="22"/>
                <w:szCs w:val="22"/>
              </w:rPr>
            </w:pPr>
            <w:r>
              <w:rPr>
                <w:rFonts w:hint="eastAsia" w:ascii="宋体" w:hAnsi="宋体" w:eastAsia="宋体" w:cs="宋体"/>
                <w:color w:val="auto"/>
                <w:sz w:val="22"/>
                <w:szCs w:val="22"/>
              </w:rPr>
              <w:t>供应商根据采购需求，提供整体设计方案，方案须包含以下内容：</w:t>
            </w:r>
          </w:p>
          <w:p w14:paraId="11B3DB57">
            <w:pPr>
              <w:rPr>
                <w:rFonts w:hint="eastAsia" w:ascii="宋体" w:hAnsi="宋体" w:eastAsia="宋体" w:cs="宋体"/>
                <w:color w:val="auto"/>
                <w:sz w:val="22"/>
                <w:szCs w:val="22"/>
              </w:rPr>
            </w:pPr>
            <w:r>
              <w:rPr>
                <w:rFonts w:hint="eastAsia" w:ascii="宋体" w:hAnsi="宋体" w:eastAsia="宋体" w:cs="宋体"/>
                <w:color w:val="auto"/>
                <w:sz w:val="22"/>
                <w:szCs w:val="22"/>
              </w:rPr>
              <w:t>1.提供系统应用架构；</w:t>
            </w:r>
          </w:p>
          <w:p w14:paraId="7E1B9C2C">
            <w:pPr>
              <w:rPr>
                <w:rFonts w:hint="eastAsia" w:ascii="宋体" w:hAnsi="宋体" w:eastAsia="宋体" w:cs="宋体"/>
                <w:color w:val="auto"/>
                <w:sz w:val="22"/>
                <w:szCs w:val="22"/>
              </w:rPr>
            </w:pPr>
            <w:r>
              <w:rPr>
                <w:rFonts w:hint="eastAsia" w:ascii="宋体" w:hAnsi="宋体" w:eastAsia="宋体" w:cs="宋体"/>
                <w:color w:val="auto"/>
                <w:sz w:val="22"/>
                <w:szCs w:val="22"/>
              </w:rPr>
              <w:t>2.提供系统功能架构；</w:t>
            </w:r>
          </w:p>
          <w:p w14:paraId="2029DE2B">
            <w:pPr>
              <w:rPr>
                <w:rFonts w:hint="eastAsia" w:ascii="宋体" w:hAnsi="宋体" w:eastAsia="宋体" w:cs="宋体"/>
                <w:color w:val="auto"/>
                <w:sz w:val="22"/>
                <w:szCs w:val="22"/>
              </w:rPr>
            </w:pPr>
            <w:r>
              <w:rPr>
                <w:rFonts w:hint="eastAsia" w:ascii="宋体" w:hAnsi="宋体" w:eastAsia="宋体" w:cs="宋体"/>
                <w:color w:val="auto"/>
                <w:sz w:val="22"/>
                <w:szCs w:val="22"/>
              </w:rPr>
              <w:t>3提供架构设计方案。</w:t>
            </w:r>
          </w:p>
          <w:p w14:paraId="481EB2F6">
            <w:pPr>
              <w:rPr>
                <w:rFonts w:hint="eastAsia" w:ascii="宋体" w:hAnsi="宋体" w:eastAsia="宋体" w:cs="宋体"/>
                <w:color w:val="auto"/>
                <w:sz w:val="22"/>
                <w:szCs w:val="22"/>
              </w:rPr>
            </w:pPr>
            <w:r>
              <w:rPr>
                <w:rFonts w:hint="eastAsia" w:ascii="宋体" w:hAnsi="宋体" w:eastAsia="宋体" w:cs="宋体"/>
                <w:color w:val="auto"/>
                <w:sz w:val="22"/>
                <w:szCs w:val="22"/>
              </w:rPr>
              <w:t>满足以上3项要求得10分，未满足不得分。</w:t>
            </w:r>
          </w:p>
          <w:p w14:paraId="3648E754">
            <w:pPr>
              <w:rPr>
                <w:rFonts w:hint="eastAsia" w:ascii="宋体" w:hAnsi="宋体" w:eastAsia="宋体" w:cs="宋体"/>
                <w:color w:val="auto"/>
                <w:sz w:val="22"/>
                <w:szCs w:val="22"/>
              </w:rPr>
            </w:pPr>
            <w:r>
              <w:rPr>
                <w:rFonts w:hint="eastAsia" w:ascii="宋体" w:hAnsi="宋体" w:eastAsia="宋体" w:cs="宋体"/>
                <w:color w:val="auto"/>
                <w:sz w:val="22"/>
                <w:szCs w:val="22"/>
              </w:rPr>
              <w:t>（二）功能设计</w:t>
            </w:r>
            <w:r>
              <w:rPr>
                <w:rFonts w:hint="eastAsia" w:ascii="宋体" w:hAnsi="宋体" w:eastAsia="宋体" w:cs="宋体"/>
                <w:color w:val="auto"/>
                <w:sz w:val="22"/>
                <w:szCs w:val="22"/>
                <w:lang w:eastAsia="zh-Hans"/>
              </w:rPr>
              <w:t>方案</w:t>
            </w:r>
          </w:p>
          <w:p w14:paraId="6C43011F">
            <w:pPr>
              <w:rPr>
                <w:rFonts w:hint="eastAsia" w:ascii="宋体" w:hAnsi="宋体" w:eastAsia="宋体" w:cs="宋体"/>
                <w:color w:val="auto"/>
                <w:sz w:val="22"/>
                <w:szCs w:val="22"/>
              </w:rPr>
            </w:pPr>
            <w:r>
              <w:rPr>
                <w:rFonts w:hint="eastAsia" w:ascii="宋体" w:hAnsi="宋体" w:eastAsia="宋体" w:cs="宋体"/>
                <w:color w:val="auto"/>
                <w:sz w:val="22"/>
                <w:szCs w:val="22"/>
              </w:rPr>
              <w:t>供应商</w:t>
            </w:r>
            <w:r>
              <w:rPr>
                <w:rFonts w:hint="eastAsia" w:ascii="宋体" w:hAnsi="宋体" w:eastAsia="宋体" w:cs="宋体"/>
                <w:color w:val="auto"/>
                <w:sz w:val="22"/>
                <w:szCs w:val="22"/>
                <w:lang w:eastAsia="zh-Hans"/>
              </w:rPr>
              <w:t>根据采购需求</w:t>
            </w:r>
            <w:r>
              <w:rPr>
                <w:rFonts w:hint="eastAsia" w:ascii="宋体" w:hAnsi="宋体" w:eastAsia="宋体" w:cs="宋体"/>
                <w:color w:val="auto"/>
                <w:sz w:val="22"/>
                <w:szCs w:val="22"/>
              </w:rPr>
              <w:t>，</w:t>
            </w:r>
            <w:r>
              <w:rPr>
                <w:rFonts w:hint="eastAsia" w:ascii="宋体" w:hAnsi="宋体" w:eastAsia="宋体" w:cs="宋体"/>
                <w:color w:val="auto"/>
                <w:sz w:val="22"/>
                <w:szCs w:val="22"/>
                <w:lang w:eastAsia="zh-Hans"/>
              </w:rPr>
              <w:t>提供</w:t>
            </w:r>
            <w:r>
              <w:rPr>
                <w:rFonts w:hint="eastAsia" w:ascii="宋体" w:hAnsi="宋体" w:eastAsia="宋体" w:cs="宋体"/>
                <w:color w:val="auto"/>
                <w:sz w:val="22"/>
                <w:szCs w:val="22"/>
              </w:rPr>
              <w:t>功能</w:t>
            </w:r>
            <w:r>
              <w:rPr>
                <w:rFonts w:hint="eastAsia" w:ascii="宋体" w:hAnsi="宋体" w:eastAsia="宋体" w:cs="宋体"/>
                <w:color w:val="auto"/>
                <w:sz w:val="22"/>
                <w:szCs w:val="22"/>
                <w:lang w:eastAsia="zh-Hans"/>
              </w:rPr>
              <w:t>设计方案</w:t>
            </w:r>
            <w:r>
              <w:rPr>
                <w:rFonts w:hint="eastAsia" w:ascii="宋体" w:hAnsi="宋体" w:eastAsia="宋体" w:cs="宋体"/>
                <w:color w:val="auto"/>
                <w:sz w:val="22"/>
                <w:szCs w:val="22"/>
              </w:rPr>
              <w:t>，方案须包含以下内容且均需提供系统截图：</w:t>
            </w:r>
          </w:p>
          <w:p w14:paraId="6C25124D">
            <w:pPr>
              <w:rPr>
                <w:rFonts w:hint="eastAsia" w:ascii="宋体" w:hAnsi="宋体" w:eastAsia="宋体" w:cs="宋体"/>
                <w:color w:val="auto"/>
                <w:sz w:val="22"/>
                <w:szCs w:val="22"/>
              </w:rPr>
            </w:pPr>
            <w:r>
              <w:rPr>
                <w:rFonts w:hint="eastAsia" w:ascii="宋体" w:hAnsi="宋体" w:eastAsia="宋体" w:cs="宋体"/>
                <w:color w:val="auto"/>
                <w:sz w:val="22"/>
                <w:szCs w:val="22"/>
              </w:rPr>
              <w:t>1.</w:t>
            </w:r>
            <w:r>
              <w:rPr>
                <w:rFonts w:hint="eastAsia" w:ascii="宋体" w:hAnsi="宋体" w:eastAsia="宋体" w:cs="宋体"/>
                <w:color w:val="auto"/>
                <w:sz w:val="22"/>
                <w:szCs w:val="22"/>
                <w:lang w:eastAsia="zh-Hans"/>
              </w:rPr>
              <w:t>能提供</w:t>
            </w:r>
            <w:r>
              <w:rPr>
                <w:rFonts w:hint="eastAsia" w:ascii="宋体" w:hAnsi="宋体" w:eastAsia="宋体" w:cs="宋体"/>
                <w:color w:val="auto"/>
                <w:sz w:val="22"/>
                <w:szCs w:val="22"/>
              </w:rPr>
              <w:t>基础管理子系统功能；</w:t>
            </w:r>
          </w:p>
          <w:p w14:paraId="0556C950">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rPr>
              <w:t>2.能提供用户管理子系统功能；</w:t>
            </w:r>
          </w:p>
          <w:p w14:paraId="678E0877">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rPr>
              <w:t>3.</w:t>
            </w:r>
            <w:r>
              <w:rPr>
                <w:rFonts w:hint="eastAsia" w:ascii="宋体" w:hAnsi="宋体" w:eastAsia="宋体" w:cs="宋体"/>
                <w:color w:val="auto"/>
                <w:sz w:val="22"/>
                <w:szCs w:val="22"/>
                <w:lang w:eastAsia="zh-Hans"/>
              </w:rPr>
              <w:t>能提供</w:t>
            </w:r>
            <w:r>
              <w:rPr>
                <w:rFonts w:hint="eastAsia" w:ascii="宋体" w:hAnsi="宋体" w:eastAsia="宋体" w:cs="宋体"/>
                <w:color w:val="auto"/>
                <w:sz w:val="22"/>
                <w:szCs w:val="22"/>
              </w:rPr>
              <w:t>招标管理子系统功能</w:t>
            </w:r>
            <w:r>
              <w:rPr>
                <w:rFonts w:hint="eastAsia" w:ascii="宋体" w:hAnsi="宋体" w:eastAsia="宋体" w:cs="宋体"/>
                <w:color w:val="auto"/>
                <w:sz w:val="22"/>
                <w:szCs w:val="22"/>
                <w:lang w:eastAsia="zh-Hans"/>
              </w:rPr>
              <w:t>；</w:t>
            </w:r>
          </w:p>
          <w:p w14:paraId="3E3BCD2F">
            <w:pPr>
              <w:rPr>
                <w:rFonts w:hint="eastAsia" w:ascii="宋体" w:hAnsi="宋体" w:eastAsia="宋体" w:cs="宋体"/>
                <w:color w:val="auto"/>
                <w:sz w:val="22"/>
                <w:szCs w:val="22"/>
              </w:rPr>
            </w:pPr>
            <w:r>
              <w:rPr>
                <w:rFonts w:hint="eastAsia" w:ascii="宋体" w:hAnsi="宋体" w:eastAsia="宋体" w:cs="宋体"/>
                <w:color w:val="auto"/>
                <w:sz w:val="22"/>
                <w:szCs w:val="22"/>
                <w:lang w:eastAsia="zh-Hans"/>
              </w:rPr>
              <w:t>4.能提供</w:t>
            </w:r>
            <w:r>
              <w:rPr>
                <w:rFonts w:hint="eastAsia" w:ascii="宋体" w:hAnsi="宋体" w:eastAsia="宋体" w:cs="宋体"/>
                <w:color w:val="auto"/>
                <w:sz w:val="22"/>
                <w:szCs w:val="22"/>
              </w:rPr>
              <w:t>在线交易管理子系统功能；</w:t>
            </w:r>
          </w:p>
          <w:p w14:paraId="285BB6C5">
            <w:pPr>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5</w:t>
            </w:r>
            <w:r>
              <w:rPr>
                <w:rFonts w:hint="eastAsia" w:ascii="宋体" w:hAnsi="宋体" w:eastAsia="宋体" w:cs="宋体"/>
                <w:color w:val="auto"/>
                <w:sz w:val="22"/>
                <w:szCs w:val="22"/>
                <w:lang w:eastAsia="zh-Hans"/>
              </w:rPr>
              <w:t>.能提供</w:t>
            </w:r>
            <w:r>
              <w:rPr>
                <w:rFonts w:hint="eastAsia" w:ascii="宋体" w:hAnsi="宋体" w:eastAsia="宋体" w:cs="宋体"/>
                <w:color w:val="auto"/>
                <w:sz w:val="22"/>
                <w:szCs w:val="22"/>
              </w:rPr>
              <w:t>申投诉管理子系统功能；</w:t>
            </w:r>
          </w:p>
          <w:p w14:paraId="454303D7">
            <w:pP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6</w:t>
            </w:r>
            <w:r>
              <w:rPr>
                <w:rFonts w:hint="eastAsia" w:ascii="宋体" w:hAnsi="宋体" w:eastAsia="宋体" w:cs="宋体"/>
                <w:color w:val="auto"/>
                <w:sz w:val="22"/>
                <w:szCs w:val="22"/>
                <w:highlight w:val="none"/>
                <w:lang w:eastAsia="zh-Hans"/>
              </w:rPr>
              <w:t>.能提供</w:t>
            </w:r>
            <w:r>
              <w:rPr>
                <w:rFonts w:hint="eastAsia" w:ascii="宋体" w:hAnsi="宋体" w:eastAsia="宋体" w:cs="宋体"/>
                <w:color w:val="auto"/>
                <w:sz w:val="22"/>
                <w:szCs w:val="22"/>
                <w:highlight w:val="none"/>
                <w:lang w:val="en-US" w:eastAsia="zh-CN"/>
              </w:rPr>
              <w:t>医药价格和招采</w:t>
            </w:r>
            <w:r>
              <w:rPr>
                <w:rFonts w:hint="eastAsia" w:ascii="宋体" w:hAnsi="宋体" w:eastAsia="宋体" w:cs="宋体"/>
                <w:color w:val="auto"/>
                <w:sz w:val="22"/>
                <w:szCs w:val="22"/>
                <w:highlight w:val="none"/>
              </w:rPr>
              <w:t>信用评价管理子系统功能；</w:t>
            </w:r>
          </w:p>
          <w:p w14:paraId="2553C647">
            <w:pP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7</w:t>
            </w:r>
            <w:r>
              <w:rPr>
                <w:rFonts w:hint="eastAsia" w:ascii="宋体" w:hAnsi="宋体" w:eastAsia="宋体" w:cs="宋体"/>
                <w:color w:val="auto"/>
                <w:sz w:val="22"/>
                <w:szCs w:val="22"/>
                <w:highlight w:val="none"/>
                <w:lang w:eastAsia="zh-Hans"/>
              </w:rPr>
              <w:t>.能提供药品不良反应信息收集子系统功能</w:t>
            </w:r>
            <w:r>
              <w:rPr>
                <w:rFonts w:hint="eastAsia" w:ascii="宋体" w:hAnsi="宋体" w:eastAsia="宋体" w:cs="宋体"/>
                <w:color w:val="auto"/>
                <w:sz w:val="22"/>
                <w:szCs w:val="22"/>
                <w:highlight w:val="none"/>
              </w:rPr>
              <w:t>；</w:t>
            </w:r>
          </w:p>
          <w:p w14:paraId="36B2DC55">
            <w:pPr>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8</w:t>
            </w:r>
            <w:r>
              <w:rPr>
                <w:rFonts w:hint="eastAsia" w:ascii="宋体" w:hAnsi="宋体" w:eastAsia="宋体" w:cs="宋体"/>
                <w:color w:val="auto"/>
                <w:sz w:val="22"/>
                <w:szCs w:val="22"/>
                <w:lang w:eastAsia="zh-Hans"/>
              </w:rPr>
              <w:t>.能提供</w:t>
            </w:r>
            <w:r>
              <w:rPr>
                <w:rFonts w:hint="eastAsia" w:ascii="宋体" w:hAnsi="宋体" w:eastAsia="宋体" w:cs="宋体"/>
                <w:color w:val="auto"/>
                <w:sz w:val="22"/>
                <w:szCs w:val="22"/>
              </w:rPr>
              <w:t>两票制管理子系统功能；</w:t>
            </w:r>
          </w:p>
          <w:p w14:paraId="6AD4C188">
            <w:pPr>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9</w:t>
            </w:r>
            <w:r>
              <w:rPr>
                <w:rFonts w:hint="eastAsia" w:ascii="宋体" w:hAnsi="宋体" w:eastAsia="宋体" w:cs="宋体"/>
                <w:color w:val="auto"/>
                <w:sz w:val="22"/>
                <w:szCs w:val="22"/>
                <w:lang w:eastAsia="zh-Hans"/>
              </w:rPr>
              <w:t>.能提供</w:t>
            </w:r>
            <w:r>
              <w:rPr>
                <w:rFonts w:hint="eastAsia" w:ascii="宋体" w:hAnsi="宋体" w:eastAsia="宋体" w:cs="宋体"/>
                <w:color w:val="auto"/>
                <w:sz w:val="22"/>
                <w:szCs w:val="22"/>
              </w:rPr>
              <w:t>公共服务管理子系统功能；</w:t>
            </w:r>
          </w:p>
          <w:p w14:paraId="5D8E2362">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lang w:eastAsia="zh-Hans"/>
              </w:rPr>
              <w:t>1</w:t>
            </w:r>
            <w:r>
              <w:rPr>
                <w:rFonts w:hint="eastAsia" w:ascii="宋体" w:hAnsi="宋体" w:eastAsia="宋体" w:cs="宋体"/>
                <w:color w:val="auto"/>
                <w:sz w:val="22"/>
                <w:szCs w:val="22"/>
                <w:lang w:val="en-US" w:eastAsia="zh-CN"/>
              </w:rPr>
              <w:t>0</w:t>
            </w:r>
            <w:r>
              <w:rPr>
                <w:rFonts w:hint="eastAsia" w:ascii="宋体" w:hAnsi="宋体" w:eastAsia="宋体" w:cs="宋体"/>
                <w:color w:val="auto"/>
                <w:sz w:val="22"/>
                <w:szCs w:val="22"/>
                <w:lang w:eastAsia="zh-Hans"/>
              </w:rPr>
              <w:t>.能提供</w:t>
            </w:r>
            <w:r>
              <w:rPr>
                <w:rFonts w:hint="eastAsia" w:ascii="宋体" w:hAnsi="宋体" w:eastAsia="宋体" w:cs="宋体"/>
                <w:color w:val="auto"/>
                <w:sz w:val="22"/>
                <w:szCs w:val="22"/>
              </w:rPr>
              <w:t>微信服务公众号</w:t>
            </w:r>
            <w:r>
              <w:rPr>
                <w:rFonts w:hint="eastAsia" w:ascii="宋体" w:hAnsi="宋体" w:eastAsia="宋体" w:cs="宋体"/>
                <w:color w:val="auto"/>
                <w:sz w:val="22"/>
                <w:szCs w:val="22"/>
                <w:lang w:eastAsia="zh-Hans"/>
              </w:rPr>
              <w:t>服务</w:t>
            </w:r>
            <w:r>
              <w:rPr>
                <w:rFonts w:hint="eastAsia" w:ascii="宋体" w:hAnsi="宋体" w:eastAsia="宋体" w:cs="宋体"/>
                <w:color w:val="auto"/>
                <w:sz w:val="22"/>
                <w:szCs w:val="22"/>
              </w:rPr>
              <w:t>；</w:t>
            </w:r>
          </w:p>
          <w:p w14:paraId="7A23DD6D">
            <w:pPr>
              <w:rPr>
                <w:rFonts w:hint="eastAsia" w:ascii="宋体" w:hAnsi="宋体" w:eastAsia="宋体" w:cs="宋体"/>
                <w:color w:val="auto"/>
                <w:sz w:val="22"/>
                <w:szCs w:val="22"/>
              </w:rPr>
            </w:pPr>
            <w:r>
              <w:rPr>
                <w:rFonts w:hint="eastAsia" w:ascii="宋体" w:hAnsi="宋体" w:eastAsia="宋体" w:cs="宋体"/>
                <w:color w:val="auto"/>
                <w:sz w:val="22"/>
                <w:szCs w:val="22"/>
              </w:rPr>
              <w:t>1</w:t>
            </w:r>
            <w:r>
              <w:rPr>
                <w:rFonts w:hint="eastAsia" w:ascii="宋体" w:hAnsi="宋体" w:eastAsia="宋体" w:cs="宋体"/>
                <w:color w:val="auto"/>
                <w:sz w:val="22"/>
                <w:szCs w:val="22"/>
                <w:lang w:val="en-US" w:eastAsia="zh-CN"/>
              </w:rPr>
              <w:t>1</w:t>
            </w:r>
            <w:r>
              <w:rPr>
                <w:rFonts w:hint="eastAsia" w:ascii="宋体" w:hAnsi="宋体" w:eastAsia="宋体" w:cs="宋体"/>
                <w:color w:val="auto"/>
                <w:sz w:val="22"/>
                <w:szCs w:val="22"/>
              </w:rPr>
              <w:t>能提供微信小程序</w:t>
            </w:r>
            <w:r>
              <w:rPr>
                <w:rFonts w:hint="eastAsia" w:ascii="宋体" w:hAnsi="宋体" w:eastAsia="宋体" w:cs="宋体"/>
                <w:color w:val="auto"/>
                <w:sz w:val="22"/>
                <w:szCs w:val="22"/>
                <w:lang w:eastAsia="zh-Hans"/>
              </w:rPr>
              <w:t>服务</w:t>
            </w:r>
            <w:r>
              <w:rPr>
                <w:rFonts w:hint="eastAsia" w:ascii="宋体" w:hAnsi="宋体" w:eastAsia="宋体" w:cs="宋体"/>
                <w:color w:val="auto"/>
                <w:sz w:val="22"/>
                <w:szCs w:val="22"/>
              </w:rPr>
              <w:t>功能；</w:t>
            </w:r>
          </w:p>
          <w:p w14:paraId="2918C40A">
            <w:pPr>
              <w:rPr>
                <w:rFonts w:hint="eastAsia" w:ascii="宋体" w:hAnsi="宋体" w:eastAsia="宋体" w:cs="宋体"/>
                <w:color w:val="auto"/>
                <w:sz w:val="22"/>
                <w:szCs w:val="22"/>
              </w:rPr>
            </w:pPr>
            <w:r>
              <w:rPr>
                <w:rFonts w:hint="eastAsia" w:ascii="宋体" w:hAnsi="宋体" w:eastAsia="宋体" w:cs="宋体"/>
                <w:color w:val="auto"/>
                <w:sz w:val="22"/>
                <w:szCs w:val="22"/>
                <w:lang w:eastAsia="zh-Hans"/>
              </w:rPr>
              <w:t>1</w:t>
            </w:r>
            <w:r>
              <w:rPr>
                <w:rFonts w:hint="eastAsia" w:ascii="宋体" w:hAnsi="宋体" w:eastAsia="宋体" w:cs="宋体"/>
                <w:color w:val="auto"/>
                <w:sz w:val="22"/>
                <w:szCs w:val="22"/>
                <w:lang w:val="en-US" w:eastAsia="zh-CN"/>
              </w:rPr>
              <w:t>2</w:t>
            </w:r>
            <w:r>
              <w:rPr>
                <w:rFonts w:hint="eastAsia" w:ascii="宋体" w:hAnsi="宋体" w:eastAsia="宋体" w:cs="宋体"/>
                <w:color w:val="auto"/>
                <w:sz w:val="22"/>
                <w:szCs w:val="22"/>
                <w:lang w:eastAsia="zh-Hans"/>
              </w:rPr>
              <w:t>.能提供数据共享协同监管</w:t>
            </w:r>
            <w:r>
              <w:rPr>
                <w:rFonts w:hint="eastAsia" w:ascii="宋体" w:hAnsi="宋体" w:eastAsia="宋体" w:cs="宋体"/>
                <w:color w:val="auto"/>
                <w:sz w:val="22"/>
                <w:szCs w:val="22"/>
                <w:lang w:val="en-US" w:eastAsia="zh-CN"/>
              </w:rPr>
              <w:t>子系统</w:t>
            </w:r>
            <w:r>
              <w:rPr>
                <w:rFonts w:hint="eastAsia" w:ascii="宋体" w:hAnsi="宋体" w:eastAsia="宋体" w:cs="宋体"/>
                <w:color w:val="auto"/>
                <w:sz w:val="22"/>
                <w:szCs w:val="22"/>
                <w:lang w:eastAsia="zh-Hans"/>
              </w:rPr>
              <w:t>功能</w:t>
            </w:r>
            <w:r>
              <w:rPr>
                <w:rFonts w:hint="eastAsia" w:ascii="宋体" w:hAnsi="宋体" w:eastAsia="宋体" w:cs="宋体"/>
                <w:color w:val="auto"/>
                <w:sz w:val="22"/>
                <w:szCs w:val="22"/>
              </w:rPr>
              <w:t>；</w:t>
            </w:r>
          </w:p>
          <w:p w14:paraId="40F3E008">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lang w:eastAsia="zh-Hans"/>
              </w:rPr>
              <w:t>1</w:t>
            </w:r>
            <w:r>
              <w:rPr>
                <w:rFonts w:hint="eastAsia" w:ascii="宋体" w:hAnsi="宋体" w:eastAsia="宋体" w:cs="宋体"/>
                <w:color w:val="auto"/>
                <w:sz w:val="22"/>
                <w:szCs w:val="22"/>
                <w:lang w:val="en-US" w:eastAsia="zh-CN"/>
              </w:rPr>
              <w:t>3</w:t>
            </w:r>
            <w:r>
              <w:rPr>
                <w:rFonts w:hint="eastAsia" w:ascii="宋体" w:hAnsi="宋体" w:eastAsia="宋体" w:cs="宋体"/>
                <w:color w:val="auto"/>
                <w:sz w:val="22"/>
                <w:szCs w:val="22"/>
                <w:lang w:eastAsia="zh-Hans"/>
              </w:rPr>
              <w:t>.能提供带量采购监管分析子系统功能；</w:t>
            </w:r>
          </w:p>
          <w:p w14:paraId="4A3B03DC">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lang w:eastAsia="zh-Hans"/>
              </w:rPr>
              <w:t>14.能提供短缺药监管分析子系统功能；</w:t>
            </w:r>
          </w:p>
          <w:p w14:paraId="67A8A321">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lang w:eastAsia="zh-Hans"/>
              </w:rPr>
              <w:t>15.能提供药品价格监管分析子系统功能；</w:t>
            </w:r>
          </w:p>
          <w:p w14:paraId="25CBDEB6">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lang w:eastAsia="zh-Hans"/>
              </w:rPr>
              <w:t>16.能提供督办管理子系统功能；</w:t>
            </w:r>
          </w:p>
          <w:p w14:paraId="6A55857F">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lang w:eastAsia="zh-Hans"/>
              </w:rPr>
              <w:t>17.能提供供应配送管理子系统功能；</w:t>
            </w:r>
          </w:p>
          <w:p w14:paraId="6105D89F">
            <w:pPr>
              <w:rPr>
                <w:rFonts w:hint="eastAsia" w:ascii="宋体" w:hAnsi="宋体" w:eastAsia="宋体" w:cs="宋体"/>
                <w:color w:val="auto"/>
                <w:sz w:val="22"/>
                <w:szCs w:val="22"/>
              </w:rPr>
            </w:pPr>
            <w:r>
              <w:rPr>
                <w:rFonts w:hint="eastAsia" w:ascii="宋体" w:hAnsi="宋体" w:eastAsia="宋体" w:cs="宋体"/>
                <w:color w:val="auto"/>
                <w:sz w:val="22"/>
                <w:szCs w:val="22"/>
                <w:lang w:eastAsia="zh-Hans"/>
              </w:rPr>
              <w:t>1</w:t>
            </w:r>
            <w:r>
              <w:rPr>
                <w:rFonts w:hint="eastAsia" w:ascii="宋体" w:hAnsi="宋体" w:eastAsia="宋体" w:cs="宋体"/>
                <w:color w:val="auto"/>
                <w:sz w:val="22"/>
                <w:szCs w:val="22"/>
                <w:lang w:val="en-US" w:eastAsia="zh-CN"/>
              </w:rPr>
              <w:t>8</w:t>
            </w:r>
            <w:r>
              <w:rPr>
                <w:rFonts w:hint="eastAsia" w:ascii="宋体" w:hAnsi="宋体" w:eastAsia="宋体" w:cs="宋体"/>
                <w:color w:val="auto"/>
                <w:sz w:val="22"/>
                <w:szCs w:val="22"/>
                <w:lang w:eastAsia="zh-Hans"/>
              </w:rPr>
              <w:t>.能提供国采可替代药品监管分析子系统功能</w:t>
            </w:r>
            <w:r>
              <w:rPr>
                <w:rFonts w:hint="eastAsia" w:ascii="宋体" w:hAnsi="宋体" w:eastAsia="宋体" w:cs="宋体"/>
                <w:color w:val="auto"/>
                <w:sz w:val="22"/>
                <w:szCs w:val="22"/>
                <w:lang w:eastAsia="zh-CN"/>
              </w:rPr>
              <w:t>。</w:t>
            </w:r>
          </w:p>
          <w:p w14:paraId="0B8CE887">
            <w:pPr>
              <w:rPr>
                <w:rFonts w:hint="eastAsia" w:ascii="宋体" w:hAnsi="宋体" w:eastAsia="宋体" w:cs="宋体"/>
                <w:color w:val="auto"/>
                <w:sz w:val="22"/>
                <w:szCs w:val="22"/>
              </w:rPr>
            </w:pPr>
            <w:r>
              <w:rPr>
                <w:rFonts w:hint="eastAsia" w:ascii="宋体" w:hAnsi="宋体" w:eastAsia="宋体" w:cs="宋体"/>
                <w:color w:val="auto"/>
                <w:sz w:val="22"/>
                <w:szCs w:val="22"/>
              </w:rPr>
              <w:t>满足以上1</w:t>
            </w:r>
            <w:r>
              <w:rPr>
                <w:rFonts w:hint="eastAsia" w:ascii="宋体" w:hAnsi="宋体" w:eastAsia="宋体" w:cs="宋体"/>
                <w:color w:val="auto"/>
                <w:sz w:val="22"/>
                <w:szCs w:val="22"/>
                <w:lang w:val="en-US" w:eastAsia="zh-CN"/>
              </w:rPr>
              <w:t>8</w:t>
            </w:r>
            <w:r>
              <w:rPr>
                <w:rFonts w:hint="eastAsia" w:ascii="宋体" w:hAnsi="宋体" w:eastAsia="宋体" w:cs="宋体"/>
                <w:color w:val="auto"/>
                <w:sz w:val="22"/>
                <w:szCs w:val="22"/>
              </w:rPr>
              <w:t>项要求得</w:t>
            </w:r>
            <w:r>
              <w:rPr>
                <w:rFonts w:hint="eastAsia" w:ascii="宋体" w:hAnsi="宋体" w:eastAsia="宋体" w:cs="宋体"/>
                <w:color w:val="auto"/>
                <w:sz w:val="22"/>
                <w:szCs w:val="22"/>
                <w:lang w:val="en-US" w:eastAsia="zh-CN"/>
              </w:rPr>
              <w:t>50</w:t>
            </w:r>
            <w:r>
              <w:rPr>
                <w:rFonts w:hint="eastAsia" w:ascii="宋体" w:hAnsi="宋体" w:eastAsia="宋体" w:cs="宋体"/>
                <w:color w:val="auto"/>
                <w:sz w:val="22"/>
                <w:szCs w:val="22"/>
              </w:rPr>
              <w:t>分，每不满足以上1项扣</w:t>
            </w:r>
            <w:r>
              <w:rPr>
                <w:rFonts w:hint="eastAsia" w:ascii="宋体" w:hAnsi="宋体" w:eastAsia="宋体" w:cs="宋体"/>
                <w:color w:val="auto"/>
                <w:sz w:val="22"/>
                <w:szCs w:val="22"/>
                <w:lang w:val="en-US" w:eastAsia="zh-CN"/>
              </w:rPr>
              <w:t>10</w:t>
            </w:r>
            <w:r>
              <w:rPr>
                <w:rFonts w:hint="eastAsia" w:ascii="宋体" w:hAnsi="宋体" w:eastAsia="宋体" w:cs="宋体"/>
                <w:color w:val="auto"/>
                <w:sz w:val="22"/>
                <w:szCs w:val="22"/>
              </w:rPr>
              <w:t>分，扣完为止。</w:t>
            </w:r>
          </w:p>
          <w:p w14:paraId="2166B303">
            <w:pPr>
              <w:rPr>
                <w:rFonts w:hint="eastAsia" w:ascii="宋体" w:hAnsi="宋体" w:eastAsia="宋体" w:cs="宋体"/>
                <w:color w:val="auto"/>
                <w:sz w:val="22"/>
                <w:szCs w:val="22"/>
              </w:rPr>
            </w:pPr>
            <w:r>
              <w:rPr>
                <w:rFonts w:hint="eastAsia" w:ascii="宋体" w:hAnsi="宋体" w:eastAsia="宋体" w:cs="宋体"/>
                <w:color w:val="auto"/>
                <w:sz w:val="22"/>
                <w:szCs w:val="22"/>
              </w:rPr>
              <w:t>（三）数据库设计</w:t>
            </w:r>
          </w:p>
          <w:p w14:paraId="21F141D6">
            <w:pPr>
              <w:rPr>
                <w:rFonts w:hint="eastAsia" w:ascii="宋体" w:hAnsi="宋体" w:eastAsia="宋体" w:cs="宋体"/>
                <w:color w:val="auto"/>
                <w:sz w:val="22"/>
                <w:szCs w:val="22"/>
              </w:rPr>
            </w:pPr>
            <w:r>
              <w:rPr>
                <w:rFonts w:hint="eastAsia" w:ascii="宋体" w:hAnsi="宋体" w:eastAsia="宋体" w:cs="宋体"/>
                <w:color w:val="auto"/>
                <w:sz w:val="22"/>
                <w:szCs w:val="22"/>
              </w:rPr>
              <w:t>供应商根据采购需求，提供数据库设计方案，方案须包含以下内容：</w:t>
            </w:r>
          </w:p>
          <w:p w14:paraId="032F1B5D">
            <w:pPr>
              <w:rPr>
                <w:rFonts w:hint="eastAsia" w:ascii="宋体" w:hAnsi="宋体" w:eastAsia="宋体" w:cs="宋体"/>
                <w:color w:val="auto"/>
                <w:sz w:val="22"/>
                <w:szCs w:val="22"/>
              </w:rPr>
            </w:pPr>
            <w:r>
              <w:rPr>
                <w:rFonts w:hint="eastAsia" w:ascii="宋体" w:hAnsi="宋体" w:eastAsia="宋体" w:cs="宋体"/>
                <w:color w:val="auto"/>
                <w:sz w:val="22"/>
                <w:szCs w:val="22"/>
              </w:rPr>
              <w:t>1.数据库支持读写分离；</w:t>
            </w:r>
          </w:p>
          <w:p w14:paraId="36D2B46A">
            <w:pPr>
              <w:rPr>
                <w:rFonts w:hint="eastAsia" w:ascii="宋体" w:hAnsi="宋体" w:eastAsia="宋体" w:cs="宋体"/>
                <w:color w:val="auto"/>
                <w:sz w:val="22"/>
                <w:szCs w:val="22"/>
              </w:rPr>
            </w:pPr>
            <w:r>
              <w:rPr>
                <w:rFonts w:hint="eastAsia" w:ascii="宋体" w:hAnsi="宋体" w:eastAsia="宋体" w:cs="宋体"/>
                <w:color w:val="auto"/>
                <w:sz w:val="22"/>
                <w:szCs w:val="22"/>
              </w:rPr>
              <w:t>2.提供数据库主备与数据库灾备；</w:t>
            </w:r>
          </w:p>
          <w:p w14:paraId="668993FE">
            <w:pPr>
              <w:rPr>
                <w:rFonts w:hint="eastAsia" w:ascii="宋体" w:hAnsi="宋体" w:eastAsia="宋体" w:cs="宋体"/>
                <w:color w:val="auto"/>
                <w:sz w:val="22"/>
                <w:szCs w:val="22"/>
              </w:rPr>
            </w:pPr>
            <w:r>
              <w:rPr>
                <w:rFonts w:hint="eastAsia" w:ascii="宋体" w:hAnsi="宋体" w:eastAsia="宋体" w:cs="宋体"/>
                <w:color w:val="auto"/>
                <w:sz w:val="22"/>
                <w:szCs w:val="22"/>
              </w:rPr>
              <w:t>3.提供基于非关系型数据库的缓存方案；</w:t>
            </w:r>
          </w:p>
          <w:p w14:paraId="7D282DCF">
            <w:pPr>
              <w:rPr>
                <w:rFonts w:hint="eastAsia" w:ascii="宋体" w:hAnsi="宋体" w:eastAsia="宋体" w:cs="宋体"/>
                <w:color w:val="auto"/>
                <w:sz w:val="22"/>
                <w:szCs w:val="22"/>
              </w:rPr>
            </w:pPr>
            <w:r>
              <w:rPr>
                <w:rFonts w:hint="eastAsia" w:ascii="宋体" w:hAnsi="宋体" w:eastAsia="宋体" w:cs="宋体"/>
                <w:color w:val="auto"/>
                <w:sz w:val="22"/>
                <w:szCs w:val="22"/>
              </w:rPr>
              <w:t>4.提供基于非关系型数据库的分布式锁方案。</w:t>
            </w:r>
          </w:p>
          <w:p w14:paraId="6DAB2BC6">
            <w:pPr>
              <w:rPr>
                <w:rFonts w:hint="eastAsia" w:ascii="宋体" w:hAnsi="宋体" w:eastAsia="宋体" w:cs="宋体"/>
                <w:color w:val="auto"/>
                <w:sz w:val="22"/>
                <w:szCs w:val="22"/>
              </w:rPr>
            </w:pPr>
            <w:r>
              <w:rPr>
                <w:rFonts w:hint="eastAsia" w:ascii="宋体" w:hAnsi="宋体" w:eastAsia="宋体" w:cs="宋体"/>
                <w:color w:val="auto"/>
                <w:sz w:val="22"/>
                <w:szCs w:val="22"/>
              </w:rPr>
              <w:t>满足以上4项要求得</w:t>
            </w:r>
            <w:r>
              <w:rPr>
                <w:rFonts w:hint="eastAsia" w:ascii="宋体" w:hAnsi="宋体" w:eastAsia="宋体" w:cs="宋体"/>
                <w:color w:val="auto"/>
                <w:sz w:val="22"/>
                <w:szCs w:val="22"/>
                <w:lang w:val="en-US" w:eastAsia="zh-CN"/>
              </w:rPr>
              <w:t>15</w:t>
            </w:r>
            <w:r>
              <w:rPr>
                <w:rFonts w:hint="eastAsia" w:ascii="宋体" w:hAnsi="宋体" w:eastAsia="宋体" w:cs="宋体"/>
                <w:color w:val="auto"/>
                <w:sz w:val="22"/>
                <w:szCs w:val="22"/>
              </w:rPr>
              <w:t>分，每不满足以上1项扣5分，扣完为止。</w:t>
            </w:r>
          </w:p>
          <w:p w14:paraId="5F15D0B8">
            <w:pP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以上3项内容累计计算，最高得75分。在此基础上，专家根据各供应商的具体响应内容进行综合评价，评审为优（如</w:t>
            </w:r>
            <w:r>
              <w:rPr>
                <w:rFonts w:hint="eastAsia" w:ascii="宋体" w:hAnsi="宋体" w:eastAsia="宋体" w:cs="宋体"/>
                <w:color w:val="auto"/>
                <w:sz w:val="22"/>
                <w:szCs w:val="22"/>
                <w:lang w:eastAsia="zh-Hans"/>
              </w:rPr>
              <w:t>平台</w:t>
            </w:r>
            <w:r>
              <w:rPr>
                <w:rFonts w:hint="eastAsia" w:ascii="宋体" w:hAnsi="宋体" w:eastAsia="宋体" w:cs="宋体"/>
                <w:color w:val="auto"/>
                <w:sz w:val="22"/>
                <w:szCs w:val="22"/>
                <w:lang w:val="en-US" w:eastAsia="zh-CN"/>
              </w:rPr>
              <w:t>系统</w:t>
            </w:r>
            <w:r>
              <w:rPr>
                <w:rFonts w:hint="eastAsia" w:ascii="宋体" w:hAnsi="宋体" w:eastAsia="宋体" w:cs="宋体"/>
                <w:color w:val="auto"/>
                <w:sz w:val="22"/>
                <w:szCs w:val="22"/>
                <w:lang w:eastAsia="zh-Hans"/>
              </w:rPr>
              <w:t>设计</w:t>
            </w:r>
            <w:r>
              <w:rPr>
                <w:rFonts w:hint="eastAsia" w:ascii="宋体" w:hAnsi="宋体" w:eastAsia="宋体" w:cs="宋体"/>
                <w:color w:val="auto"/>
                <w:sz w:val="22"/>
                <w:szCs w:val="22"/>
              </w:rPr>
              <w:t>方案完备、应对措施具体、相关的合理化建议针对性强）的加25分；评审为良（如</w:t>
            </w:r>
            <w:r>
              <w:rPr>
                <w:rFonts w:hint="eastAsia" w:ascii="宋体" w:hAnsi="宋体" w:eastAsia="宋体" w:cs="宋体"/>
                <w:color w:val="auto"/>
                <w:sz w:val="22"/>
                <w:szCs w:val="22"/>
                <w:lang w:eastAsia="zh-Hans"/>
              </w:rPr>
              <w:t>平台</w:t>
            </w:r>
            <w:r>
              <w:rPr>
                <w:rFonts w:hint="eastAsia" w:ascii="宋体" w:hAnsi="宋体" w:eastAsia="宋体" w:cs="宋体"/>
                <w:color w:val="auto"/>
                <w:sz w:val="22"/>
                <w:szCs w:val="22"/>
                <w:lang w:val="en-US" w:eastAsia="zh-CN"/>
              </w:rPr>
              <w:t>系统</w:t>
            </w:r>
            <w:r>
              <w:rPr>
                <w:rFonts w:hint="eastAsia" w:ascii="宋体" w:hAnsi="宋体" w:eastAsia="宋体" w:cs="宋体"/>
                <w:color w:val="auto"/>
                <w:sz w:val="22"/>
                <w:szCs w:val="22"/>
                <w:lang w:eastAsia="zh-Hans"/>
              </w:rPr>
              <w:t>设计</w:t>
            </w:r>
            <w:r>
              <w:rPr>
                <w:rFonts w:hint="eastAsia" w:ascii="宋体" w:hAnsi="宋体" w:eastAsia="宋体" w:cs="宋体"/>
                <w:color w:val="auto"/>
                <w:sz w:val="22"/>
                <w:szCs w:val="22"/>
              </w:rPr>
              <w:t>分析方案较完备、应对措施较具体、相关的合理化建议针对性较强）的加15分；评审为中（如</w:t>
            </w:r>
            <w:r>
              <w:rPr>
                <w:rFonts w:hint="eastAsia" w:ascii="宋体" w:hAnsi="宋体" w:eastAsia="宋体" w:cs="宋体"/>
                <w:color w:val="auto"/>
                <w:sz w:val="22"/>
                <w:szCs w:val="22"/>
                <w:lang w:eastAsia="zh-Hans"/>
              </w:rPr>
              <w:t>平台</w:t>
            </w:r>
            <w:r>
              <w:rPr>
                <w:rFonts w:hint="eastAsia" w:ascii="宋体" w:hAnsi="宋体" w:eastAsia="宋体" w:cs="宋体"/>
                <w:color w:val="auto"/>
                <w:sz w:val="22"/>
                <w:szCs w:val="22"/>
                <w:lang w:val="en-US" w:eastAsia="zh-CN"/>
              </w:rPr>
              <w:t>系统</w:t>
            </w:r>
            <w:r>
              <w:rPr>
                <w:rFonts w:hint="eastAsia" w:ascii="宋体" w:hAnsi="宋体" w:eastAsia="宋体" w:cs="宋体"/>
                <w:color w:val="auto"/>
                <w:sz w:val="22"/>
                <w:szCs w:val="22"/>
                <w:lang w:eastAsia="zh-Hans"/>
              </w:rPr>
              <w:t>设计</w:t>
            </w:r>
            <w:r>
              <w:rPr>
                <w:rFonts w:hint="eastAsia" w:ascii="宋体" w:hAnsi="宋体" w:eastAsia="宋体" w:cs="宋体"/>
                <w:color w:val="auto"/>
                <w:sz w:val="22"/>
                <w:szCs w:val="22"/>
              </w:rPr>
              <w:t>分析方案不尽完备、应对措施不尽具体、相关的合理化建议针对性一般）的加 10分；评审为差（如</w:t>
            </w:r>
            <w:r>
              <w:rPr>
                <w:rFonts w:hint="eastAsia" w:ascii="宋体" w:hAnsi="宋体" w:eastAsia="宋体" w:cs="宋体"/>
                <w:color w:val="auto"/>
                <w:sz w:val="22"/>
                <w:szCs w:val="22"/>
                <w:lang w:eastAsia="zh-Hans"/>
              </w:rPr>
              <w:t>平台</w:t>
            </w:r>
            <w:r>
              <w:rPr>
                <w:rFonts w:hint="eastAsia" w:ascii="宋体" w:hAnsi="宋体" w:eastAsia="宋体" w:cs="宋体"/>
                <w:color w:val="auto"/>
                <w:sz w:val="22"/>
                <w:szCs w:val="22"/>
                <w:lang w:val="en-US" w:eastAsia="zh-CN"/>
              </w:rPr>
              <w:t>系统</w:t>
            </w:r>
            <w:r>
              <w:rPr>
                <w:rFonts w:hint="eastAsia" w:ascii="宋体" w:hAnsi="宋体" w:eastAsia="宋体" w:cs="宋体"/>
                <w:color w:val="auto"/>
                <w:sz w:val="22"/>
                <w:szCs w:val="22"/>
                <w:lang w:eastAsia="zh-Hans"/>
              </w:rPr>
              <w:t>设计分析</w:t>
            </w:r>
            <w:r>
              <w:rPr>
                <w:rFonts w:hint="eastAsia" w:ascii="宋体" w:hAnsi="宋体" w:eastAsia="宋体" w:cs="宋体"/>
                <w:color w:val="auto"/>
                <w:sz w:val="22"/>
                <w:szCs w:val="22"/>
              </w:rPr>
              <w:t>方案不完备、应对措施不具体、相关的合理化建议无针对性）的不加分。</w:t>
            </w:r>
          </w:p>
        </w:tc>
      </w:tr>
      <w:tr w14:paraId="0D0306C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80" w:type="dxa"/>
            <w:vMerge w:val="continue"/>
            <w:tcBorders>
              <w:left w:val="single" w:color="000000" w:sz="8" w:space="0"/>
              <w:right w:val="single" w:color="000000" w:sz="8" w:space="0"/>
            </w:tcBorders>
            <w:vAlign w:val="center"/>
          </w:tcPr>
          <w:p w14:paraId="0886DE55">
            <w:pPr>
              <w:keepNext w:val="0"/>
              <w:keepLines w:val="0"/>
              <w:pageBreakBefore w:val="0"/>
              <w:widowControl/>
              <w:kinsoku/>
              <w:overflowPunct/>
              <w:topLinePunct w:val="0"/>
              <w:autoSpaceDE/>
              <w:autoSpaceDN/>
              <w:bidi w:val="0"/>
              <w:adjustRightInd/>
              <w:snapToGrid/>
              <w:spacing w:line="240" w:lineRule="auto"/>
              <w:textAlignment w:val="auto"/>
              <w:rPr>
                <w:rFonts w:hint="eastAsia" w:ascii="宋体" w:hAnsi="宋体" w:eastAsia="宋体" w:cs="宋体"/>
                <w:b/>
                <w:bCs/>
                <w:color w:val="0000FF"/>
                <w:sz w:val="22"/>
                <w:szCs w:val="22"/>
                <w:highlight w:val="none"/>
              </w:rPr>
            </w:pPr>
          </w:p>
        </w:tc>
        <w:tc>
          <w:tcPr>
            <w:tcW w:w="70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4365FC8">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3</w:t>
            </w:r>
          </w:p>
        </w:tc>
        <w:tc>
          <w:tcPr>
            <w:tcW w:w="231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DD0CA03">
            <w:pPr>
              <w:wordWrap w:val="0"/>
              <w:jc w:val="cente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质量（完成时间、安全、环保）保障措施及方案</w:t>
            </w:r>
          </w:p>
        </w:tc>
        <w:tc>
          <w:tcPr>
            <w:tcW w:w="67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666AE60">
            <w:pPr>
              <w:wordWrap w:val="0"/>
              <w:jc w:val="cente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5</w:t>
            </w:r>
          </w:p>
        </w:tc>
        <w:tc>
          <w:tcPr>
            <w:tcW w:w="459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82A35BA">
            <w:pPr>
              <w:rPr>
                <w:rFonts w:hint="eastAsia" w:ascii="宋体" w:hAnsi="宋体" w:eastAsia="宋体" w:cs="宋体"/>
                <w:color w:val="auto"/>
                <w:sz w:val="22"/>
                <w:szCs w:val="22"/>
              </w:rPr>
            </w:pPr>
            <w:r>
              <w:rPr>
                <w:rFonts w:hint="eastAsia" w:ascii="宋体" w:hAnsi="宋体" w:eastAsia="宋体" w:cs="宋体"/>
                <w:color w:val="auto"/>
                <w:sz w:val="22"/>
                <w:szCs w:val="22"/>
              </w:rPr>
              <w:t>评审内容：</w:t>
            </w:r>
          </w:p>
          <w:p w14:paraId="525BD58C">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lang w:eastAsia="zh-Hans"/>
              </w:rPr>
              <w:t>为保障项目质量，</w:t>
            </w:r>
            <w:r>
              <w:rPr>
                <w:rFonts w:hint="eastAsia" w:ascii="宋体" w:hAnsi="宋体" w:eastAsia="宋体" w:cs="宋体"/>
                <w:color w:val="auto"/>
                <w:sz w:val="22"/>
                <w:szCs w:val="22"/>
              </w:rPr>
              <w:t>供应商</w:t>
            </w:r>
            <w:r>
              <w:rPr>
                <w:rFonts w:hint="eastAsia" w:ascii="宋体" w:hAnsi="宋体" w:eastAsia="宋体" w:cs="宋体"/>
                <w:color w:val="auto"/>
                <w:sz w:val="22"/>
                <w:szCs w:val="22"/>
                <w:lang w:eastAsia="zh-Hans"/>
              </w:rPr>
              <w:t>应考虑技术方案安全及应急方案措施，具体</w:t>
            </w:r>
            <w:r>
              <w:rPr>
                <w:rFonts w:hint="eastAsia" w:ascii="宋体" w:hAnsi="宋体" w:eastAsia="宋体" w:cs="宋体"/>
                <w:color w:val="auto"/>
                <w:sz w:val="22"/>
                <w:szCs w:val="22"/>
              </w:rPr>
              <w:t>内容</w:t>
            </w:r>
            <w:r>
              <w:rPr>
                <w:rFonts w:hint="eastAsia" w:ascii="宋体" w:hAnsi="宋体" w:eastAsia="宋体" w:cs="宋体"/>
                <w:color w:val="auto"/>
                <w:sz w:val="22"/>
                <w:szCs w:val="22"/>
                <w:lang w:eastAsia="zh-Hans"/>
              </w:rPr>
              <w:t>如下：</w:t>
            </w:r>
          </w:p>
          <w:p w14:paraId="1BDC40D2">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lang w:eastAsia="zh-Hans"/>
              </w:rPr>
              <w:t>1.提供应用安全设计方案；</w:t>
            </w:r>
          </w:p>
          <w:p w14:paraId="0B821914">
            <w:pPr>
              <w:rPr>
                <w:rFonts w:hint="eastAsia" w:ascii="宋体" w:hAnsi="宋体" w:eastAsia="宋体" w:cs="宋体"/>
                <w:color w:val="auto"/>
                <w:sz w:val="22"/>
                <w:szCs w:val="22"/>
              </w:rPr>
            </w:pPr>
            <w:r>
              <w:rPr>
                <w:rFonts w:hint="eastAsia" w:ascii="宋体" w:hAnsi="宋体" w:eastAsia="宋体" w:cs="宋体"/>
                <w:color w:val="auto"/>
                <w:sz w:val="22"/>
                <w:szCs w:val="22"/>
                <w:lang w:eastAsia="zh-Hans"/>
              </w:rPr>
              <w:t>2.提供数据库安全设计方案</w:t>
            </w:r>
            <w:r>
              <w:rPr>
                <w:rFonts w:hint="eastAsia" w:ascii="宋体" w:hAnsi="宋体" w:eastAsia="宋体" w:cs="宋体"/>
                <w:color w:val="auto"/>
                <w:sz w:val="22"/>
                <w:szCs w:val="22"/>
              </w:rPr>
              <w:t>；</w:t>
            </w:r>
          </w:p>
          <w:p w14:paraId="045FE846">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lang w:eastAsia="zh-Hans"/>
              </w:rPr>
              <w:t>3.提供应急预案设计方案。</w:t>
            </w:r>
          </w:p>
          <w:p w14:paraId="295813CD">
            <w:pP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满足以上3项要求得80分，每不满足以上1项扣30分，扣完为止。在此基础上，专家根据各供应商的具体响应内容按照量化的评审因素指标进一步评审，评审为优（如方案内容全面、具体、针对性强、科学合理）的加20分；评审为良（如方案内容较全面、较具体、针对性较强、较科学合理）的加15分；评审为中（如方案内容基本全面、针对性一般、基本科学合理）的加 10分；评审为差（如方案内容不全面、不具体、无针对性及科学性）的不加分。</w:t>
            </w:r>
          </w:p>
        </w:tc>
      </w:tr>
      <w:tr w14:paraId="1113929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80" w:type="dxa"/>
            <w:vMerge w:val="continue"/>
            <w:tcBorders>
              <w:left w:val="single" w:color="000000" w:sz="8" w:space="0"/>
              <w:right w:val="single" w:color="000000" w:sz="8" w:space="0"/>
            </w:tcBorders>
            <w:vAlign w:val="center"/>
          </w:tcPr>
          <w:p w14:paraId="5FA663B5">
            <w:pPr>
              <w:keepNext w:val="0"/>
              <w:keepLines w:val="0"/>
              <w:pageBreakBefore w:val="0"/>
              <w:widowControl/>
              <w:kinsoku/>
              <w:overflowPunct/>
              <w:topLinePunct w:val="0"/>
              <w:autoSpaceDE/>
              <w:autoSpaceDN/>
              <w:bidi w:val="0"/>
              <w:adjustRightInd/>
              <w:snapToGrid/>
              <w:spacing w:line="240" w:lineRule="auto"/>
              <w:textAlignment w:val="auto"/>
              <w:rPr>
                <w:rFonts w:hint="eastAsia" w:ascii="宋体" w:hAnsi="宋体" w:eastAsia="宋体" w:cs="宋体"/>
                <w:b/>
                <w:bCs/>
                <w:color w:val="0000FF"/>
                <w:sz w:val="22"/>
                <w:szCs w:val="22"/>
                <w:highlight w:val="none"/>
              </w:rPr>
            </w:pPr>
          </w:p>
        </w:tc>
        <w:tc>
          <w:tcPr>
            <w:tcW w:w="70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AC3A307">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4</w:t>
            </w:r>
          </w:p>
        </w:tc>
        <w:tc>
          <w:tcPr>
            <w:tcW w:w="231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39D5E4A">
            <w:pPr>
              <w:wordWrap w:val="0"/>
              <w:spacing w:line="240" w:lineRule="auto"/>
              <w:jc w:val="cente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项目完成（服务期满）后的服务承诺</w:t>
            </w:r>
          </w:p>
        </w:tc>
        <w:tc>
          <w:tcPr>
            <w:tcW w:w="67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9DFC29F">
            <w:pPr>
              <w:wordWrap w:val="0"/>
              <w:spacing w:line="240" w:lineRule="auto"/>
              <w:jc w:val="cente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2</w:t>
            </w:r>
          </w:p>
        </w:tc>
        <w:tc>
          <w:tcPr>
            <w:tcW w:w="4599" w:type="dxa"/>
            <w:tcBorders>
              <w:top w:val="single" w:color="000000" w:sz="8" w:space="0"/>
              <w:left w:val="single" w:color="000000" w:sz="8" w:space="0"/>
              <w:bottom w:val="single" w:color="000000" w:sz="8" w:space="0"/>
              <w:right w:val="single" w:color="000000" w:sz="8" w:space="0"/>
            </w:tcBorders>
            <w:shd w:val="clear" w:color="auto" w:fill="auto"/>
            <w:vAlign w:val="top"/>
          </w:tcPr>
          <w:p w14:paraId="460C3293">
            <w:pPr>
              <w:rPr>
                <w:rFonts w:hint="eastAsia" w:ascii="宋体" w:hAnsi="宋体" w:eastAsia="宋体" w:cs="宋体"/>
                <w:color w:val="auto"/>
                <w:sz w:val="22"/>
                <w:szCs w:val="22"/>
              </w:rPr>
            </w:pPr>
            <w:r>
              <w:rPr>
                <w:rFonts w:hint="eastAsia" w:ascii="宋体" w:hAnsi="宋体" w:eastAsia="宋体" w:cs="宋体"/>
                <w:color w:val="auto"/>
                <w:sz w:val="22"/>
                <w:szCs w:val="22"/>
              </w:rPr>
              <w:t>供应商承诺以下全部三项的得100分，否则不得分。</w:t>
            </w:r>
          </w:p>
          <w:p w14:paraId="152B5CFA">
            <w:pPr>
              <w:rPr>
                <w:rFonts w:hint="eastAsia" w:ascii="宋体" w:hAnsi="宋体" w:eastAsia="宋体" w:cs="宋体"/>
                <w:color w:val="auto"/>
                <w:sz w:val="22"/>
                <w:szCs w:val="22"/>
              </w:rPr>
            </w:pPr>
            <w:r>
              <w:rPr>
                <w:rFonts w:hint="eastAsia" w:ascii="宋体" w:hAnsi="宋体" w:eastAsia="宋体" w:cs="宋体"/>
                <w:color w:val="auto"/>
                <w:sz w:val="22"/>
                <w:szCs w:val="22"/>
              </w:rPr>
              <w:t xml:space="preserve">1.服务期满后主动离岗； </w:t>
            </w:r>
          </w:p>
          <w:p w14:paraId="75B0E667">
            <w:pPr>
              <w:rPr>
                <w:rFonts w:hint="eastAsia" w:ascii="宋体" w:hAnsi="宋体" w:eastAsia="宋体" w:cs="宋体"/>
                <w:color w:val="auto"/>
                <w:sz w:val="22"/>
                <w:szCs w:val="22"/>
              </w:rPr>
            </w:pPr>
            <w:r>
              <w:rPr>
                <w:rFonts w:hint="eastAsia" w:ascii="宋体" w:hAnsi="宋体" w:eastAsia="宋体" w:cs="宋体"/>
                <w:color w:val="auto"/>
                <w:sz w:val="22"/>
                <w:szCs w:val="22"/>
              </w:rPr>
              <w:t xml:space="preserve">2.与后续服务公司进行交接； </w:t>
            </w:r>
          </w:p>
          <w:p w14:paraId="71C54E51">
            <w:pPr>
              <w:rPr>
                <w:rFonts w:hint="eastAsia" w:ascii="宋体" w:hAnsi="宋体" w:eastAsia="宋体" w:cs="宋体"/>
                <w:color w:val="auto"/>
                <w:sz w:val="22"/>
                <w:szCs w:val="22"/>
              </w:rPr>
            </w:pPr>
            <w:r>
              <w:rPr>
                <w:rFonts w:hint="eastAsia" w:ascii="宋体" w:hAnsi="宋体" w:eastAsia="宋体" w:cs="宋体"/>
                <w:color w:val="auto"/>
                <w:sz w:val="22"/>
                <w:szCs w:val="22"/>
              </w:rPr>
              <w:t>3.服务期满，后续服务公司未到位前仍按原合同服务承诺提供服务。</w:t>
            </w:r>
          </w:p>
          <w:p w14:paraId="7F5306B1">
            <w:pPr>
              <w:numPr>
                <w:ilvl w:val="255"/>
                <w:numId w:val="0"/>
              </w:numPr>
              <w:ind w:left="0" w:leftChars="0" w:firstLine="0" w:firstLineChars="0"/>
              <w:rPr>
                <w:rFonts w:hint="eastAsia" w:ascii="宋体" w:hAnsi="宋体" w:eastAsia="宋体" w:cs="宋体"/>
                <w:color w:val="auto"/>
                <w:sz w:val="22"/>
                <w:szCs w:val="22"/>
                <w:highlight w:val="cyan"/>
                <w:lang w:val="en-US" w:eastAsia="zh-CN" w:bidi="ar-SA"/>
              </w:rPr>
            </w:pPr>
            <w:r>
              <w:rPr>
                <w:rFonts w:hint="eastAsia" w:ascii="宋体" w:hAnsi="宋体" w:eastAsia="宋体" w:cs="宋体"/>
                <w:color w:val="auto"/>
                <w:sz w:val="22"/>
                <w:szCs w:val="22"/>
                <w:lang w:eastAsia="zh-CN"/>
              </w:rPr>
              <w:t>证明材料：</w:t>
            </w:r>
            <w:r>
              <w:rPr>
                <w:rFonts w:hint="eastAsia" w:ascii="宋体" w:hAnsi="宋体" w:eastAsia="宋体" w:cs="宋体"/>
                <w:color w:val="auto"/>
                <w:sz w:val="22"/>
                <w:szCs w:val="22"/>
              </w:rPr>
              <w:t>要求提供承诺（格式自定）作为得分依据，未提供承诺或承诺内容不满足要求不得分。</w:t>
            </w:r>
          </w:p>
        </w:tc>
      </w:tr>
      <w:tr w14:paraId="41FF75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80" w:type="dxa"/>
            <w:vMerge w:val="continue"/>
            <w:tcBorders>
              <w:left w:val="single" w:color="000000" w:sz="8" w:space="0"/>
              <w:right w:val="single" w:color="000000" w:sz="8" w:space="0"/>
            </w:tcBorders>
            <w:vAlign w:val="center"/>
          </w:tcPr>
          <w:p w14:paraId="037C0F7D">
            <w:pPr>
              <w:keepNext w:val="0"/>
              <w:keepLines w:val="0"/>
              <w:pageBreakBefore w:val="0"/>
              <w:widowControl/>
              <w:kinsoku/>
              <w:overflowPunct/>
              <w:topLinePunct w:val="0"/>
              <w:autoSpaceDE/>
              <w:autoSpaceDN/>
              <w:bidi w:val="0"/>
              <w:adjustRightInd/>
              <w:snapToGrid/>
              <w:spacing w:line="240" w:lineRule="auto"/>
              <w:textAlignment w:val="auto"/>
              <w:rPr>
                <w:rFonts w:hint="eastAsia" w:ascii="宋体" w:hAnsi="宋体" w:eastAsia="宋体" w:cs="宋体"/>
                <w:b/>
                <w:bCs/>
                <w:color w:val="0000FF"/>
                <w:sz w:val="22"/>
                <w:szCs w:val="22"/>
                <w:highlight w:val="none"/>
              </w:rPr>
            </w:pPr>
          </w:p>
        </w:tc>
        <w:tc>
          <w:tcPr>
            <w:tcW w:w="70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9604896">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5</w:t>
            </w:r>
          </w:p>
        </w:tc>
        <w:tc>
          <w:tcPr>
            <w:tcW w:w="231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B9FFB2C">
            <w:pPr>
              <w:wordWrap w:val="0"/>
              <w:spacing w:line="240" w:lineRule="auto"/>
              <w:jc w:val="cente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违约承诺</w:t>
            </w:r>
          </w:p>
        </w:tc>
        <w:tc>
          <w:tcPr>
            <w:tcW w:w="67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0B1312C">
            <w:pPr>
              <w:wordWrap w:val="0"/>
              <w:spacing w:line="240" w:lineRule="auto"/>
              <w:jc w:val="cente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3</w:t>
            </w:r>
          </w:p>
        </w:tc>
        <w:tc>
          <w:tcPr>
            <w:tcW w:w="4599" w:type="dxa"/>
            <w:tcBorders>
              <w:top w:val="single" w:color="000000" w:sz="8" w:space="0"/>
              <w:left w:val="single" w:color="000000" w:sz="8" w:space="0"/>
              <w:bottom w:val="single" w:color="000000" w:sz="8" w:space="0"/>
              <w:right w:val="single" w:color="000000" w:sz="8" w:space="0"/>
            </w:tcBorders>
            <w:shd w:val="clear" w:color="auto" w:fill="auto"/>
            <w:vAlign w:val="top"/>
          </w:tcPr>
          <w:p w14:paraId="545DC6D5">
            <w:pPr>
              <w:rPr>
                <w:rFonts w:hint="eastAsia" w:ascii="宋体" w:hAnsi="宋体" w:eastAsia="宋体" w:cs="宋体"/>
                <w:color w:val="auto"/>
                <w:sz w:val="22"/>
                <w:szCs w:val="22"/>
              </w:rPr>
            </w:pPr>
            <w:r>
              <w:rPr>
                <w:rFonts w:hint="eastAsia" w:ascii="宋体" w:hAnsi="宋体" w:eastAsia="宋体" w:cs="宋体"/>
                <w:color w:val="auto"/>
                <w:sz w:val="22"/>
                <w:szCs w:val="22"/>
              </w:rPr>
              <w:t>供应商承诺以下全部</w:t>
            </w:r>
            <w:r>
              <w:rPr>
                <w:rFonts w:hint="eastAsia" w:ascii="宋体" w:hAnsi="宋体" w:eastAsia="宋体" w:cs="宋体"/>
                <w:color w:val="auto"/>
                <w:sz w:val="22"/>
                <w:szCs w:val="22"/>
                <w:lang w:eastAsia="zh-CN"/>
              </w:rPr>
              <w:t>三</w:t>
            </w:r>
            <w:r>
              <w:rPr>
                <w:rFonts w:hint="eastAsia" w:ascii="宋体" w:hAnsi="宋体" w:eastAsia="宋体" w:cs="宋体"/>
                <w:color w:val="auto"/>
                <w:sz w:val="22"/>
                <w:szCs w:val="22"/>
              </w:rPr>
              <w:t>项的得100分，否则不得分。</w:t>
            </w:r>
          </w:p>
          <w:p w14:paraId="3066E921">
            <w:pPr>
              <w:rPr>
                <w:rFonts w:hint="eastAsia" w:ascii="宋体" w:hAnsi="宋体" w:eastAsia="宋体" w:cs="宋体"/>
                <w:color w:val="auto"/>
                <w:sz w:val="22"/>
                <w:szCs w:val="22"/>
              </w:rPr>
            </w:pPr>
            <w:r>
              <w:rPr>
                <w:rFonts w:hint="eastAsia" w:ascii="宋体" w:hAnsi="宋体" w:eastAsia="宋体" w:cs="宋体"/>
                <w:color w:val="auto"/>
                <w:sz w:val="22"/>
                <w:szCs w:val="22"/>
              </w:rPr>
              <w:t>1.人员严格按照招标文件及投标承诺配置；</w:t>
            </w:r>
          </w:p>
          <w:p w14:paraId="6C3C138A">
            <w:pPr>
              <w:rPr>
                <w:rFonts w:hint="eastAsia" w:ascii="宋体" w:hAnsi="宋体" w:eastAsia="宋体" w:cs="宋体"/>
                <w:color w:val="auto"/>
                <w:sz w:val="22"/>
                <w:szCs w:val="22"/>
              </w:rPr>
            </w:pPr>
            <w:r>
              <w:rPr>
                <w:rFonts w:hint="eastAsia" w:ascii="宋体" w:hAnsi="宋体" w:eastAsia="宋体" w:cs="宋体"/>
                <w:color w:val="auto"/>
                <w:sz w:val="22"/>
                <w:szCs w:val="22"/>
              </w:rPr>
              <w:t>2.承诺维保服务质量达到招标文件要求；</w:t>
            </w:r>
          </w:p>
          <w:p w14:paraId="222012CD">
            <w:pPr>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3</w:t>
            </w:r>
            <w:r>
              <w:rPr>
                <w:rFonts w:hint="eastAsia" w:ascii="宋体" w:hAnsi="宋体" w:eastAsia="宋体" w:cs="宋体"/>
                <w:color w:val="auto"/>
                <w:sz w:val="22"/>
                <w:szCs w:val="22"/>
              </w:rPr>
              <w:t>.承诺对未能达到的管理要求承担管理责任。</w:t>
            </w:r>
          </w:p>
          <w:p w14:paraId="63D16CCE">
            <w:pPr>
              <w:numPr>
                <w:ilvl w:val="255"/>
                <w:numId w:val="0"/>
              </w:numPr>
              <w:ind w:left="0" w:leftChars="0" w:firstLine="0" w:firstLineChars="0"/>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证明材料：提供承诺（格式自定）作为得分依据，未提供承诺或承诺内容不满足要求不得分。</w:t>
            </w:r>
          </w:p>
        </w:tc>
      </w:tr>
      <w:tr w14:paraId="1D0BB2B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80" w:type="dxa"/>
            <w:vMerge w:val="continue"/>
            <w:tcBorders>
              <w:left w:val="single" w:color="000000" w:sz="8" w:space="0"/>
              <w:right w:val="single" w:color="000000" w:sz="8" w:space="0"/>
            </w:tcBorders>
            <w:vAlign w:val="center"/>
          </w:tcPr>
          <w:p w14:paraId="28AE8A8B">
            <w:pPr>
              <w:keepNext w:val="0"/>
              <w:keepLines w:val="0"/>
              <w:pageBreakBefore w:val="0"/>
              <w:widowControl/>
              <w:kinsoku/>
              <w:overflowPunct/>
              <w:topLinePunct w:val="0"/>
              <w:autoSpaceDE/>
              <w:autoSpaceDN/>
              <w:bidi w:val="0"/>
              <w:adjustRightInd/>
              <w:snapToGrid/>
              <w:spacing w:line="240" w:lineRule="auto"/>
              <w:textAlignment w:val="auto"/>
              <w:rPr>
                <w:rFonts w:hint="eastAsia" w:ascii="宋体" w:hAnsi="宋体" w:eastAsia="宋体" w:cs="宋体"/>
                <w:b/>
                <w:bCs/>
                <w:color w:val="0000FF"/>
                <w:sz w:val="22"/>
                <w:szCs w:val="22"/>
                <w:highlight w:val="none"/>
              </w:rPr>
            </w:pPr>
          </w:p>
        </w:tc>
        <w:tc>
          <w:tcPr>
            <w:tcW w:w="70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E881AB7">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6</w:t>
            </w:r>
          </w:p>
        </w:tc>
        <w:tc>
          <w:tcPr>
            <w:tcW w:w="231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D156FBD">
            <w:pPr>
              <w:wordWrap w:val="0"/>
              <w:jc w:val="cente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拟安排的项目负责人情况（仅限一人）</w:t>
            </w:r>
          </w:p>
        </w:tc>
        <w:tc>
          <w:tcPr>
            <w:tcW w:w="67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1240EB5">
            <w:pPr>
              <w:wordWrap w:val="0"/>
              <w:jc w:val="cente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5</w:t>
            </w:r>
          </w:p>
        </w:tc>
        <w:tc>
          <w:tcPr>
            <w:tcW w:w="4599" w:type="dxa"/>
            <w:tcBorders>
              <w:top w:val="single" w:color="000000" w:sz="8" w:space="0"/>
              <w:left w:val="single" w:color="000000" w:sz="8" w:space="0"/>
              <w:bottom w:val="single" w:color="000000" w:sz="8" w:space="0"/>
              <w:right w:val="single" w:color="000000" w:sz="8" w:space="0"/>
            </w:tcBorders>
            <w:shd w:val="clear" w:color="auto" w:fill="auto"/>
            <w:vAlign w:val="top"/>
          </w:tcPr>
          <w:p w14:paraId="4E5DE79B">
            <w:pPr>
              <w:numPr>
                <w:ilvl w:val="255"/>
                <w:numId w:val="0"/>
              </w:numPr>
              <w:rPr>
                <w:rFonts w:hint="eastAsia" w:ascii="宋体" w:hAnsi="宋体" w:eastAsia="宋体" w:cs="宋体"/>
                <w:color w:val="auto"/>
                <w:sz w:val="22"/>
                <w:szCs w:val="22"/>
              </w:rPr>
            </w:pPr>
            <w:r>
              <w:rPr>
                <w:rFonts w:hint="eastAsia" w:ascii="宋体" w:hAnsi="宋体" w:eastAsia="宋体" w:cs="宋体"/>
                <w:color w:val="auto"/>
                <w:sz w:val="22"/>
                <w:szCs w:val="22"/>
              </w:rPr>
              <w:t>（一）评审内容：</w:t>
            </w:r>
          </w:p>
          <w:p w14:paraId="09292E63">
            <w:pPr>
              <w:rPr>
                <w:rFonts w:hint="eastAsia" w:ascii="宋体" w:hAnsi="宋体" w:eastAsia="宋体" w:cs="宋体"/>
                <w:color w:val="auto"/>
                <w:sz w:val="22"/>
                <w:szCs w:val="22"/>
              </w:rPr>
            </w:pPr>
            <w:r>
              <w:rPr>
                <w:rFonts w:hint="eastAsia" w:ascii="宋体" w:hAnsi="宋体" w:eastAsia="宋体" w:cs="宋体"/>
                <w:color w:val="auto"/>
                <w:sz w:val="22"/>
                <w:szCs w:val="22"/>
              </w:rPr>
              <w:t>拟安排项目负责人为投标单位员工（以社保为准），否则本项不予计分。在此基础上按以下标准进行打分：</w:t>
            </w:r>
          </w:p>
          <w:p w14:paraId="5CB466ED">
            <w:pP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项目负责人具有本科学历（学历专业类别为以下其中之一的：药学类、中药学类、生物医学工程类、临床医学类），得20分；项目负责人具有硕士研究生及以上学历（学历专业类别为以下其中之一的：药学类、中药学类、生物医学工程类、临床医学类），得30分；本小项最高得30分。</w:t>
            </w:r>
          </w:p>
          <w:p w14:paraId="776FAA15">
            <w:pP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2.项目负责人具有医药专业副高职称证书的，得10分；项目负责人具有医药专业正高职称证书的，得20分；本小项最高得20分；</w:t>
            </w:r>
          </w:p>
          <w:p w14:paraId="3220FBC0">
            <w:pPr>
              <w:rPr>
                <w:rFonts w:hint="eastAsia" w:ascii="宋体" w:hAnsi="宋体" w:eastAsia="宋体" w:cs="宋体"/>
                <w:color w:val="auto"/>
                <w:sz w:val="22"/>
                <w:szCs w:val="22"/>
              </w:rPr>
            </w:pPr>
            <w:r>
              <w:rPr>
                <w:rFonts w:hint="eastAsia" w:ascii="宋体" w:hAnsi="宋体" w:eastAsia="宋体" w:cs="宋体"/>
                <w:color w:val="auto"/>
                <w:sz w:val="22"/>
                <w:szCs w:val="22"/>
              </w:rPr>
              <w:t>3.项目负责人具有药品采购交易平台建设运营管理工作经验的，每提供一项得50分，本小项最高得50分。</w:t>
            </w:r>
          </w:p>
          <w:p w14:paraId="0E74B521">
            <w:pPr>
              <w:rPr>
                <w:rFonts w:hint="eastAsia" w:ascii="宋体" w:hAnsi="宋体" w:eastAsia="宋体" w:cs="宋体"/>
                <w:color w:val="auto"/>
                <w:sz w:val="22"/>
                <w:szCs w:val="22"/>
              </w:rPr>
            </w:pPr>
            <w:r>
              <w:rPr>
                <w:rFonts w:hint="eastAsia" w:ascii="宋体" w:hAnsi="宋体" w:eastAsia="宋体" w:cs="宋体"/>
                <w:color w:val="auto"/>
                <w:sz w:val="22"/>
                <w:szCs w:val="22"/>
              </w:rPr>
              <w:t>以上3项累计计分，最高得100分。</w:t>
            </w:r>
          </w:p>
          <w:p w14:paraId="55385580">
            <w:pPr>
              <w:rPr>
                <w:rFonts w:hint="eastAsia" w:ascii="宋体" w:hAnsi="宋体" w:eastAsia="宋体" w:cs="宋体"/>
                <w:color w:val="auto"/>
                <w:sz w:val="22"/>
                <w:szCs w:val="22"/>
              </w:rPr>
            </w:pPr>
            <w:r>
              <w:rPr>
                <w:rFonts w:hint="eastAsia" w:ascii="宋体" w:hAnsi="宋体" w:eastAsia="宋体" w:cs="宋体"/>
                <w:color w:val="auto"/>
                <w:sz w:val="22"/>
                <w:szCs w:val="22"/>
              </w:rPr>
              <w:t xml:space="preserve">（二）评分依据： </w:t>
            </w:r>
          </w:p>
          <w:p w14:paraId="76AFD6D0">
            <w:pPr>
              <w:rPr>
                <w:rFonts w:hint="eastAsia" w:ascii="宋体" w:hAnsi="宋体" w:eastAsia="宋体" w:cs="宋体"/>
                <w:color w:val="auto"/>
                <w:sz w:val="22"/>
                <w:szCs w:val="22"/>
              </w:rPr>
            </w:pPr>
            <w:r>
              <w:rPr>
                <w:rFonts w:hint="eastAsia" w:ascii="宋体" w:hAnsi="宋体" w:eastAsia="宋体" w:cs="宋体"/>
                <w:color w:val="auto"/>
                <w:sz w:val="22"/>
                <w:szCs w:val="22"/>
              </w:rPr>
              <w:t>1.要求提供通过</w:t>
            </w:r>
            <w:r>
              <w:rPr>
                <w:rFonts w:hint="eastAsia" w:ascii="宋体" w:hAnsi="宋体" w:eastAsia="宋体" w:cs="宋体"/>
                <w:color w:val="auto"/>
                <w:sz w:val="22"/>
                <w:szCs w:val="22"/>
                <w:lang w:eastAsia="zh-CN"/>
              </w:rPr>
              <w:t>投标单位</w:t>
            </w:r>
            <w:r>
              <w:rPr>
                <w:rFonts w:hint="eastAsia" w:ascii="宋体" w:hAnsi="宋体" w:eastAsia="宋体" w:cs="宋体"/>
                <w:color w:val="auto"/>
                <w:sz w:val="22"/>
                <w:szCs w:val="22"/>
              </w:rPr>
              <w:t>缴纳的近三个月的任意一个月的社保证明作为本单位员工的证明依据。若</w:t>
            </w:r>
            <w:r>
              <w:rPr>
                <w:rFonts w:hint="eastAsia" w:ascii="宋体" w:hAnsi="宋体" w:eastAsia="宋体" w:cs="宋体"/>
                <w:color w:val="auto"/>
                <w:sz w:val="22"/>
                <w:szCs w:val="22"/>
                <w:lang w:eastAsia="zh-CN"/>
              </w:rPr>
              <w:t>投标单位</w:t>
            </w:r>
            <w:r>
              <w:rPr>
                <w:rFonts w:hint="eastAsia" w:ascii="宋体" w:hAnsi="宋体" w:eastAsia="宋体" w:cs="宋体"/>
                <w:color w:val="auto"/>
                <w:sz w:val="22"/>
                <w:szCs w:val="22"/>
              </w:rPr>
              <w:t>成立不足三个月的，需提供成立情况说明函（格式自拟），无需提供相关人员社保，亦可得分；若为退休返聘人员，需提供说明函（格式自拟），无需提供相关人员社保，亦可得分。</w:t>
            </w:r>
          </w:p>
          <w:p w14:paraId="50C50DA2">
            <w:pPr>
              <w:rPr>
                <w:rFonts w:hint="eastAsia" w:ascii="宋体" w:hAnsi="宋体" w:eastAsia="宋体" w:cs="宋体"/>
                <w:color w:val="auto"/>
                <w:sz w:val="22"/>
                <w:szCs w:val="22"/>
              </w:rPr>
            </w:pPr>
            <w:r>
              <w:rPr>
                <w:rFonts w:hint="eastAsia" w:ascii="宋体" w:hAnsi="宋体" w:eastAsia="宋体" w:cs="宋体"/>
                <w:color w:val="auto"/>
                <w:sz w:val="22"/>
                <w:szCs w:val="22"/>
              </w:rPr>
              <w:t>2.要求提供</w:t>
            </w:r>
            <w:r>
              <w:rPr>
                <w:rFonts w:hint="eastAsia" w:ascii="宋体" w:hAnsi="宋体" w:eastAsia="宋体" w:cs="宋体"/>
                <w:color w:val="auto"/>
                <w:sz w:val="22"/>
                <w:szCs w:val="22"/>
                <w:lang w:eastAsia="zh-CN"/>
              </w:rPr>
              <w:t>投标单位</w:t>
            </w:r>
            <w:r>
              <w:rPr>
                <w:rFonts w:hint="eastAsia" w:ascii="宋体" w:hAnsi="宋体" w:eastAsia="宋体" w:cs="宋体"/>
                <w:color w:val="auto"/>
                <w:sz w:val="22"/>
                <w:szCs w:val="22"/>
              </w:rPr>
              <w:t>相关证明资料作为得分依据。</w:t>
            </w:r>
          </w:p>
          <w:p w14:paraId="3D0C972D">
            <w:pPr>
              <w:rPr>
                <w:rFonts w:hint="eastAsia" w:ascii="宋体" w:hAnsi="宋体" w:eastAsia="宋体" w:cs="宋体"/>
                <w:color w:val="auto"/>
                <w:sz w:val="22"/>
                <w:szCs w:val="22"/>
              </w:rPr>
            </w:pPr>
            <w:r>
              <w:rPr>
                <w:rFonts w:hint="eastAsia" w:ascii="宋体" w:hAnsi="宋体" w:eastAsia="宋体" w:cs="宋体"/>
                <w:color w:val="auto"/>
                <w:sz w:val="22"/>
                <w:szCs w:val="22"/>
              </w:rPr>
              <w:t>3.要求提供证书扫描件以及学信网查询记录。对于较早颁发的学历学位证书，学信网无法查询的，要求提供证书扫描件和其他佐证材料（如毕业院校、人社部门等颁发机构或监管机构等单位出具的证明）作为得分的依据。海外留学（含港澳台）人员学历无法通过学信网站查询的，应当提供“教育部留学服务中心出具的国外学历认证证书以及教育部留学服务中心官网查询截图。”</w:t>
            </w:r>
          </w:p>
          <w:p w14:paraId="0F926857">
            <w:pPr>
              <w:rPr>
                <w:rFonts w:hint="eastAsia" w:ascii="宋体" w:hAnsi="宋体" w:eastAsia="宋体" w:cs="宋体"/>
                <w:color w:val="auto"/>
                <w:sz w:val="22"/>
                <w:szCs w:val="22"/>
              </w:rPr>
            </w:pPr>
            <w:r>
              <w:rPr>
                <w:rFonts w:hint="eastAsia" w:ascii="宋体" w:hAnsi="宋体" w:eastAsia="宋体" w:cs="宋体"/>
                <w:color w:val="auto"/>
                <w:sz w:val="22"/>
                <w:szCs w:val="22"/>
              </w:rPr>
              <w:t>4.以上资料均要求提供扫描件（或官方网站截图），原件备查。评分中出现无证明资料或专家无法凭所提供资料判断是否得分的情况，一律作不得分处理。</w:t>
            </w:r>
          </w:p>
          <w:p w14:paraId="447B4808">
            <w:pP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5.如涉及考察人员工作经验，要求提供项目合同关键信息作为得分依据，通过合同关键信息无法判断是否得分的，还须同时提供合同甲方出具的证明文件。</w:t>
            </w:r>
          </w:p>
        </w:tc>
      </w:tr>
      <w:tr w14:paraId="5C2A212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80" w:type="dxa"/>
            <w:vMerge w:val="continue"/>
            <w:tcBorders>
              <w:left w:val="single" w:color="000000" w:sz="8" w:space="0"/>
              <w:right w:val="single" w:color="000000" w:sz="8" w:space="0"/>
            </w:tcBorders>
            <w:vAlign w:val="center"/>
          </w:tcPr>
          <w:p w14:paraId="73D5978E">
            <w:pPr>
              <w:keepNext w:val="0"/>
              <w:keepLines w:val="0"/>
              <w:pageBreakBefore w:val="0"/>
              <w:widowControl/>
              <w:kinsoku/>
              <w:overflowPunct/>
              <w:topLinePunct w:val="0"/>
              <w:autoSpaceDE/>
              <w:autoSpaceDN/>
              <w:bidi w:val="0"/>
              <w:adjustRightInd/>
              <w:snapToGrid/>
              <w:spacing w:line="240" w:lineRule="auto"/>
              <w:textAlignment w:val="auto"/>
              <w:rPr>
                <w:rFonts w:hint="eastAsia" w:ascii="宋体" w:hAnsi="宋体" w:eastAsia="宋体" w:cs="宋体"/>
                <w:b/>
                <w:bCs/>
                <w:color w:val="0000FF"/>
                <w:sz w:val="22"/>
                <w:szCs w:val="22"/>
                <w:highlight w:val="none"/>
              </w:rPr>
            </w:pPr>
          </w:p>
        </w:tc>
        <w:tc>
          <w:tcPr>
            <w:tcW w:w="70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DB448B5">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7</w:t>
            </w:r>
          </w:p>
        </w:tc>
        <w:tc>
          <w:tcPr>
            <w:tcW w:w="231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F6EAE83">
            <w:pPr>
              <w:wordWrap w:val="0"/>
              <w:jc w:val="cente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拟安排的项目主要团队成员（主要技术人员）情况（项目负责人除外）</w:t>
            </w:r>
          </w:p>
        </w:tc>
        <w:tc>
          <w:tcPr>
            <w:tcW w:w="67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15F3558">
            <w:pPr>
              <w:wordWrap w:val="0"/>
              <w:jc w:val="cente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1</w:t>
            </w:r>
            <w:r>
              <w:rPr>
                <w:rFonts w:hint="eastAsia" w:ascii="宋体" w:hAnsi="宋体" w:eastAsia="宋体" w:cs="宋体"/>
                <w:color w:val="auto"/>
                <w:sz w:val="22"/>
                <w:szCs w:val="22"/>
                <w:lang w:val="en-US" w:eastAsia="zh-CN"/>
              </w:rPr>
              <w:t>0</w:t>
            </w:r>
          </w:p>
        </w:tc>
        <w:tc>
          <w:tcPr>
            <w:tcW w:w="4599" w:type="dxa"/>
            <w:tcBorders>
              <w:top w:val="single" w:color="000000" w:sz="8" w:space="0"/>
              <w:left w:val="single" w:color="000000" w:sz="8" w:space="0"/>
              <w:bottom w:val="single" w:color="000000" w:sz="8" w:space="0"/>
              <w:right w:val="single" w:color="000000" w:sz="8" w:space="0"/>
            </w:tcBorders>
            <w:shd w:val="clear" w:color="auto" w:fill="auto"/>
            <w:vAlign w:val="top"/>
          </w:tcPr>
          <w:p w14:paraId="26D72B3A">
            <w:pPr>
              <w:numPr>
                <w:ilvl w:val="255"/>
                <w:numId w:val="0"/>
              </w:numPr>
              <w:rPr>
                <w:rFonts w:hint="eastAsia" w:ascii="宋体" w:hAnsi="宋体" w:eastAsia="宋体" w:cs="宋体"/>
                <w:color w:val="auto"/>
                <w:sz w:val="22"/>
                <w:szCs w:val="22"/>
              </w:rPr>
            </w:pPr>
            <w:r>
              <w:rPr>
                <w:rFonts w:hint="eastAsia" w:ascii="宋体" w:hAnsi="宋体" w:eastAsia="宋体" w:cs="宋体"/>
                <w:color w:val="auto"/>
                <w:sz w:val="22"/>
                <w:szCs w:val="22"/>
              </w:rPr>
              <w:t>（一）评</w:t>
            </w:r>
            <w:r>
              <w:rPr>
                <w:rFonts w:hint="eastAsia" w:ascii="宋体" w:hAnsi="宋体" w:eastAsia="宋体" w:cs="宋体"/>
                <w:color w:val="auto"/>
                <w:sz w:val="22"/>
                <w:szCs w:val="22"/>
                <w:lang w:eastAsia="zh-Hans"/>
              </w:rPr>
              <w:t>审</w:t>
            </w:r>
            <w:r>
              <w:rPr>
                <w:rFonts w:hint="eastAsia" w:ascii="宋体" w:hAnsi="宋体" w:eastAsia="宋体" w:cs="宋体"/>
                <w:color w:val="auto"/>
                <w:sz w:val="22"/>
                <w:szCs w:val="22"/>
              </w:rPr>
              <w:t>内容：</w:t>
            </w:r>
          </w:p>
          <w:p w14:paraId="2E9694E1">
            <w:pPr>
              <w:rPr>
                <w:rFonts w:hint="eastAsia" w:ascii="宋体" w:hAnsi="宋体" w:eastAsia="宋体" w:cs="宋体"/>
                <w:color w:val="auto"/>
                <w:sz w:val="22"/>
                <w:szCs w:val="22"/>
              </w:rPr>
            </w:pPr>
            <w:r>
              <w:rPr>
                <w:rFonts w:hint="eastAsia" w:ascii="宋体" w:hAnsi="宋体" w:eastAsia="宋体" w:cs="宋体"/>
                <w:color w:val="auto"/>
                <w:sz w:val="22"/>
                <w:szCs w:val="22"/>
              </w:rPr>
              <w:t>拟安排项目主要团队成员为投标单位员工且人数不少于</w:t>
            </w:r>
            <w:r>
              <w:rPr>
                <w:rFonts w:hint="eastAsia" w:ascii="宋体" w:hAnsi="宋体" w:eastAsia="宋体" w:cs="宋体"/>
                <w:color w:val="auto"/>
                <w:sz w:val="22"/>
                <w:szCs w:val="22"/>
                <w:lang w:val="en-US" w:eastAsia="zh-CN"/>
              </w:rPr>
              <w:t>19</w:t>
            </w:r>
            <w:r>
              <w:rPr>
                <w:rFonts w:hint="eastAsia" w:ascii="宋体" w:hAnsi="宋体" w:eastAsia="宋体" w:cs="宋体"/>
                <w:color w:val="auto"/>
                <w:sz w:val="22"/>
                <w:szCs w:val="22"/>
              </w:rPr>
              <w:t>人（以社保为准），否则该人员情况不予计分。在此基础上按以下标准进行打分：</w:t>
            </w:r>
          </w:p>
          <w:p w14:paraId="728DC193">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rPr>
              <w:t>1.</w:t>
            </w:r>
            <w:r>
              <w:rPr>
                <w:rFonts w:hint="eastAsia" w:ascii="宋体" w:hAnsi="宋体" w:eastAsia="宋体" w:cs="宋体"/>
                <w:color w:val="auto"/>
                <w:sz w:val="22"/>
                <w:szCs w:val="22"/>
                <w:lang w:eastAsia="zh-Hans"/>
              </w:rPr>
              <w:t>团队成员人数和构成</w:t>
            </w:r>
            <w:r>
              <w:rPr>
                <w:rFonts w:hint="eastAsia" w:ascii="宋体" w:hAnsi="宋体" w:eastAsia="宋体" w:cs="宋体"/>
                <w:color w:val="auto"/>
                <w:sz w:val="22"/>
                <w:szCs w:val="22"/>
              </w:rPr>
              <w:t>的情况</w:t>
            </w:r>
            <w:r>
              <w:rPr>
                <w:rFonts w:hint="eastAsia" w:ascii="宋体" w:hAnsi="宋体" w:eastAsia="宋体" w:cs="宋体"/>
                <w:color w:val="auto"/>
                <w:sz w:val="22"/>
                <w:szCs w:val="22"/>
                <w:lang w:eastAsia="zh-Hans"/>
              </w:rPr>
              <w:t>：</w:t>
            </w:r>
          </w:p>
          <w:p w14:paraId="5D95D6C7">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rPr>
              <w:t>（1）供应商承诺在提供考察的</w:t>
            </w:r>
            <w:r>
              <w:rPr>
                <w:rFonts w:hint="eastAsia" w:ascii="宋体" w:hAnsi="宋体" w:eastAsia="宋体" w:cs="宋体"/>
                <w:color w:val="auto"/>
                <w:sz w:val="22"/>
                <w:szCs w:val="22"/>
                <w:lang w:eastAsia="zh-Hans"/>
              </w:rPr>
              <w:t>团队人员</w:t>
            </w:r>
            <w:r>
              <w:rPr>
                <w:rFonts w:hint="eastAsia" w:ascii="宋体" w:hAnsi="宋体" w:eastAsia="宋体" w:cs="宋体"/>
                <w:color w:val="auto"/>
                <w:sz w:val="22"/>
                <w:szCs w:val="22"/>
              </w:rPr>
              <w:t>人数不少于</w:t>
            </w:r>
            <w:r>
              <w:rPr>
                <w:rFonts w:hint="eastAsia" w:ascii="宋体" w:hAnsi="宋体" w:eastAsia="宋体" w:cs="宋体"/>
                <w:color w:val="auto"/>
                <w:sz w:val="22"/>
                <w:szCs w:val="22"/>
                <w:lang w:val="en-US" w:eastAsia="zh-CN"/>
              </w:rPr>
              <w:t>19</w:t>
            </w:r>
            <w:r>
              <w:rPr>
                <w:rFonts w:hint="eastAsia" w:ascii="宋体" w:hAnsi="宋体" w:eastAsia="宋体" w:cs="宋体"/>
                <w:color w:val="auto"/>
                <w:sz w:val="22"/>
                <w:szCs w:val="22"/>
                <w:lang w:eastAsia="zh-Hans"/>
              </w:rPr>
              <w:t>人</w:t>
            </w:r>
            <w:r>
              <w:rPr>
                <w:rFonts w:hint="eastAsia" w:ascii="宋体" w:hAnsi="宋体" w:eastAsia="宋体" w:cs="宋体"/>
                <w:color w:val="auto"/>
                <w:sz w:val="22"/>
                <w:szCs w:val="22"/>
              </w:rPr>
              <w:t>（含</w:t>
            </w:r>
            <w:r>
              <w:rPr>
                <w:rFonts w:hint="eastAsia" w:ascii="宋体" w:hAnsi="宋体" w:eastAsia="宋体" w:cs="宋体"/>
                <w:color w:val="auto"/>
                <w:sz w:val="22"/>
                <w:szCs w:val="22"/>
                <w:lang w:val="en-US" w:eastAsia="zh-CN"/>
              </w:rPr>
              <w:t>19</w:t>
            </w:r>
            <w:r>
              <w:rPr>
                <w:rFonts w:hint="eastAsia" w:ascii="宋体" w:hAnsi="宋体" w:eastAsia="宋体" w:cs="宋体"/>
                <w:color w:val="auto"/>
                <w:sz w:val="22"/>
                <w:szCs w:val="22"/>
              </w:rPr>
              <w:t>人）的基础上，每增加1人，得</w:t>
            </w:r>
            <w:r>
              <w:rPr>
                <w:rFonts w:hint="eastAsia" w:ascii="宋体" w:hAnsi="宋体" w:eastAsia="宋体" w:cs="宋体"/>
                <w:color w:val="auto"/>
                <w:sz w:val="22"/>
                <w:szCs w:val="22"/>
                <w:lang w:val="en-US" w:eastAsia="zh-CN"/>
              </w:rPr>
              <w:t>10</w:t>
            </w:r>
            <w:r>
              <w:rPr>
                <w:rFonts w:hint="eastAsia" w:ascii="宋体" w:hAnsi="宋体" w:eastAsia="宋体" w:cs="宋体"/>
                <w:color w:val="auto"/>
                <w:sz w:val="22"/>
                <w:szCs w:val="22"/>
              </w:rPr>
              <w:t>分，本小项最高得20分（承诺函格式自拟）</w:t>
            </w:r>
            <w:r>
              <w:rPr>
                <w:rFonts w:hint="eastAsia" w:ascii="宋体" w:hAnsi="宋体" w:eastAsia="宋体" w:cs="宋体"/>
                <w:color w:val="auto"/>
                <w:sz w:val="22"/>
                <w:szCs w:val="22"/>
                <w:lang w:eastAsia="zh-CN"/>
              </w:rPr>
              <w:t>。</w:t>
            </w:r>
          </w:p>
          <w:p w14:paraId="6C7670A1">
            <w:pPr>
              <w:rPr>
                <w:rFonts w:hint="eastAsia" w:ascii="宋体" w:hAnsi="宋体" w:eastAsia="宋体" w:cs="宋体"/>
                <w:color w:val="auto"/>
                <w:sz w:val="22"/>
                <w:szCs w:val="22"/>
              </w:rPr>
            </w:pPr>
            <w:r>
              <w:rPr>
                <w:rFonts w:hint="eastAsia" w:ascii="宋体" w:hAnsi="宋体" w:eastAsia="宋体" w:cs="宋体"/>
                <w:color w:val="auto"/>
                <w:sz w:val="22"/>
                <w:szCs w:val="22"/>
                <w:lang w:eastAsia="zh-Hans"/>
              </w:rPr>
              <w:t>2.</w:t>
            </w:r>
            <w:r>
              <w:rPr>
                <w:rFonts w:hint="eastAsia" w:ascii="宋体" w:hAnsi="宋体" w:eastAsia="宋体" w:cs="宋体"/>
                <w:color w:val="auto"/>
                <w:sz w:val="22"/>
                <w:szCs w:val="22"/>
              </w:rPr>
              <w:t>团队成员专业、资质证书的情况：</w:t>
            </w:r>
          </w:p>
          <w:p w14:paraId="23E927C7">
            <w:pP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Hans"/>
              </w:rPr>
              <w:t>（1）</w:t>
            </w:r>
            <w:r>
              <w:rPr>
                <w:rFonts w:hint="eastAsia" w:ascii="宋体" w:hAnsi="宋体" w:eastAsia="宋体" w:cs="宋体"/>
                <w:color w:val="auto"/>
                <w:sz w:val="22"/>
                <w:szCs w:val="22"/>
                <w:highlight w:val="none"/>
              </w:rPr>
              <w:t>团队成员中具有本科及以上学历（学历专业类别为以下其中之一的：药学类、中药学类、生物工程类、生物医学工程类、临床医学类、法学类、财政学类），每提供1人，得4分，本小项最高得20分；</w:t>
            </w:r>
          </w:p>
          <w:p w14:paraId="62209484">
            <w:pPr>
              <w:rPr>
                <w:rFonts w:hint="eastAsia" w:ascii="宋体" w:hAnsi="宋体" w:eastAsia="宋体" w:cs="宋体"/>
                <w:color w:val="auto"/>
                <w:sz w:val="22"/>
                <w:szCs w:val="22"/>
              </w:rPr>
            </w:pPr>
            <w:r>
              <w:rPr>
                <w:rFonts w:hint="eastAsia" w:ascii="宋体" w:hAnsi="宋体" w:eastAsia="宋体" w:cs="宋体"/>
                <w:color w:val="auto"/>
                <w:sz w:val="22"/>
                <w:szCs w:val="22"/>
                <w:highlight w:val="none"/>
              </w:rPr>
              <w:t>（2）团队成员</w:t>
            </w:r>
            <w:r>
              <w:rPr>
                <w:rFonts w:hint="eastAsia" w:ascii="宋体" w:hAnsi="宋体" w:eastAsia="宋体" w:cs="宋体"/>
                <w:color w:val="auto"/>
                <w:sz w:val="22"/>
                <w:szCs w:val="22"/>
              </w:rPr>
              <w:t>中具有本科</w:t>
            </w:r>
            <w:r>
              <w:rPr>
                <w:rFonts w:hint="eastAsia" w:ascii="宋体" w:hAnsi="宋体" w:eastAsia="宋体" w:cs="宋体"/>
                <w:color w:val="auto"/>
                <w:sz w:val="22"/>
                <w:szCs w:val="22"/>
                <w:lang w:eastAsia="zh-Hans"/>
              </w:rPr>
              <w:t>及以上</w:t>
            </w:r>
            <w:r>
              <w:rPr>
                <w:rFonts w:hint="eastAsia" w:ascii="宋体" w:hAnsi="宋体" w:eastAsia="宋体" w:cs="宋体"/>
                <w:color w:val="auto"/>
                <w:sz w:val="22"/>
                <w:szCs w:val="22"/>
              </w:rPr>
              <w:t>学历（学历专业类别为</w:t>
            </w:r>
            <w:r>
              <w:rPr>
                <w:rFonts w:hint="eastAsia" w:ascii="宋体" w:hAnsi="宋体" w:eastAsia="宋体" w:cs="宋体"/>
                <w:color w:val="auto"/>
                <w:sz w:val="22"/>
                <w:szCs w:val="22"/>
                <w:lang w:eastAsia="zh-CN"/>
              </w:rPr>
              <w:t>计算机类</w:t>
            </w:r>
            <w:r>
              <w:rPr>
                <w:rFonts w:hint="eastAsia" w:ascii="宋体" w:hAnsi="宋体" w:eastAsia="宋体" w:cs="宋体"/>
                <w:color w:val="auto"/>
                <w:sz w:val="22"/>
                <w:szCs w:val="22"/>
              </w:rPr>
              <w:t>），每提供1人，得4分，</w:t>
            </w:r>
            <w:r>
              <w:rPr>
                <w:rFonts w:hint="eastAsia" w:ascii="宋体" w:hAnsi="宋体" w:eastAsia="宋体" w:cs="宋体"/>
                <w:color w:val="auto"/>
                <w:sz w:val="22"/>
                <w:szCs w:val="22"/>
                <w:lang w:eastAsia="zh-Hans"/>
              </w:rPr>
              <w:t>本</w:t>
            </w:r>
            <w:r>
              <w:rPr>
                <w:rFonts w:hint="eastAsia" w:ascii="宋体" w:hAnsi="宋体" w:eastAsia="宋体" w:cs="宋体"/>
                <w:color w:val="auto"/>
                <w:sz w:val="22"/>
                <w:szCs w:val="22"/>
              </w:rPr>
              <w:t>小</w:t>
            </w:r>
            <w:r>
              <w:rPr>
                <w:rFonts w:hint="eastAsia" w:ascii="宋体" w:hAnsi="宋体" w:eastAsia="宋体" w:cs="宋体"/>
                <w:color w:val="auto"/>
                <w:sz w:val="22"/>
                <w:szCs w:val="22"/>
                <w:lang w:eastAsia="zh-Hans"/>
              </w:rPr>
              <w:t>项最高得</w:t>
            </w:r>
            <w:r>
              <w:rPr>
                <w:rFonts w:hint="eastAsia" w:ascii="宋体" w:hAnsi="宋体" w:eastAsia="宋体" w:cs="宋体"/>
                <w:color w:val="auto"/>
                <w:sz w:val="22"/>
                <w:szCs w:val="22"/>
              </w:rPr>
              <w:t>20分；</w:t>
            </w:r>
          </w:p>
          <w:p w14:paraId="4C874C1A">
            <w:pPr>
              <w:rPr>
                <w:rFonts w:hint="eastAsia" w:ascii="宋体" w:hAnsi="宋体" w:eastAsia="宋体" w:cs="宋体"/>
                <w:color w:val="auto"/>
                <w:sz w:val="22"/>
                <w:szCs w:val="22"/>
              </w:rPr>
            </w:pPr>
            <w:r>
              <w:rPr>
                <w:rFonts w:hint="eastAsia" w:ascii="宋体" w:hAnsi="宋体" w:eastAsia="宋体" w:cs="宋体"/>
                <w:color w:val="auto"/>
                <w:sz w:val="22"/>
                <w:szCs w:val="22"/>
              </w:rPr>
              <w:t>（3）团队成员中具有地市级及以上</w:t>
            </w:r>
            <w:r>
              <w:rPr>
                <w:rFonts w:hint="eastAsia" w:ascii="宋体" w:hAnsi="宋体" w:eastAsia="宋体" w:cs="宋体"/>
                <w:color w:val="auto"/>
                <w:sz w:val="22"/>
                <w:szCs w:val="22"/>
                <w:lang w:eastAsia="zh-CN"/>
              </w:rPr>
              <w:t>城市</w:t>
            </w:r>
            <w:r>
              <w:rPr>
                <w:rFonts w:hint="eastAsia" w:ascii="宋体" w:hAnsi="宋体" w:eastAsia="宋体" w:cs="宋体"/>
                <w:color w:val="auto"/>
                <w:sz w:val="22"/>
                <w:szCs w:val="22"/>
              </w:rPr>
              <w:t>药品采购交易平台服务经验的，每提供1人，得4分，本小项最高得20分；</w:t>
            </w:r>
          </w:p>
          <w:p w14:paraId="74502F41">
            <w:pPr>
              <w:rPr>
                <w:rFonts w:hint="eastAsia" w:ascii="宋体" w:hAnsi="宋体" w:eastAsia="宋体" w:cs="宋体"/>
                <w:color w:val="auto"/>
                <w:sz w:val="22"/>
                <w:szCs w:val="22"/>
              </w:rPr>
            </w:pPr>
            <w:r>
              <w:rPr>
                <w:rFonts w:hint="eastAsia" w:ascii="宋体" w:hAnsi="宋体" w:eastAsia="宋体" w:cs="宋体"/>
                <w:color w:val="auto"/>
                <w:sz w:val="22"/>
                <w:szCs w:val="22"/>
              </w:rPr>
              <w:t>（4）</w:t>
            </w:r>
            <w:r>
              <w:rPr>
                <w:rFonts w:hint="eastAsia" w:ascii="宋体" w:hAnsi="宋体" w:eastAsia="宋体" w:cs="宋体"/>
                <w:color w:val="auto"/>
                <w:sz w:val="22"/>
                <w:szCs w:val="22"/>
                <w:highlight w:val="none"/>
              </w:rPr>
              <w:t>团队成员</w:t>
            </w:r>
            <w:r>
              <w:rPr>
                <w:rFonts w:hint="eastAsia" w:ascii="宋体" w:hAnsi="宋体" w:eastAsia="宋体" w:cs="宋体"/>
                <w:color w:val="auto"/>
                <w:sz w:val="22"/>
                <w:szCs w:val="22"/>
              </w:rPr>
              <w:t>具有</w:t>
            </w:r>
            <w:r>
              <w:rPr>
                <w:rFonts w:hint="eastAsia" w:ascii="宋体" w:hAnsi="宋体" w:eastAsia="宋体" w:cs="宋体"/>
                <w:sz w:val="22"/>
                <w:szCs w:val="22"/>
                <w:lang w:eastAsia="zh-CN"/>
              </w:rPr>
              <w:t>药师相关的</w:t>
            </w:r>
            <w:r>
              <w:rPr>
                <w:rFonts w:hint="eastAsia" w:ascii="宋体" w:hAnsi="宋体" w:eastAsia="宋体" w:cs="宋体"/>
                <w:color w:val="auto"/>
                <w:sz w:val="22"/>
                <w:szCs w:val="22"/>
                <w:lang w:eastAsia="zh-CN"/>
              </w:rPr>
              <w:t>中级及以上证书、中级及以上计算机技术与软件专业技术资格证书或</w:t>
            </w:r>
            <w:r>
              <w:rPr>
                <w:rFonts w:hint="eastAsia" w:ascii="宋体" w:hAnsi="宋体" w:eastAsia="宋体" w:cs="宋体"/>
                <w:color w:val="auto"/>
                <w:sz w:val="22"/>
                <w:szCs w:val="22"/>
              </w:rPr>
              <w:t>PMP证书的，</w:t>
            </w:r>
            <w:r>
              <w:rPr>
                <w:rFonts w:hint="eastAsia" w:ascii="宋体" w:hAnsi="宋体" w:eastAsia="宋体" w:cs="宋体"/>
                <w:color w:val="auto"/>
                <w:sz w:val="22"/>
                <w:szCs w:val="22"/>
                <w:lang w:val="en-US" w:eastAsia="zh-CN"/>
              </w:rPr>
              <w:t>每提供1人，</w:t>
            </w:r>
            <w:r>
              <w:rPr>
                <w:rFonts w:hint="eastAsia" w:ascii="宋体" w:hAnsi="宋体" w:eastAsia="宋体" w:cs="宋体"/>
                <w:color w:val="auto"/>
                <w:sz w:val="22"/>
                <w:szCs w:val="22"/>
              </w:rPr>
              <w:t>得20分，本项最高得20分。</w:t>
            </w:r>
          </w:p>
          <w:p w14:paraId="5D0ED44D">
            <w:pPr>
              <w:rPr>
                <w:rFonts w:hint="eastAsia" w:ascii="宋体" w:hAnsi="宋体" w:eastAsia="宋体" w:cs="宋体"/>
                <w:color w:val="auto"/>
                <w:sz w:val="22"/>
                <w:szCs w:val="22"/>
              </w:rPr>
            </w:pPr>
            <w:r>
              <w:rPr>
                <w:rFonts w:hint="eastAsia" w:ascii="宋体" w:hAnsi="宋体" w:eastAsia="宋体" w:cs="宋体"/>
                <w:color w:val="auto"/>
                <w:sz w:val="22"/>
                <w:szCs w:val="22"/>
              </w:rPr>
              <w:t>同一人员具有多项证书的可重复计分，本项最高得100分。</w:t>
            </w:r>
          </w:p>
          <w:p w14:paraId="4F9C4CB3">
            <w:pPr>
              <w:rPr>
                <w:rFonts w:hint="eastAsia" w:ascii="宋体" w:hAnsi="宋体" w:eastAsia="宋体" w:cs="宋体"/>
                <w:color w:val="auto"/>
                <w:sz w:val="22"/>
                <w:szCs w:val="22"/>
              </w:rPr>
            </w:pPr>
            <w:r>
              <w:rPr>
                <w:rFonts w:hint="eastAsia" w:ascii="宋体" w:hAnsi="宋体" w:eastAsia="宋体" w:cs="宋体"/>
                <w:color w:val="auto"/>
                <w:sz w:val="22"/>
                <w:szCs w:val="22"/>
              </w:rPr>
              <w:t>（二）评分依据：</w:t>
            </w:r>
          </w:p>
          <w:p w14:paraId="3B166273">
            <w:pPr>
              <w:rPr>
                <w:rFonts w:hint="eastAsia" w:ascii="宋体" w:hAnsi="宋体" w:eastAsia="宋体" w:cs="宋体"/>
                <w:color w:val="auto"/>
                <w:sz w:val="22"/>
                <w:szCs w:val="22"/>
              </w:rPr>
            </w:pPr>
            <w:r>
              <w:rPr>
                <w:rFonts w:hint="eastAsia" w:ascii="宋体" w:hAnsi="宋体" w:eastAsia="宋体" w:cs="宋体"/>
                <w:color w:val="auto"/>
                <w:sz w:val="22"/>
                <w:szCs w:val="22"/>
              </w:rPr>
              <w:t>1.要求提供通过</w:t>
            </w:r>
            <w:r>
              <w:rPr>
                <w:rFonts w:hint="eastAsia" w:ascii="宋体" w:hAnsi="宋体" w:eastAsia="宋体" w:cs="宋体"/>
                <w:color w:val="auto"/>
                <w:sz w:val="22"/>
                <w:szCs w:val="22"/>
                <w:lang w:eastAsia="zh-CN"/>
              </w:rPr>
              <w:t>投标单位</w:t>
            </w:r>
            <w:r>
              <w:rPr>
                <w:rFonts w:hint="eastAsia" w:ascii="宋体" w:hAnsi="宋体" w:eastAsia="宋体" w:cs="宋体"/>
                <w:color w:val="auto"/>
                <w:sz w:val="22"/>
                <w:szCs w:val="22"/>
              </w:rPr>
              <w:t>缴纳的近三个月的任意一个月的社保证明作为本单位员工的证明依据。若</w:t>
            </w:r>
            <w:r>
              <w:rPr>
                <w:rFonts w:hint="eastAsia" w:ascii="宋体" w:hAnsi="宋体" w:eastAsia="宋体" w:cs="宋体"/>
                <w:color w:val="auto"/>
                <w:sz w:val="22"/>
                <w:szCs w:val="22"/>
                <w:lang w:eastAsia="zh-CN"/>
              </w:rPr>
              <w:t>投标单位</w:t>
            </w:r>
            <w:r>
              <w:rPr>
                <w:rFonts w:hint="eastAsia" w:ascii="宋体" w:hAnsi="宋体" w:eastAsia="宋体" w:cs="宋体"/>
                <w:color w:val="auto"/>
                <w:sz w:val="22"/>
                <w:szCs w:val="22"/>
              </w:rPr>
              <w:t>成立不足三个月的，需提供成立情况说明函（格式自拟），无需提供相关人员社保，亦可得分；若为退休返聘人员，需提供说明函（格式自拟），无需提供相关人员社保，亦可得分。</w:t>
            </w:r>
          </w:p>
          <w:p w14:paraId="423DB2FE">
            <w:pPr>
              <w:rPr>
                <w:rFonts w:hint="eastAsia" w:ascii="宋体" w:hAnsi="宋体" w:eastAsia="宋体" w:cs="宋体"/>
                <w:color w:val="auto"/>
                <w:sz w:val="22"/>
                <w:szCs w:val="22"/>
              </w:rPr>
            </w:pPr>
            <w:r>
              <w:rPr>
                <w:rFonts w:hint="eastAsia" w:ascii="宋体" w:hAnsi="宋体" w:eastAsia="宋体" w:cs="宋体"/>
                <w:color w:val="auto"/>
                <w:sz w:val="22"/>
                <w:szCs w:val="22"/>
              </w:rPr>
              <w:t>2.要求提供</w:t>
            </w:r>
            <w:r>
              <w:rPr>
                <w:rFonts w:hint="eastAsia" w:ascii="宋体" w:hAnsi="宋体" w:eastAsia="宋体" w:cs="宋体"/>
                <w:color w:val="auto"/>
                <w:sz w:val="22"/>
                <w:szCs w:val="22"/>
                <w:lang w:eastAsia="zh-CN"/>
              </w:rPr>
              <w:t>投标单位</w:t>
            </w:r>
            <w:r>
              <w:rPr>
                <w:rFonts w:hint="eastAsia" w:ascii="宋体" w:hAnsi="宋体" w:eastAsia="宋体" w:cs="宋体"/>
                <w:color w:val="auto"/>
                <w:sz w:val="22"/>
                <w:szCs w:val="22"/>
              </w:rPr>
              <w:t>相关证明资料作为得分依据。</w:t>
            </w:r>
          </w:p>
          <w:p w14:paraId="4ADCE1DC">
            <w:pPr>
              <w:rPr>
                <w:rFonts w:hint="eastAsia" w:ascii="宋体" w:hAnsi="宋体" w:eastAsia="宋体" w:cs="宋体"/>
                <w:color w:val="auto"/>
                <w:sz w:val="22"/>
                <w:szCs w:val="22"/>
              </w:rPr>
            </w:pPr>
            <w:r>
              <w:rPr>
                <w:rFonts w:hint="eastAsia" w:ascii="宋体" w:hAnsi="宋体" w:eastAsia="宋体" w:cs="宋体"/>
                <w:color w:val="auto"/>
                <w:sz w:val="22"/>
                <w:szCs w:val="22"/>
              </w:rPr>
              <w:t>3要求提供证书扫描件以及学信网查询记录。对于较早颁发的学历学位证书，学信网无法查询的，要求提供证书扫描件和其他佐证材料（如毕业院校、人社部门等颁发机构或监管机构等单位出具的证明）作为得分的依据。海外留学（含港澳台）人员学历无法通过学信网站查询的，应当提供“教育部留学服务中心出具的国外学历认证证书以及教育部留学服务中心官网查询截图。”</w:t>
            </w:r>
          </w:p>
          <w:p w14:paraId="3B619A6B">
            <w:pPr>
              <w:rPr>
                <w:rFonts w:hint="eastAsia" w:ascii="宋体" w:hAnsi="宋体" w:eastAsia="宋体" w:cs="宋体"/>
                <w:color w:val="auto"/>
                <w:sz w:val="22"/>
                <w:szCs w:val="22"/>
              </w:rPr>
            </w:pPr>
            <w:r>
              <w:rPr>
                <w:rFonts w:hint="eastAsia" w:ascii="宋体" w:hAnsi="宋体" w:eastAsia="宋体" w:cs="宋体"/>
                <w:color w:val="auto"/>
                <w:sz w:val="22"/>
                <w:szCs w:val="22"/>
              </w:rPr>
              <w:t>4.以上资料均要求提供扫描件（或官方网站截图），原件备查。评分中出现无证明资料或专家无法凭所提供资料判断是否得分的情况，一律作不得分处理。</w:t>
            </w:r>
          </w:p>
          <w:p w14:paraId="026B9D30">
            <w:pP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5.如涉及考察人员工作经验，要求提供项目合同关键信息作为得分依据，通过合同关键信息无法判断是否得分的，还须同时提供合同甲方出具的证明文件。</w:t>
            </w:r>
          </w:p>
        </w:tc>
      </w:tr>
      <w:tr w14:paraId="2E83EF5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80" w:type="dxa"/>
            <w:vMerge w:val="continue"/>
            <w:tcBorders>
              <w:left w:val="single" w:color="000000" w:sz="8" w:space="0"/>
              <w:right w:val="single" w:color="000000" w:sz="8" w:space="0"/>
            </w:tcBorders>
            <w:vAlign w:val="center"/>
          </w:tcPr>
          <w:p w14:paraId="4FD0F6AC">
            <w:pPr>
              <w:keepNext w:val="0"/>
              <w:keepLines w:val="0"/>
              <w:pageBreakBefore w:val="0"/>
              <w:widowControl/>
              <w:kinsoku/>
              <w:overflowPunct/>
              <w:topLinePunct w:val="0"/>
              <w:autoSpaceDE/>
              <w:autoSpaceDN/>
              <w:bidi w:val="0"/>
              <w:adjustRightInd/>
              <w:snapToGrid/>
              <w:spacing w:line="240" w:lineRule="auto"/>
              <w:textAlignment w:val="auto"/>
              <w:rPr>
                <w:rFonts w:hint="eastAsia" w:ascii="宋体" w:hAnsi="宋体" w:eastAsia="宋体" w:cs="宋体"/>
                <w:b/>
                <w:bCs/>
                <w:color w:val="0000FF"/>
                <w:sz w:val="22"/>
                <w:szCs w:val="22"/>
                <w:highlight w:val="none"/>
              </w:rPr>
            </w:pPr>
          </w:p>
        </w:tc>
        <w:tc>
          <w:tcPr>
            <w:tcW w:w="70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A2C96F1">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8</w:t>
            </w:r>
          </w:p>
        </w:tc>
        <w:tc>
          <w:tcPr>
            <w:tcW w:w="231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CB424D1">
            <w:pPr>
              <w:wordWrap w:val="0"/>
              <w:jc w:val="cente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拟投入的服务资源（车辆、场地、工具、机器等）情况</w:t>
            </w:r>
          </w:p>
        </w:tc>
        <w:tc>
          <w:tcPr>
            <w:tcW w:w="67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E919DEE">
            <w:pPr>
              <w:wordWrap w:val="0"/>
              <w:jc w:val="cente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4</w:t>
            </w:r>
          </w:p>
        </w:tc>
        <w:tc>
          <w:tcPr>
            <w:tcW w:w="4599" w:type="dxa"/>
            <w:tcBorders>
              <w:top w:val="single" w:color="000000" w:sz="8" w:space="0"/>
              <w:left w:val="single" w:color="000000" w:sz="8" w:space="0"/>
              <w:bottom w:val="single" w:color="000000" w:sz="8" w:space="0"/>
              <w:right w:val="single" w:color="000000" w:sz="8" w:space="0"/>
            </w:tcBorders>
            <w:shd w:val="clear" w:color="auto" w:fill="auto"/>
            <w:vAlign w:val="top"/>
          </w:tcPr>
          <w:p w14:paraId="06A42D17">
            <w:pPr>
              <w:rPr>
                <w:rFonts w:hint="eastAsia" w:ascii="宋体" w:hAnsi="宋体" w:eastAsia="宋体" w:cs="宋体"/>
                <w:color w:val="auto"/>
                <w:sz w:val="22"/>
                <w:szCs w:val="22"/>
              </w:rPr>
            </w:pPr>
            <w:r>
              <w:rPr>
                <w:rFonts w:hint="eastAsia" w:ascii="宋体" w:hAnsi="宋体" w:eastAsia="宋体" w:cs="宋体"/>
                <w:color w:val="auto"/>
                <w:sz w:val="22"/>
                <w:szCs w:val="22"/>
              </w:rPr>
              <w:t>（一）评</w:t>
            </w:r>
            <w:r>
              <w:rPr>
                <w:rFonts w:hint="eastAsia" w:ascii="宋体" w:hAnsi="宋体" w:eastAsia="宋体" w:cs="宋体"/>
                <w:color w:val="auto"/>
                <w:sz w:val="22"/>
                <w:szCs w:val="22"/>
                <w:lang w:eastAsia="zh-Hans"/>
              </w:rPr>
              <w:t>审</w:t>
            </w:r>
            <w:r>
              <w:rPr>
                <w:rFonts w:hint="eastAsia" w:ascii="宋体" w:hAnsi="宋体" w:eastAsia="宋体" w:cs="宋体"/>
                <w:color w:val="auto"/>
                <w:sz w:val="22"/>
                <w:szCs w:val="22"/>
              </w:rPr>
              <w:t>内容：</w:t>
            </w:r>
          </w:p>
          <w:p w14:paraId="0D942D23">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rPr>
              <w:t>1.为保障平台正常运行，供应商须承诺：中标后</w:t>
            </w:r>
            <w:r>
              <w:rPr>
                <w:rFonts w:hint="eastAsia" w:ascii="宋体" w:hAnsi="宋体" w:eastAsia="宋体" w:cs="宋体"/>
                <w:color w:val="auto"/>
                <w:sz w:val="22"/>
                <w:szCs w:val="22"/>
                <w:lang w:val="en-US" w:eastAsia="zh-CN"/>
              </w:rPr>
              <w:t>药品</w:t>
            </w:r>
            <w:r>
              <w:rPr>
                <w:rFonts w:hint="eastAsia" w:ascii="宋体" w:hAnsi="宋体" w:eastAsia="宋体" w:cs="宋体"/>
                <w:color w:val="auto"/>
                <w:sz w:val="22"/>
                <w:szCs w:val="22"/>
              </w:rPr>
              <w:t>采购交易</w:t>
            </w:r>
            <w:r>
              <w:rPr>
                <w:rFonts w:hint="eastAsia" w:ascii="宋体" w:hAnsi="宋体" w:eastAsia="宋体" w:cs="宋体"/>
                <w:color w:val="auto"/>
                <w:sz w:val="22"/>
                <w:szCs w:val="22"/>
                <w:lang w:val="en-US" w:eastAsia="zh-CN"/>
              </w:rPr>
              <w:t>系统</w:t>
            </w:r>
            <w:r>
              <w:rPr>
                <w:rFonts w:hint="eastAsia" w:ascii="宋体" w:hAnsi="宋体" w:eastAsia="宋体" w:cs="宋体"/>
                <w:color w:val="auto"/>
                <w:sz w:val="22"/>
                <w:szCs w:val="22"/>
              </w:rPr>
              <w:t>部署在主流的操作系统上(包括Unix或Linux或Windows)。承诺此项得50分</w:t>
            </w:r>
            <w:r>
              <w:rPr>
                <w:rFonts w:hint="eastAsia" w:ascii="宋体" w:hAnsi="宋体" w:eastAsia="宋体" w:cs="宋体"/>
                <w:color w:val="auto"/>
                <w:sz w:val="22"/>
                <w:szCs w:val="22"/>
                <w:lang w:eastAsia="zh-Hans"/>
              </w:rPr>
              <w:t>，</w:t>
            </w:r>
            <w:r>
              <w:rPr>
                <w:rFonts w:hint="eastAsia" w:ascii="宋体" w:hAnsi="宋体" w:eastAsia="宋体" w:cs="宋体"/>
                <w:color w:val="auto"/>
                <w:sz w:val="22"/>
                <w:szCs w:val="22"/>
              </w:rPr>
              <w:t>否则不得分；</w:t>
            </w:r>
          </w:p>
          <w:p w14:paraId="4FA67D24">
            <w:pPr>
              <w:rPr>
                <w:rFonts w:hint="eastAsia" w:ascii="宋体" w:hAnsi="宋体" w:eastAsia="宋体" w:cs="宋体"/>
                <w:color w:val="auto"/>
                <w:sz w:val="22"/>
                <w:szCs w:val="22"/>
              </w:rPr>
            </w:pPr>
            <w:r>
              <w:rPr>
                <w:rFonts w:hint="eastAsia" w:ascii="宋体" w:hAnsi="宋体" w:eastAsia="宋体" w:cs="宋体"/>
                <w:color w:val="auto"/>
                <w:sz w:val="22"/>
                <w:szCs w:val="22"/>
              </w:rPr>
              <w:t>2.保障平台</w:t>
            </w:r>
            <w:r>
              <w:rPr>
                <w:rFonts w:hint="eastAsia" w:ascii="宋体" w:hAnsi="宋体" w:eastAsia="宋体" w:cs="宋体"/>
                <w:color w:val="auto"/>
                <w:sz w:val="22"/>
                <w:szCs w:val="22"/>
                <w:lang w:val="en-US" w:eastAsia="zh-CN"/>
              </w:rPr>
              <w:t>系统</w:t>
            </w:r>
            <w:r>
              <w:rPr>
                <w:rFonts w:hint="eastAsia" w:ascii="宋体" w:hAnsi="宋体" w:eastAsia="宋体" w:cs="宋体"/>
                <w:color w:val="auto"/>
                <w:sz w:val="22"/>
                <w:szCs w:val="22"/>
              </w:rPr>
              <w:t>正常运行，供应商须承诺：中标后</w:t>
            </w:r>
            <w:r>
              <w:rPr>
                <w:rFonts w:hint="eastAsia" w:ascii="宋体" w:hAnsi="宋体" w:eastAsia="宋体" w:cs="宋体"/>
                <w:color w:val="auto"/>
                <w:sz w:val="22"/>
                <w:szCs w:val="22"/>
                <w:lang w:val="en-US" w:eastAsia="zh-CN"/>
              </w:rPr>
              <w:t>药品</w:t>
            </w:r>
            <w:r>
              <w:rPr>
                <w:rFonts w:hint="eastAsia" w:ascii="宋体" w:hAnsi="宋体" w:eastAsia="宋体" w:cs="宋体"/>
                <w:color w:val="auto"/>
                <w:sz w:val="22"/>
                <w:szCs w:val="22"/>
              </w:rPr>
              <w:t>采购交易</w:t>
            </w:r>
            <w:r>
              <w:rPr>
                <w:rFonts w:hint="eastAsia" w:ascii="宋体" w:hAnsi="宋体" w:eastAsia="宋体" w:cs="宋体"/>
                <w:color w:val="auto"/>
                <w:sz w:val="22"/>
                <w:szCs w:val="22"/>
                <w:lang w:val="en-US" w:eastAsia="zh-CN"/>
              </w:rPr>
              <w:t>系统</w:t>
            </w:r>
            <w:r>
              <w:rPr>
                <w:rFonts w:hint="eastAsia" w:ascii="宋体" w:hAnsi="宋体" w:eastAsia="宋体" w:cs="宋体"/>
                <w:color w:val="auto"/>
                <w:sz w:val="22"/>
                <w:szCs w:val="22"/>
              </w:rPr>
              <w:t>硬件配置满足要求（包括但不限于云服务器25台，云存储2台，主机安全25台，Web防火墙1台）。承诺此项得50分</w:t>
            </w:r>
            <w:r>
              <w:rPr>
                <w:rFonts w:hint="eastAsia" w:ascii="宋体" w:hAnsi="宋体" w:eastAsia="宋体" w:cs="宋体"/>
                <w:color w:val="auto"/>
                <w:sz w:val="22"/>
                <w:szCs w:val="22"/>
                <w:lang w:eastAsia="zh-Hans"/>
              </w:rPr>
              <w:t>，</w:t>
            </w:r>
            <w:r>
              <w:rPr>
                <w:rFonts w:hint="eastAsia" w:ascii="宋体" w:hAnsi="宋体" w:eastAsia="宋体" w:cs="宋体"/>
                <w:color w:val="auto"/>
                <w:sz w:val="22"/>
                <w:szCs w:val="22"/>
              </w:rPr>
              <w:t>否则不得分。</w:t>
            </w:r>
          </w:p>
          <w:p w14:paraId="1A376820">
            <w:pPr>
              <w:rPr>
                <w:rFonts w:hint="eastAsia" w:ascii="宋体" w:hAnsi="宋体" w:eastAsia="宋体" w:cs="宋体"/>
                <w:color w:val="auto"/>
                <w:sz w:val="22"/>
                <w:szCs w:val="22"/>
              </w:rPr>
            </w:pPr>
            <w:r>
              <w:rPr>
                <w:rFonts w:hint="eastAsia" w:ascii="宋体" w:hAnsi="宋体" w:eastAsia="宋体" w:cs="宋体"/>
                <w:color w:val="auto"/>
                <w:sz w:val="22"/>
                <w:szCs w:val="22"/>
              </w:rPr>
              <w:t>以上2项累计计分，最高得100分。</w:t>
            </w:r>
          </w:p>
          <w:p w14:paraId="20FDDA34">
            <w:pPr>
              <w:rPr>
                <w:rFonts w:hint="eastAsia" w:ascii="宋体" w:hAnsi="宋体" w:eastAsia="宋体" w:cs="宋体"/>
                <w:color w:val="auto"/>
                <w:sz w:val="22"/>
                <w:szCs w:val="22"/>
              </w:rPr>
            </w:pPr>
            <w:r>
              <w:rPr>
                <w:rFonts w:hint="eastAsia" w:ascii="宋体" w:hAnsi="宋体" w:eastAsia="宋体" w:cs="宋体"/>
                <w:color w:val="auto"/>
                <w:sz w:val="22"/>
                <w:szCs w:val="22"/>
              </w:rPr>
              <w:t>（二）评分依据:</w:t>
            </w:r>
          </w:p>
          <w:p w14:paraId="769C5F7A">
            <w:pP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要求供应商提供承诺（格式自定）作为得分依据。未提供承诺或承诺内容不满足要求均不得分。</w:t>
            </w:r>
          </w:p>
        </w:tc>
      </w:tr>
      <w:tr w14:paraId="353BF36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80" w:type="dxa"/>
            <w:vMerge w:val="continue"/>
            <w:tcBorders>
              <w:left w:val="single" w:color="000000" w:sz="8" w:space="0"/>
              <w:right w:val="single" w:color="000000" w:sz="8" w:space="0"/>
            </w:tcBorders>
            <w:vAlign w:val="center"/>
          </w:tcPr>
          <w:p w14:paraId="007353B3">
            <w:pPr>
              <w:keepNext w:val="0"/>
              <w:keepLines w:val="0"/>
              <w:pageBreakBefore w:val="0"/>
              <w:widowControl/>
              <w:kinsoku/>
              <w:overflowPunct/>
              <w:topLinePunct w:val="0"/>
              <w:autoSpaceDE/>
              <w:autoSpaceDN/>
              <w:bidi w:val="0"/>
              <w:adjustRightInd/>
              <w:snapToGrid/>
              <w:spacing w:line="240" w:lineRule="auto"/>
              <w:textAlignment w:val="auto"/>
              <w:rPr>
                <w:rFonts w:hint="eastAsia" w:ascii="宋体" w:hAnsi="宋体" w:eastAsia="宋体" w:cs="宋体"/>
                <w:b/>
                <w:bCs/>
                <w:color w:val="0000FF"/>
                <w:sz w:val="22"/>
                <w:szCs w:val="22"/>
                <w:highlight w:val="none"/>
              </w:rPr>
            </w:pPr>
          </w:p>
        </w:tc>
        <w:tc>
          <w:tcPr>
            <w:tcW w:w="70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719F88B">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9</w:t>
            </w:r>
          </w:p>
        </w:tc>
        <w:tc>
          <w:tcPr>
            <w:tcW w:w="231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0072024">
            <w:pPr>
              <w:wordWrap w:val="0"/>
              <w:jc w:val="cente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lang w:eastAsia="zh-Hans"/>
              </w:rPr>
              <w:t>现场演示</w:t>
            </w:r>
          </w:p>
        </w:tc>
        <w:tc>
          <w:tcPr>
            <w:tcW w:w="67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316F30A">
            <w:pPr>
              <w:wordWrap w:val="0"/>
              <w:jc w:val="cente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1</w:t>
            </w:r>
            <w:r>
              <w:rPr>
                <w:rFonts w:hint="eastAsia" w:ascii="宋体" w:hAnsi="宋体" w:eastAsia="宋体" w:cs="宋体"/>
                <w:color w:val="auto"/>
                <w:sz w:val="22"/>
                <w:szCs w:val="22"/>
                <w:lang w:val="en-US" w:eastAsia="zh-CN"/>
              </w:rPr>
              <w:t>8</w:t>
            </w:r>
          </w:p>
        </w:tc>
        <w:tc>
          <w:tcPr>
            <w:tcW w:w="4599" w:type="dxa"/>
            <w:tcBorders>
              <w:top w:val="single" w:color="000000" w:sz="8" w:space="0"/>
              <w:left w:val="single" w:color="000000" w:sz="8" w:space="0"/>
              <w:bottom w:val="single" w:color="000000" w:sz="8" w:space="0"/>
              <w:right w:val="single" w:color="000000" w:sz="8" w:space="0"/>
            </w:tcBorders>
            <w:shd w:val="clear" w:color="auto" w:fill="auto"/>
            <w:vAlign w:val="top"/>
          </w:tcPr>
          <w:p w14:paraId="05352883">
            <w:pPr>
              <w:rPr>
                <w:rFonts w:hint="eastAsia" w:ascii="宋体" w:hAnsi="宋体" w:eastAsia="宋体" w:cs="宋体"/>
                <w:color w:val="auto"/>
                <w:sz w:val="22"/>
                <w:szCs w:val="22"/>
              </w:rPr>
            </w:pPr>
            <w:r>
              <w:rPr>
                <w:rFonts w:hint="eastAsia" w:ascii="宋体" w:hAnsi="宋体" w:eastAsia="宋体" w:cs="宋体"/>
                <w:color w:val="auto"/>
                <w:sz w:val="22"/>
                <w:szCs w:val="22"/>
              </w:rPr>
              <w:t>（一）评</w:t>
            </w:r>
            <w:r>
              <w:rPr>
                <w:rFonts w:hint="eastAsia" w:ascii="宋体" w:hAnsi="宋体" w:eastAsia="宋体" w:cs="宋体"/>
                <w:color w:val="auto"/>
                <w:sz w:val="22"/>
                <w:szCs w:val="22"/>
                <w:lang w:eastAsia="zh-Hans"/>
              </w:rPr>
              <w:t>审</w:t>
            </w:r>
            <w:r>
              <w:rPr>
                <w:rFonts w:hint="eastAsia" w:ascii="宋体" w:hAnsi="宋体" w:eastAsia="宋体" w:cs="宋体"/>
                <w:color w:val="auto"/>
                <w:sz w:val="22"/>
                <w:szCs w:val="22"/>
              </w:rPr>
              <w:t>内容：</w:t>
            </w:r>
          </w:p>
          <w:p w14:paraId="52AD8AC9">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rPr>
              <w:t>1</w:t>
            </w:r>
            <w:r>
              <w:rPr>
                <w:rFonts w:hint="eastAsia" w:ascii="宋体" w:hAnsi="宋体" w:eastAsia="宋体" w:cs="宋体"/>
                <w:color w:val="auto"/>
                <w:sz w:val="22"/>
                <w:szCs w:val="22"/>
                <w:lang w:eastAsia="zh-Hans"/>
              </w:rPr>
              <w:t>.演示</w:t>
            </w:r>
            <w:r>
              <w:rPr>
                <w:rFonts w:hint="eastAsia" w:ascii="宋体" w:hAnsi="宋体" w:eastAsia="宋体" w:cs="宋体"/>
                <w:color w:val="auto"/>
                <w:sz w:val="22"/>
                <w:szCs w:val="22"/>
              </w:rPr>
              <w:t>平台</w:t>
            </w:r>
            <w:r>
              <w:rPr>
                <w:rFonts w:hint="eastAsia" w:ascii="宋体" w:hAnsi="宋体" w:eastAsia="宋体" w:cs="宋体"/>
                <w:color w:val="auto"/>
                <w:sz w:val="22"/>
                <w:szCs w:val="22"/>
                <w:lang w:eastAsia="zh-Hans"/>
              </w:rPr>
              <w:t>基础</w:t>
            </w:r>
            <w:r>
              <w:rPr>
                <w:rFonts w:hint="eastAsia" w:ascii="宋体" w:hAnsi="宋体" w:eastAsia="宋体" w:cs="宋体"/>
                <w:color w:val="auto"/>
                <w:sz w:val="22"/>
                <w:szCs w:val="22"/>
              </w:rPr>
              <w:t>管理</w:t>
            </w:r>
            <w:r>
              <w:rPr>
                <w:rFonts w:hint="eastAsia" w:ascii="宋体" w:hAnsi="宋体" w:eastAsia="宋体" w:cs="宋体"/>
                <w:color w:val="auto"/>
                <w:sz w:val="22"/>
                <w:szCs w:val="22"/>
                <w:lang w:eastAsia="zh-Hans"/>
              </w:rPr>
              <w:t>系统</w:t>
            </w:r>
            <w:r>
              <w:rPr>
                <w:rFonts w:hint="eastAsia" w:ascii="宋体" w:hAnsi="宋体" w:eastAsia="宋体" w:cs="宋体"/>
                <w:color w:val="auto"/>
                <w:sz w:val="22"/>
                <w:szCs w:val="22"/>
              </w:rPr>
              <w:t>，包括但不限于药品目录数据管理（包括但不限于医保目录、国家谈判药品、国家集采药品目录等）、药品价格管理等功能，</w:t>
            </w:r>
            <w:r>
              <w:rPr>
                <w:rFonts w:hint="eastAsia" w:ascii="宋体" w:hAnsi="宋体" w:eastAsia="宋体" w:cs="宋体"/>
                <w:color w:val="auto"/>
                <w:sz w:val="22"/>
                <w:szCs w:val="22"/>
                <w:lang w:eastAsia="zh-Hans"/>
              </w:rPr>
              <w:t>得</w:t>
            </w:r>
            <w:r>
              <w:rPr>
                <w:rFonts w:hint="eastAsia" w:ascii="宋体" w:hAnsi="宋体" w:eastAsia="宋体" w:cs="宋体"/>
                <w:color w:val="auto"/>
                <w:sz w:val="22"/>
                <w:szCs w:val="22"/>
                <w:lang w:val="en-US" w:eastAsia="zh-CN"/>
              </w:rPr>
              <w:t>10</w:t>
            </w:r>
            <w:r>
              <w:rPr>
                <w:rFonts w:hint="eastAsia" w:ascii="宋体" w:hAnsi="宋体" w:eastAsia="宋体" w:cs="宋体"/>
                <w:color w:val="auto"/>
                <w:sz w:val="22"/>
                <w:szCs w:val="22"/>
                <w:lang w:eastAsia="zh-Hans"/>
              </w:rPr>
              <w:t>分</w:t>
            </w:r>
            <w:r>
              <w:rPr>
                <w:rFonts w:hint="eastAsia" w:ascii="宋体" w:hAnsi="宋体" w:eastAsia="宋体" w:cs="宋体"/>
                <w:color w:val="auto"/>
                <w:sz w:val="22"/>
                <w:szCs w:val="22"/>
              </w:rPr>
              <w:t>，其他情况不得分；</w:t>
            </w:r>
          </w:p>
          <w:p w14:paraId="645DC3CF">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lang w:eastAsia="zh-Hans"/>
              </w:rPr>
              <w:t>2.演示在线交易</w:t>
            </w:r>
            <w:r>
              <w:rPr>
                <w:rFonts w:hint="eastAsia" w:ascii="宋体" w:hAnsi="宋体" w:eastAsia="宋体" w:cs="宋体"/>
                <w:color w:val="auto"/>
                <w:sz w:val="22"/>
                <w:szCs w:val="22"/>
              </w:rPr>
              <w:t>管理</w:t>
            </w:r>
            <w:r>
              <w:rPr>
                <w:rFonts w:hint="eastAsia" w:ascii="宋体" w:hAnsi="宋体" w:eastAsia="宋体" w:cs="宋体"/>
                <w:color w:val="auto"/>
                <w:sz w:val="22"/>
                <w:szCs w:val="22"/>
                <w:lang w:eastAsia="zh-Hans"/>
              </w:rPr>
              <w:t>系统</w:t>
            </w:r>
            <w:r>
              <w:rPr>
                <w:rFonts w:hint="eastAsia" w:ascii="宋体" w:hAnsi="宋体" w:eastAsia="宋体" w:cs="宋体"/>
                <w:color w:val="auto"/>
                <w:sz w:val="22"/>
                <w:szCs w:val="22"/>
              </w:rPr>
              <w:t>。根据药品采购流程，包括但不限于药品挂网、配送关系确定、合同管理、配送订单管理、入库管理、退换货管理及发票管理等功能。</w:t>
            </w:r>
            <w:r>
              <w:rPr>
                <w:rFonts w:hint="eastAsia" w:ascii="宋体" w:hAnsi="宋体" w:eastAsia="宋体" w:cs="宋体"/>
                <w:color w:val="auto"/>
                <w:sz w:val="22"/>
                <w:szCs w:val="22"/>
                <w:lang w:eastAsia="zh-Hans"/>
              </w:rPr>
              <w:t>得15分</w:t>
            </w:r>
            <w:r>
              <w:rPr>
                <w:rFonts w:hint="eastAsia" w:ascii="宋体" w:hAnsi="宋体" w:eastAsia="宋体" w:cs="宋体"/>
                <w:color w:val="auto"/>
                <w:sz w:val="22"/>
                <w:szCs w:val="22"/>
              </w:rPr>
              <w:t>，其他情况不得分</w:t>
            </w:r>
            <w:r>
              <w:rPr>
                <w:rFonts w:hint="eastAsia" w:ascii="宋体" w:hAnsi="宋体" w:eastAsia="宋体" w:cs="宋体"/>
                <w:color w:val="auto"/>
                <w:sz w:val="22"/>
                <w:szCs w:val="22"/>
                <w:lang w:eastAsia="zh-Hans"/>
              </w:rPr>
              <w:t>；</w:t>
            </w:r>
          </w:p>
          <w:p w14:paraId="2D66C6C7">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lang w:eastAsia="zh-Hans"/>
              </w:rPr>
              <w:t>3.演示</w:t>
            </w:r>
            <w:r>
              <w:rPr>
                <w:rFonts w:hint="eastAsia" w:ascii="宋体" w:hAnsi="宋体" w:eastAsia="宋体" w:cs="宋体"/>
                <w:color w:val="auto"/>
                <w:sz w:val="22"/>
                <w:szCs w:val="22"/>
              </w:rPr>
              <w:t>公共服务管理</w:t>
            </w:r>
            <w:r>
              <w:rPr>
                <w:rFonts w:hint="eastAsia" w:ascii="宋体" w:hAnsi="宋体" w:eastAsia="宋体" w:cs="宋体"/>
                <w:color w:val="auto"/>
                <w:sz w:val="22"/>
                <w:szCs w:val="22"/>
                <w:lang w:eastAsia="zh-Hans"/>
              </w:rPr>
              <w:t>系统，</w:t>
            </w:r>
            <w:r>
              <w:rPr>
                <w:rFonts w:hint="eastAsia" w:ascii="宋体" w:hAnsi="宋体" w:eastAsia="宋体" w:cs="宋体"/>
                <w:color w:val="auto"/>
                <w:sz w:val="22"/>
                <w:szCs w:val="22"/>
              </w:rPr>
              <w:t>包括但不限于通知公告管理、信息发布与查询管理、仅限指定用户可见的差异化公告发布、站内搜索等功能，</w:t>
            </w:r>
            <w:r>
              <w:rPr>
                <w:rFonts w:hint="eastAsia" w:ascii="宋体" w:hAnsi="宋体" w:eastAsia="宋体" w:cs="宋体"/>
                <w:color w:val="auto"/>
                <w:sz w:val="22"/>
                <w:szCs w:val="22"/>
                <w:lang w:eastAsia="zh-Hans"/>
              </w:rPr>
              <w:t>得5分</w:t>
            </w:r>
            <w:r>
              <w:rPr>
                <w:rFonts w:hint="eastAsia" w:ascii="宋体" w:hAnsi="宋体" w:eastAsia="宋体" w:cs="宋体"/>
                <w:color w:val="auto"/>
                <w:sz w:val="22"/>
                <w:szCs w:val="22"/>
              </w:rPr>
              <w:t>，其他情况不得分</w:t>
            </w:r>
            <w:r>
              <w:rPr>
                <w:rFonts w:hint="eastAsia" w:ascii="宋体" w:hAnsi="宋体" w:eastAsia="宋体" w:cs="宋体"/>
                <w:color w:val="auto"/>
                <w:sz w:val="22"/>
                <w:szCs w:val="22"/>
                <w:lang w:eastAsia="zh-Hans"/>
              </w:rPr>
              <w:t>；</w:t>
            </w:r>
          </w:p>
          <w:p w14:paraId="418CB13F">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lang w:eastAsia="zh-Hans"/>
              </w:rPr>
              <w:t>4.演示</w:t>
            </w:r>
            <w:r>
              <w:rPr>
                <w:rFonts w:hint="eastAsia" w:ascii="宋体" w:hAnsi="宋体" w:eastAsia="宋体" w:cs="宋体"/>
                <w:color w:val="auto"/>
                <w:sz w:val="22"/>
                <w:szCs w:val="22"/>
              </w:rPr>
              <w:t>移动端功能（APP、微信小程序、公众号三选一）</w:t>
            </w:r>
            <w:r>
              <w:rPr>
                <w:rFonts w:hint="eastAsia" w:ascii="宋体" w:hAnsi="宋体" w:eastAsia="宋体" w:cs="宋体"/>
                <w:color w:val="auto"/>
                <w:sz w:val="22"/>
                <w:szCs w:val="22"/>
                <w:lang w:eastAsia="zh-Hans"/>
              </w:rPr>
              <w:t>，</w:t>
            </w:r>
            <w:r>
              <w:rPr>
                <w:rFonts w:hint="eastAsia" w:ascii="宋体" w:hAnsi="宋体" w:eastAsia="宋体" w:cs="宋体"/>
                <w:color w:val="auto"/>
                <w:sz w:val="22"/>
                <w:szCs w:val="22"/>
              </w:rPr>
              <w:t>包括但不限于移动端信息推送、订单查询、合同签订、退换货、发票查询等功能，</w:t>
            </w:r>
            <w:r>
              <w:rPr>
                <w:rFonts w:hint="eastAsia" w:ascii="宋体" w:hAnsi="宋体" w:eastAsia="宋体" w:cs="宋体"/>
                <w:color w:val="auto"/>
                <w:sz w:val="22"/>
                <w:szCs w:val="22"/>
                <w:lang w:eastAsia="zh-Hans"/>
              </w:rPr>
              <w:t>得5分</w:t>
            </w:r>
            <w:r>
              <w:rPr>
                <w:rFonts w:hint="eastAsia" w:ascii="宋体" w:hAnsi="宋体" w:eastAsia="宋体" w:cs="宋体"/>
                <w:color w:val="auto"/>
                <w:sz w:val="22"/>
                <w:szCs w:val="22"/>
              </w:rPr>
              <w:t>，其他情况不得分</w:t>
            </w:r>
            <w:r>
              <w:rPr>
                <w:rFonts w:hint="eastAsia" w:ascii="宋体" w:hAnsi="宋体" w:eastAsia="宋体" w:cs="宋体"/>
                <w:color w:val="auto"/>
                <w:sz w:val="22"/>
                <w:szCs w:val="22"/>
                <w:lang w:eastAsia="zh-Hans"/>
              </w:rPr>
              <w:t>；</w:t>
            </w:r>
          </w:p>
          <w:p w14:paraId="591CE668">
            <w:pPr>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Hans"/>
              </w:rPr>
              <w:t>5.演示集采药品采购交易数据监测、分析、预警服务系统，包括但不限于综合监管大屏、统计分析、集采中选药品执行进度监测、回款监测、非中选采购占比监测、交易风险预警及数据支持等功能，得15分，其他情况不得分</w:t>
            </w:r>
            <w:r>
              <w:rPr>
                <w:rFonts w:hint="eastAsia" w:ascii="宋体" w:hAnsi="宋体" w:eastAsia="宋体" w:cs="宋体"/>
                <w:color w:val="auto"/>
                <w:sz w:val="22"/>
                <w:szCs w:val="22"/>
                <w:lang w:eastAsia="zh-CN"/>
              </w:rPr>
              <w:t>；</w:t>
            </w:r>
          </w:p>
          <w:p w14:paraId="67DBF3C4">
            <w:pPr>
              <w:rPr>
                <w:rFonts w:hint="eastAsia" w:ascii="宋体" w:hAnsi="宋体" w:eastAsia="宋体" w:cs="宋体"/>
                <w:color w:val="auto"/>
                <w:sz w:val="22"/>
                <w:szCs w:val="22"/>
                <w:lang w:val="en-US" w:eastAsia="zh-Hans"/>
              </w:rPr>
            </w:pPr>
            <w:r>
              <w:rPr>
                <w:rFonts w:hint="eastAsia" w:ascii="宋体" w:hAnsi="宋体" w:eastAsia="宋体" w:cs="宋体"/>
                <w:color w:val="auto"/>
                <w:sz w:val="22"/>
                <w:szCs w:val="22"/>
                <w:lang w:val="en-US" w:eastAsia="zh-Hans"/>
              </w:rPr>
              <w:t>6.演示药品供应配送评价服务系统，包括但不限于供应配送管理定期评分评级、考核与处置、集采中选药品供应异常情况公布、数据查询、医疗机构供应信息反馈等功能，得10分，其他情况不得分；</w:t>
            </w:r>
          </w:p>
          <w:p w14:paraId="00A58F26">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lang w:val="en-US" w:eastAsia="zh-Hans"/>
              </w:rPr>
              <w:t>7.演示主管部门督办支持服务系统，包含但不限于向企业发送集采药品及短缺药品供应异常督办、向主管部门发送集采项目监测异常情况、及督办医疗机构跟进回复及办结等功能等，得10分，其他情况不得分；</w:t>
            </w:r>
          </w:p>
          <w:p w14:paraId="2B379FD8">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lang w:val="en-US" w:eastAsia="zh-CN"/>
              </w:rPr>
              <w:t>8</w:t>
            </w:r>
            <w:r>
              <w:rPr>
                <w:rFonts w:hint="eastAsia" w:ascii="宋体" w:hAnsi="宋体" w:eastAsia="宋体" w:cs="宋体"/>
                <w:color w:val="auto"/>
                <w:sz w:val="22"/>
                <w:szCs w:val="22"/>
                <w:lang w:eastAsia="zh-Hans"/>
              </w:rPr>
              <w:t>.演示短缺药、国采可替代药品监测分析系统，包括但不限于短缺药挂网交易情况、配送关系建立、合同签订、价格变动，配送满足率等关键指标的监测和预警等，集采可替代药品通过监测国采执行前后的中选、非中选、可替代药品量和金额的占比变化，体现政策执行前后的集采替供效应，并能以批次、医疗机构、集采品种等维度交叉分析具体集采品种的完全可替代，大部分可替代，一般可替代药品间的采购情况及增长率等，得</w:t>
            </w:r>
            <w:r>
              <w:rPr>
                <w:rFonts w:hint="eastAsia" w:ascii="宋体" w:hAnsi="宋体" w:eastAsia="宋体" w:cs="宋体"/>
                <w:color w:val="auto"/>
                <w:sz w:val="22"/>
                <w:szCs w:val="22"/>
                <w:lang w:val="en-US" w:eastAsia="zh-CN"/>
              </w:rPr>
              <w:t>10</w:t>
            </w:r>
            <w:r>
              <w:rPr>
                <w:rFonts w:hint="eastAsia" w:ascii="宋体" w:hAnsi="宋体" w:eastAsia="宋体" w:cs="宋体"/>
                <w:color w:val="auto"/>
                <w:sz w:val="22"/>
                <w:szCs w:val="22"/>
                <w:lang w:eastAsia="zh-Hans"/>
              </w:rPr>
              <w:t>分，其他情况不得分。</w:t>
            </w:r>
          </w:p>
          <w:p w14:paraId="206E031D">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lang w:eastAsia="zh-Hans"/>
              </w:rPr>
              <w:t>（二）评分依据：</w:t>
            </w:r>
          </w:p>
          <w:p w14:paraId="4F4C64C6">
            <w:pP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lang w:eastAsia="zh-Hans"/>
              </w:rPr>
              <w:t>以上</w:t>
            </w:r>
            <w:r>
              <w:rPr>
                <w:rFonts w:hint="eastAsia" w:ascii="宋体" w:hAnsi="宋体" w:eastAsia="宋体" w:cs="宋体"/>
                <w:color w:val="auto"/>
                <w:sz w:val="22"/>
                <w:szCs w:val="22"/>
                <w:lang w:val="en-US" w:eastAsia="zh-CN"/>
              </w:rPr>
              <w:t>8</w:t>
            </w:r>
            <w:r>
              <w:rPr>
                <w:rFonts w:hint="eastAsia" w:ascii="宋体" w:hAnsi="宋体" w:eastAsia="宋体" w:cs="宋体"/>
                <w:color w:val="auto"/>
                <w:sz w:val="22"/>
                <w:szCs w:val="22"/>
                <w:lang w:eastAsia="zh-Hans"/>
              </w:rPr>
              <w:t>项累计计分，最高得80分。在此基础上，专家根据各供应商现场演示的内容进行综合评价：评审为优（如系统演示内容全面具体，操作非常流畅，能完全满足采购需求）的加20分；评审为良（如系统演示内容比较全面具体，操作比较流畅，能合理满足采购需求）的加15分；评审为中（如系统演示内容比较简单，操作流畅度一般，能基本满足采购需求）的加10分；评审为差（如系统演示操作极不流畅，不能满足采购需求）的不加分。</w:t>
            </w:r>
          </w:p>
        </w:tc>
      </w:tr>
      <w:tr w14:paraId="3329ADB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80" w:type="dxa"/>
            <w:vMerge w:val="restart"/>
            <w:tcBorders>
              <w:top w:val="single" w:color="000000" w:sz="8" w:space="0"/>
              <w:left w:val="single" w:color="000000" w:sz="8" w:space="0"/>
              <w:right w:val="single" w:color="000000" w:sz="8" w:space="0"/>
            </w:tcBorders>
          </w:tcPr>
          <w:p w14:paraId="66C3C8FD">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color w:val="0000FF"/>
                <w:sz w:val="22"/>
                <w:szCs w:val="22"/>
                <w:highlight w:val="none"/>
              </w:rPr>
            </w:pPr>
            <w:r>
              <w:rPr>
                <w:rFonts w:hint="eastAsia" w:ascii="宋体" w:hAnsi="宋体" w:eastAsia="宋体" w:cs="宋体"/>
                <w:b/>
                <w:bCs/>
                <w:color w:val="0000FF"/>
                <w:sz w:val="22"/>
                <w:szCs w:val="22"/>
                <w:highlight w:val="none"/>
              </w:rPr>
              <w:t>3</w:t>
            </w:r>
          </w:p>
          <w:p w14:paraId="4326DF8A">
            <w:pPr>
              <w:keepNext w:val="0"/>
              <w:keepLines w:val="0"/>
              <w:pageBreakBefore w:val="0"/>
              <w:widowControl/>
              <w:kinsoku/>
              <w:overflowPunct/>
              <w:topLinePunct w:val="0"/>
              <w:autoSpaceDE/>
              <w:autoSpaceDN/>
              <w:bidi w:val="0"/>
              <w:adjustRightInd/>
              <w:snapToGrid/>
              <w:spacing w:line="240" w:lineRule="auto"/>
              <w:textAlignment w:val="auto"/>
              <w:rPr>
                <w:rFonts w:hint="eastAsia" w:ascii="宋体" w:hAnsi="宋体" w:eastAsia="宋体" w:cs="宋体"/>
                <w:sz w:val="22"/>
                <w:szCs w:val="22"/>
              </w:rPr>
            </w:pPr>
            <w:r>
              <w:rPr>
                <w:rFonts w:hint="eastAsia" w:ascii="宋体" w:hAnsi="宋体" w:eastAsia="宋体" w:cs="宋体"/>
                <w:b/>
                <w:bCs/>
                <w:color w:val="0000FF"/>
                <w:sz w:val="22"/>
                <w:szCs w:val="22"/>
                <w:highlight w:val="none"/>
              </w:rPr>
              <w:br w:type="page"/>
            </w:r>
          </w:p>
        </w:tc>
        <w:tc>
          <w:tcPr>
            <w:tcW w:w="3693" w:type="dxa"/>
            <w:gridSpan w:val="3"/>
            <w:tcBorders>
              <w:top w:val="single" w:color="000000" w:sz="8" w:space="0"/>
              <w:left w:val="single" w:color="000000" w:sz="8" w:space="0"/>
              <w:bottom w:val="single" w:color="000000" w:sz="8" w:space="0"/>
              <w:right w:val="single" w:color="000000" w:sz="8" w:space="0"/>
            </w:tcBorders>
          </w:tcPr>
          <w:p w14:paraId="7D4E4B0E">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sz w:val="22"/>
                <w:szCs w:val="22"/>
                <w:highlight w:val="none"/>
                <w:lang w:val="en-US" w:eastAsia="zh-CN"/>
              </w:rPr>
            </w:pPr>
            <w:r>
              <w:rPr>
                <w:rFonts w:hint="eastAsia" w:ascii="宋体" w:hAnsi="宋体" w:eastAsia="宋体" w:cs="宋体"/>
                <w:b/>
                <w:bCs/>
                <w:color w:val="0000FF"/>
                <w:sz w:val="22"/>
                <w:szCs w:val="22"/>
                <w:highlight w:val="none"/>
                <w:lang w:val="en-US" w:eastAsia="zh-CN"/>
              </w:rPr>
              <w:t>商务部分</w:t>
            </w:r>
          </w:p>
        </w:tc>
        <w:tc>
          <w:tcPr>
            <w:tcW w:w="4599" w:type="dxa"/>
            <w:tcBorders>
              <w:top w:val="single" w:color="000000" w:sz="8" w:space="0"/>
              <w:left w:val="single" w:color="000000" w:sz="8" w:space="0"/>
              <w:bottom w:val="single" w:color="000000" w:sz="8" w:space="0"/>
              <w:right w:val="single" w:color="000000" w:sz="8" w:space="0"/>
            </w:tcBorders>
          </w:tcPr>
          <w:p w14:paraId="09634949">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sz w:val="22"/>
                <w:szCs w:val="22"/>
                <w:highlight w:val="none"/>
                <w:lang w:val="en-US" w:eastAsia="zh-CN"/>
              </w:rPr>
            </w:pPr>
            <w:r>
              <w:rPr>
                <w:rFonts w:hint="eastAsia" w:ascii="宋体" w:hAnsi="宋体" w:eastAsia="宋体" w:cs="宋体"/>
                <w:b/>
                <w:bCs/>
                <w:sz w:val="22"/>
                <w:szCs w:val="22"/>
                <w:highlight w:val="none"/>
                <w:lang w:val="en-US" w:eastAsia="zh-CN"/>
              </w:rPr>
              <w:t>23</w:t>
            </w:r>
          </w:p>
        </w:tc>
      </w:tr>
      <w:tr w14:paraId="08B40A5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80" w:type="dxa"/>
            <w:vMerge w:val="continue"/>
            <w:tcBorders>
              <w:left w:val="single" w:color="000000" w:sz="8" w:space="0"/>
              <w:right w:val="single" w:color="000000" w:sz="8" w:space="0"/>
            </w:tcBorders>
            <w:shd w:val="clear" w:color="auto" w:fill="E6EFFA"/>
            <w:vAlign w:val="center"/>
          </w:tcPr>
          <w:p w14:paraId="51D8D155">
            <w:pPr>
              <w:keepNext w:val="0"/>
              <w:keepLines w:val="0"/>
              <w:pageBreakBefore w:val="0"/>
              <w:widowControl/>
              <w:kinsoku/>
              <w:overflowPunct/>
              <w:topLinePunct w:val="0"/>
              <w:autoSpaceDE/>
              <w:autoSpaceDN/>
              <w:bidi w:val="0"/>
              <w:adjustRightInd/>
              <w:snapToGrid/>
              <w:spacing w:line="240" w:lineRule="auto"/>
              <w:textAlignment w:val="auto"/>
              <w:rPr>
                <w:rFonts w:hint="eastAsia" w:ascii="宋体" w:hAnsi="宋体" w:eastAsia="宋体" w:cs="宋体"/>
                <w:b/>
                <w:bCs/>
                <w:color w:val="0000FF"/>
                <w:sz w:val="22"/>
                <w:szCs w:val="22"/>
                <w:highlight w:val="none"/>
              </w:rPr>
            </w:pPr>
          </w:p>
        </w:tc>
        <w:tc>
          <w:tcPr>
            <w:tcW w:w="705"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4136D2CA">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序号</w:t>
            </w:r>
          </w:p>
        </w:tc>
        <w:tc>
          <w:tcPr>
            <w:tcW w:w="2311"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73706EC2">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评分因素</w:t>
            </w:r>
          </w:p>
        </w:tc>
        <w:tc>
          <w:tcPr>
            <w:tcW w:w="677"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188C95AE">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权重(%)</w:t>
            </w:r>
          </w:p>
        </w:tc>
        <w:tc>
          <w:tcPr>
            <w:tcW w:w="4599"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5E03F518">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评分准则</w:t>
            </w:r>
          </w:p>
        </w:tc>
      </w:tr>
      <w:tr w14:paraId="0FD7782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80" w:type="dxa"/>
            <w:vMerge w:val="continue"/>
            <w:tcBorders>
              <w:left w:val="single" w:color="000000" w:sz="8" w:space="0"/>
              <w:right w:val="single" w:color="000000" w:sz="8" w:space="0"/>
            </w:tcBorders>
            <w:vAlign w:val="center"/>
          </w:tcPr>
          <w:p w14:paraId="766EACEE">
            <w:pPr>
              <w:keepNext w:val="0"/>
              <w:keepLines w:val="0"/>
              <w:pageBreakBefore w:val="0"/>
              <w:widowControl/>
              <w:kinsoku/>
              <w:overflowPunct/>
              <w:topLinePunct w:val="0"/>
              <w:autoSpaceDE/>
              <w:autoSpaceDN/>
              <w:bidi w:val="0"/>
              <w:adjustRightInd/>
              <w:snapToGrid/>
              <w:spacing w:line="240" w:lineRule="auto"/>
              <w:textAlignment w:val="auto"/>
              <w:rPr>
                <w:rFonts w:hint="eastAsia" w:ascii="宋体" w:hAnsi="宋体" w:eastAsia="宋体" w:cs="宋体"/>
                <w:b/>
                <w:bCs/>
                <w:color w:val="0000FF"/>
                <w:sz w:val="22"/>
                <w:szCs w:val="22"/>
                <w:highlight w:val="none"/>
              </w:rPr>
            </w:pPr>
          </w:p>
        </w:tc>
        <w:tc>
          <w:tcPr>
            <w:tcW w:w="70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1D6567C">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1</w:t>
            </w:r>
          </w:p>
        </w:tc>
        <w:tc>
          <w:tcPr>
            <w:tcW w:w="231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FB90C3C">
            <w:pPr>
              <w:wordWrap w:val="0"/>
              <w:jc w:val="cente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供应商认证情况</w:t>
            </w:r>
          </w:p>
        </w:tc>
        <w:tc>
          <w:tcPr>
            <w:tcW w:w="67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F560D50">
            <w:pPr>
              <w:wordWrap w:val="0"/>
              <w:jc w:val="cente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5</w:t>
            </w:r>
          </w:p>
        </w:tc>
        <w:tc>
          <w:tcPr>
            <w:tcW w:w="4599" w:type="dxa"/>
            <w:tcBorders>
              <w:top w:val="single" w:color="000000" w:sz="8" w:space="0"/>
              <w:left w:val="single" w:color="000000" w:sz="8" w:space="0"/>
              <w:bottom w:val="single" w:color="000000" w:sz="8" w:space="0"/>
              <w:right w:val="single" w:color="000000" w:sz="8" w:space="0"/>
            </w:tcBorders>
            <w:shd w:val="clear" w:color="auto" w:fill="auto"/>
            <w:vAlign w:val="top"/>
          </w:tcPr>
          <w:p w14:paraId="51F7CEAF">
            <w:pPr>
              <w:numPr>
                <w:ilvl w:val="255"/>
                <w:numId w:val="0"/>
              </w:numPr>
              <w:rPr>
                <w:rFonts w:hint="eastAsia" w:ascii="宋体" w:hAnsi="宋体" w:eastAsia="宋体" w:cs="宋体"/>
                <w:color w:val="auto"/>
                <w:sz w:val="22"/>
                <w:szCs w:val="22"/>
              </w:rPr>
            </w:pPr>
            <w:r>
              <w:rPr>
                <w:rFonts w:hint="eastAsia" w:ascii="宋体" w:hAnsi="宋体" w:eastAsia="宋体" w:cs="宋体"/>
                <w:color w:val="auto"/>
                <w:sz w:val="22"/>
                <w:szCs w:val="22"/>
              </w:rPr>
              <w:t>（一）评</w:t>
            </w:r>
            <w:r>
              <w:rPr>
                <w:rFonts w:hint="eastAsia" w:ascii="宋体" w:hAnsi="宋体" w:eastAsia="宋体" w:cs="宋体"/>
                <w:color w:val="auto"/>
                <w:sz w:val="22"/>
                <w:szCs w:val="22"/>
                <w:lang w:eastAsia="zh-Hans"/>
              </w:rPr>
              <w:t>审</w:t>
            </w:r>
            <w:r>
              <w:rPr>
                <w:rFonts w:hint="eastAsia" w:ascii="宋体" w:hAnsi="宋体" w:eastAsia="宋体" w:cs="宋体"/>
                <w:color w:val="auto"/>
                <w:sz w:val="22"/>
                <w:szCs w:val="22"/>
              </w:rPr>
              <w:t>内容：</w:t>
            </w:r>
          </w:p>
          <w:p w14:paraId="05A4BA3F">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lang w:eastAsia="zh-Hans"/>
              </w:rPr>
              <w:t>1.质量安全和服务：</w:t>
            </w:r>
          </w:p>
          <w:p w14:paraId="77EEB3DF">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lang w:eastAsia="zh-Hans"/>
              </w:rPr>
              <w:t>供应商具有有效的ssl证书（数据加密和身份认证管理的，得</w:t>
            </w:r>
            <w:r>
              <w:rPr>
                <w:rFonts w:hint="eastAsia" w:ascii="宋体" w:hAnsi="宋体" w:eastAsia="宋体" w:cs="宋体"/>
                <w:color w:val="auto"/>
                <w:sz w:val="22"/>
                <w:szCs w:val="22"/>
                <w:lang w:val="en-US" w:eastAsia="zh-CN"/>
              </w:rPr>
              <w:t>40</w:t>
            </w:r>
            <w:r>
              <w:rPr>
                <w:rFonts w:hint="eastAsia" w:ascii="宋体" w:hAnsi="宋体" w:eastAsia="宋体" w:cs="宋体"/>
                <w:color w:val="auto"/>
                <w:sz w:val="22"/>
                <w:szCs w:val="22"/>
                <w:lang w:eastAsia="zh-Hans"/>
              </w:rPr>
              <w:t>分；本小项最高得40分。</w:t>
            </w:r>
          </w:p>
          <w:p w14:paraId="04EFFE61">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lang w:eastAsia="zh-Hans"/>
              </w:rPr>
              <w:t>2.信息安全：</w:t>
            </w:r>
          </w:p>
          <w:p w14:paraId="54E212EE">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lang w:eastAsia="zh-Hans"/>
              </w:rPr>
              <w:t>供应商具有信息安全等级保护测评三级</w:t>
            </w:r>
            <w:r>
              <w:rPr>
                <w:rFonts w:hint="eastAsia" w:ascii="宋体" w:hAnsi="宋体" w:eastAsia="宋体" w:cs="宋体"/>
                <w:color w:val="auto"/>
                <w:sz w:val="22"/>
                <w:szCs w:val="22"/>
                <w:lang w:val="en-US" w:eastAsia="zh-Hans"/>
              </w:rPr>
              <w:t>及以上</w:t>
            </w:r>
            <w:r>
              <w:rPr>
                <w:rFonts w:hint="eastAsia" w:ascii="宋体" w:hAnsi="宋体" w:eastAsia="宋体" w:cs="宋体"/>
                <w:color w:val="auto"/>
                <w:sz w:val="22"/>
                <w:szCs w:val="22"/>
                <w:lang w:eastAsia="zh-Hans"/>
              </w:rPr>
              <w:t>证明的，得60分；具有信息安全等级保护测评二级证明的，得30分；</w:t>
            </w:r>
            <w:r>
              <w:rPr>
                <w:rFonts w:hint="eastAsia" w:ascii="宋体" w:hAnsi="宋体" w:eastAsia="宋体" w:cs="宋体"/>
                <w:color w:val="auto"/>
                <w:sz w:val="22"/>
                <w:szCs w:val="22"/>
                <w:lang w:val="en-US" w:eastAsia="zh-Hans"/>
              </w:rPr>
              <w:t>供应商</w:t>
            </w:r>
            <w:r>
              <w:rPr>
                <w:rFonts w:hint="eastAsia" w:ascii="宋体" w:hAnsi="宋体" w:eastAsia="宋体" w:cs="宋体"/>
                <w:color w:val="auto"/>
                <w:sz w:val="22"/>
                <w:szCs w:val="22"/>
                <w:lang w:eastAsia="zh-Hans"/>
              </w:rPr>
              <w:t>信息安全等级保护测评</w:t>
            </w:r>
            <w:r>
              <w:rPr>
                <w:rFonts w:hint="eastAsia" w:ascii="宋体" w:hAnsi="宋体" w:eastAsia="宋体" w:cs="宋体"/>
                <w:color w:val="auto"/>
                <w:sz w:val="22"/>
                <w:szCs w:val="22"/>
                <w:lang w:val="en-US" w:eastAsia="zh-Hans"/>
              </w:rPr>
              <w:t>低于二级或</w:t>
            </w:r>
            <w:r>
              <w:rPr>
                <w:rFonts w:hint="eastAsia" w:ascii="宋体" w:hAnsi="宋体" w:eastAsia="宋体" w:cs="宋体"/>
                <w:color w:val="auto"/>
                <w:sz w:val="22"/>
                <w:szCs w:val="22"/>
                <w:lang w:eastAsia="zh-Hans"/>
              </w:rPr>
              <w:t>未获得信息安全等级保护测评证明的，</w:t>
            </w:r>
            <w:r>
              <w:rPr>
                <w:rFonts w:hint="eastAsia" w:ascii="宋体" w:hAnsi="宋体" w:eastAsia="宋体" w:cs="宋体"/>
                <w:color w:val="auto"/>
                <w:sz w:val="22"/>
                <w:szCs w:val="22"/>
                <w:lang w:val="en-US" w:eastAsia="zh-Hans"/>
              </w:rPr>
              <w:t>均</w:t>
            </w:r>
            <w:r>
              <w:rPr>
                <w:rFonts w:hint="eastAsia" w:ascii="宋体" w:hAnsi="宋体" w:eastAsia="宋体" w:cs="宋体"/>
                <w:color w:val="auto"/>
                <w:sz w:val="22"/>
                <w:szCs w:val="22"/>
                <w:lang w:eastAsia="zh-Hans"/>
              </w:rPr>
              <w:t>不得分。</w:t>
            </w:r>
          </w:p>
          <w:p w14:paraId="4C612C61">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lang w:eastAsia="zh-Hans"/>
              </w:rPr>
              <w:t>以上2项累计计分，最高得100分。</w:t>
            </w:r>
          </w:p>
          <w:p w14:paraId="00FDBBFB">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lang w:eastAsia="zh-Hans"/>
              </w:rPr>
              <w:t>（二）评分依据：</w:t>
            </w:r>
          </w:p>
          <w:p w14:paraId="3621A749">
            <w:pPr>
              <w:rPr>
                <w:rFonts w:hint="eastAsia" w:ascii="宋体" w:hAnsi="宋体" w:eastAsia="宋体" w:cs="宋体"/>
                <w:color w:val="auto"/>
                <w:sz w:val="22"/>
                <w:szCs w:val="22"/>
                <w:lang w:eastAsia="zh-Hans"/>
              </w:rPr>
            </w:pPr>
            <w:r>
              <w:rPr>
                <w:rFonts w:hint="eastAsia" w:ascii="宋体" w:hAnsi="宋体" w:eastAsia="宋体" w:cs="宋体"/>
                <w:color w:val="auto"/>
                <w:sz w:val="22"/>
                <w:szCs w:val="22"/>
                <w:lang w:eastAsia="zh-Hans"/>
              </w:rPr>
              <w:t>1.要求提供有效的认证证书作为得分依据。</w:t>
            </w:r>
          </w:p>
          <w:p w14:paraId="31CC0EBB">
            <w:pP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lang w:eastAsia="zh-Hans"/>
              </w:rPr>
              <w:t>2.以上资料均要求提供扫描件（或官方网站截图），原件备查。评分中出现无证明资料或专家无法凭所提供资料判断是否得分的情况，一律作不得分处理。</w:t>
            </w:r>
          </w:p>
        </w:tc>
      </w:tr>
      <w:tr w14:paraId="4EE50AC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80" w:type="dxa"/>
            <w:vMerge w:val="continue"/>
            <w:tcBorders>
              <w:left w:val="single" w:color="000000" w:sz="8" w:space="0"/>
              <w:right w:val="single" w:color="000000" w:sz="8" w:space="0"/>
            </w:tcBorders>
            <w:vAlign w:val="center"/>
          </w:tcPr>
          <w:p w14:paraId="06FBD1F6">
            <w:pPr>
              <w:keepNext w:val="0"/>
              <w:keepLines w:val="0"/>
              <w:pageBreakBefore w:val="0"/>
              <w:widowControl/>
              <w:kinsoku/>
              <w:overflowPunct/>
              <w:topLinePunct w:val="0"/>
              <w:autoSpaceDE/>
              <w:autoSpaceDN/>
              <w:bidi w:val="0"/>
              <w:adjustRightInd/>
              <w:snapToGrid/>
              <w:spacing w:line="240" w:lineRule="auto"/>
              <w:textAlignment w:val="auto"/>
              <w:rPr>
                <w:rFonts w:hint="eastAsia" w:ascii="宋体" w:hAnsi="宋体" w:eastAsia="宋体" w:cs="宋体"/>
                <w:b/>
                <w:bCs/>
                <w:color w:val="0000FF"/>
                <w:sz w:val="22"/>
                <w:szCs w:val="22"/>
                <w:highlight w:val="none"/>
              </w:rPr>
            </w:pPr>
          </w:p>
        </w:tc>
        <w:tc>
          <w:tcPr>
            <w:tcW w:w="70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6CE3F6F">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2</w:t>
            </w:r>
          </w:p>
        </w:tc>
        <w:tc>
          <w:tcPr>
            <w:tcW w:w="231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B5AF5C2">
            <w:pPr>
              <w:wordWrap w:val="0"/>
              <w:jc w:val="cente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供应商同类项目业绩情况</w:t>
            </w:r>
          </w:p>
        </w:tc>
        <w:tc>
          <w:tcPr>
            <w:tcW w:w="67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7CB4357">
            <w:pPr>
              <w:wordWrap w:val="0"/>
              <w:jc w:val="cente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1</w:t>
            </w:r>
            <w:r>
              <w:rPr>
                <w:rFonts w:hint="eastAsia" w:ascii="宋体" w:hAnsi="宋体" w:eastAsia="宋体" w:cs="宋体"/>
                <w:color w:val="auto"/>
                <w:sz w:val="22"/>
                <w:szCs w:val="22"/>
                <w:lang w:val="en-US" w:eastAsia="zh-CN"/>
              </w:rPr>
              <w:t>2</w:t>
            </w:r>
          </w:p>
        </w:tc>
        <w:tc>
          <w:tcPr>
            <w:tcW w:w="4599" w:type="dxa"/>
            <w:tcBorders>
              <w:top w:val="single" w:color="000000" w:sz="8" w:space="0"/>
              <w:left w:val="single" w:color="000000" w:sz="8" w:space="0"/>
              <w:bottom w:val="single" w:color="000000" w:sz="8" w:space="0"/>
              <w:right w:val="single" w:color="000000" w:sz="8" w:space="0"/>
            </w:tcBorders>
            <w:shd w:val="clear" w:color="auto" w:fill="auto"/>
            <w:vAlign w:val="top"/>
          </w:tcPr>
          <w:p w14:paraId="2ACD1AE5">
            <w:pPr>
              <w:rPr>
                <w:rFonts w:hint="eastAsia" w:ascii="宋体" w:hAnsi="宋体" w:eastAsia="宋体" w:cs="宋体"/>
                <w:color w:val="auto"/>
                <w:sz w:val="22"/>
                <w:szCs w:val="22"/>
              </w:rPr>
            </w:pPr>
            <w:r>
              <w:rPr>
                <w:rFonts w:hint="eastAsia" w:ascii="宋体" w:hAnsi="宋体" w:eastAsia="宋体" w:cs="宋体"/>
                <w:color w:val="auto"/>
                <w:sz w:val="22"/>
                <w:szCs w:val="22"/>
              </w:rPr>
              <w:t>评</w:t>
            </w:r>
            <w:r>
              <w:rPr>
                <w:rFonts w:hint="eastAsia" w:ascii="宋体" w:hAnsi="宋体" w:eastAsia="宋体" w:cs="宋体"/>
                <w:color w:val="auto"/>
                <w:sz w:val="22"/>
                <w:szCs w:val="22"/>
                <w:lang w:eastAsia="zh-Hans"/>
              </w:rPr>
              <w:t>审</w:t>
            </w:r>
            <w:r>
              <w:rPr>
                <w:rFonts w:hint="eastAsia" w:ascii="宋体" w:hAnsi="宋体" w:eastAsia="宋体" w:cs="宋体"/>
                <w:color w:val="auto"/>
                <w:sz w:val="22"/>
                <w:szCs w:val="22"/>
              </w:rPr>
              <w:t>内容：</w:t>
            </w:r>
          </w:p>
          <w:p w14:paraId="54311E50">
            <w:pPr>
              <w:rPr>
                <w:rFonts w:hint="eastAsia" w:ascii="宋体" w:hAnsi="宋体" w:eastAsia="宋体" w:cs="宋体"/>
                <w:color w:val="auto"/>
                <w:sz w:val="22"/>
                <w:szCs w:val="22"/>
              </w:rPr>
            </w:pPr>
            <w:r>
              <w:rPr>
                <w:rFonts w:hint="eastAsia" w:ascii="宋体" w:hAnsi="宋体" w:eastAsia="宋体" w:cs="宋体"/>
                <w:color w:val="auto"/>
                <w:sz w:val="22"/>
                <w:szCs w:val="22"/>
              </w:rPr>
              <w:t>（一）药品招采平台建设运营案例：</w:t>
            </w:r>
          </w:p>
          <w:p w14:paraId="715E777D">
            <w:pPr>
              <w:rPr>
                <w:rFonts w:hint="eastAsia" w:ascii="宋体" w:hAnsi="宋体" w:eastAsia="宋体" w:cs="宋体"/>
                <w:color w:val="auto"/>
                <w:sz w:val="22"/>
                <w:szCs w:val="22"/>
              </w:rPr>
            </w:pPr>
            <w:r>
              <w:rPr>
                <w:rFonts w:hint="eastAsia" w:ascii="宋体" w:hAnsi="宋体" w:eastAsia="宋体" w:cs="宋体"/>
                <w:color w:val="auto"/>
                <w:sz w:val="22"/>
                <w:szCs w:val="22"/>
              </w:rPr>
              <w:t>近三年（自20</w:t>
            </w:r>
            <w:r>
              <w:rPr>
                <w:rFonts w:hint="eastAsia" w:ascii="宋体" w:hAnsi="宋体" w:eastAsia="宋体" w:cs="宋体"/>
                <w:color w:val="auto"/>
                <w:sz w:val="22"/>
                <w:szCs w:val="22"/>
                <w:lang w:val="en-US" w:eastAsia="zh-CN"/>
              </w:rPr>
              <w:t>22</w:t>
            </w:r>
            <w:r>
              <w:rPr>
                <w:rFonts w:hint="eastAsia" w:ascii="宋体" w:hAnsi="宋体" w:eastAsia="宋体" w:cs="宋体"/>
                <w:color w:val="auto"/>
                <w:sz w:val="22"/>
                <w:szCs w:val="22"/>
              </w:rPr>
              <w:t>年1月1日起至本项目投标截止之日，具体以编制文件或合同签订日期或中标通知书</w:t>
            </w:r>
            <w:r>
              <w:rPr>
                <w:rFonts w:hint="eastAsia" w:ascii="宋体" w:hAnsi="宋体" w:eastAsia="宋体" w:cs="宋体"/>
                <w:color w:val="auto"/>
                <w:sz w:val="22"/>
                <w:szCs w:val="22"/>
                <w:lang w:eastAsia="zh-CN"/>
              </w:rPr>
              <w:t>或</w:t>
            </w:r>
            <w:r>
              <w:rPr>
                <w:rFonts w:hint="eastAsia" w:ascii="宋体" w:hAnsi="宋体" w:eastAsia="宋体" w:cs="宋体"/>
                <w:color w:val="auto"/>
                <w:sz w:val="22"/>
                <w:szCs w:val="22"/>
              </w:rPr>
              <w:t>履约评价合格或验收合格证明落款日期为准），供应商具有承担地市级及以上</w:t>
            </w:r>
            <w:r>
              <w:rPr>
                <w:rFonts w:hint="eastAsia" w:ascii="宋体" w:hAnsi="宋体" w:eastAsia="宋体" w:cs="宋体"/>
                <w:color w:val="auto"/>
                <w:sz w:val="22"/>
                <w:szCs w:val="22"/>
                <w:lang w:eastAsia="zh-CN"/>
              </w:rPr>
              <w:t>城市</w:t>
            </w:r>
            <w:r>
              <w:rPr>
                <w:rFonts w:hint="eastAsia" w:ascii="宋体" w:hAnsi="宋体" w:eastAsia="宋体" w:cs="宋体"/>
                <w:color w:val="auto"/>
                <w:sz w:val="22"/>
                <w:szCs w:val="22"/>
              </w:rPr>
              <w:t>药品招采平台运营案例，得10分。在此基础上，有为</w:t>
            </w:r>
            <w:r>
              <w:rPr>
                <w:rFonts w:hint="eastAsia" w:ascii="宋体" w:hAnsi="宋体" w:eastAsia="宋体" w:cs="宋体"/>
                <w:color w:val="auto"/>
                <w:sz w:val="22"/>
                <w:szCs w:val="22"/>
                <w:lang w:eastAsia="zh-Hans"/>
              </w:rPr>
              <w:t>副省级</w:t>
            </w:r>
            <w:r>
              <w:rPr>
                <w:rFonts w:hint="eastAsia" w:ascii="宋体" w:hAnsi="宋体" w:eastAsia="宋体" w:cs="宋体"/>
                <w:color w:val="auto"/>
                <w:sz w:val="22"/>
                <w:szCs w:val="22"/>
              </w:rPr>
              <w:t>及以上</w:t>
            </w:r>
            <w:r>
              <w:rPr>
                <w:rFonts w:hint="eastAsia" w:ascii="宋体" w:hAnsi="宋体" w:eastAsia="宋体" w:cs="宋体"/>
                <w:color w:val="auto"/>
                <w:sz w:val="22"/>
                <w:szCs w:val="22"/>
                <w:lang w:eastAsia="zh-CN"/>
              </w:rPr>
              <w:t>城市</w:t>
            </w:r>
            <w:r>
              <w:rPr>
                <w:rFonts w:hint="eastAsia" w:ascii="宋体" w:hAnsi="宋体" w:eastAsia="宋体" w:cs="宋体"/>
                <w:color w:val="auto"/>
                <w:sz w:val="22"/>
                <w:szCs w:val="22"/>
              </w:rPr>
              <w:t>或省（直辖市、自治区）</w:t>
            </w:r>
            <w:r>
              <w:rPr>
                <w:rFonts w:hint="eastAsia" w:ascii="宋体" w:hAnsi="宋体" w:eastAsia="宋体" w:cs="宋体"/>
                <w:color w:val="auto"/>
                <w:sz w:val="22"/>
                <w:szCs w:val="22"/>
                <w:lang w:eastAsia="zh-CN"/>
              </w:rPr>
              <w:t>提供</w:t>
            </w:r>
            <w:r>
              <w:rPr>
                <w:rFonts w:hint="eastAsia" w:ascii="宋体" w:hAnsi="宋体" w:eastAsia="宋体" w:cs="宋体"/>
                <w:color w:val="auto"/>
                <w:sz w:val="22"/>
                <w:szCs w:val="22"/>
              </w:rPr>
              <w:t>药品招采平台运营</w:t>
            </w:r>
            <w:r>
              <w:rPr>
                <w:rFonts w:hint="eastAsia" w:ascii="宋体" w:hAnsi="宋体" w:eastAsia="宋体" w:cs="宋体"/>
                <w:color w:val="auto"/>
                <w:sz w:val="22"/>
                <w:szCs w:val="22"/>
                <w:lang w:eastAsia="zh-CN"/>
              </w:rPr>
              <w:t>服务</w:t>
            </w:r>
            <w:r>
              <w:rPr>
                <w:rFonts w:hint="eastAsia" w:ascii="宋体" w:hAnsi="宋体" w:eastAsia="宋体" w:cs="宋体"/>
                <w:color w:val="auto"/>
                <w:sz w:val="22"/>
                <w:szCs w:val="22"/>
              </w:rPr>
              <w:t>经验</w:t>
            </w:r>
            <w:r>
              <w:rPr>
                <w:rFonts w:hint="eastAsia" w:ascii="宋体" w:hAnsi="宋体" w:eastAsia="宋体" w:cs="宋体"/>
                <w:color w:val="auto"/>
                <w:sz w:val="22"/>
                <w:szCs w:val="22"/>
                <w:lang w:eastAsia="zh-CN"/>
              </w:rPr>
              <w:t>的</w:t>
            </w:r>
            <w:r>
              <w:rPr>
                <w:rFonts w:hint="eastAsia" w:ascii="宋体" w:hAnsi="宋体" w:eastAsia="宋体" w:cs="宋体"/>
                <w:color w:val="auto"/>
                <w:sz w:val="22"/>
                <w:szCs w:val="22"/>
              </w:rPr>
              <w:t>，加10分。本小项最高得20分。</w:t>
            </w:r>
          </w:p>
          <w:p w14:paraId="0E786779">
            <w:pPr>
              <w:rPr>
                <w:rFonts w:hint="eastAsia" w:ascii="宋体" w:hAnsi="宋体" w:eastAsia="宋体" w:cs="宋体"/>
                <w:color w:val="auto"/>
                <w:sz w:val="22"/>
                <w:szCs w:val="22"/>
              </w:rPr>
            </w:pPr>
            <w:r>
              <w:rPr>
                <w:rFonts w:hint="eastAsia" w:ascii="宋体" w:hAnsi="宋体" w:eastAsia="宋体" w:cs="宋体"/>
                <w:color w:val="auto"/>
                <w:sz w:val="22"/>
                <w:szCs w:val="22"/>
                <w:lang w:eastAsia="zh-Hans"/>
              </w:rPr>
              <w:t>评分依据</w:t>
            </w:r>
            <w:r>
              <w:rPr>
                <w:rFonts w:hint="eastAsia" w:ascii="宋体" w:hAnsi="宋体" w:eastAsia="宋体" w:cs="宋体"/>
                <w:color w:val="auto"/>
                <w:sz w:val="22"/>
                <w:szCs w:val="22"/>
              </w:rPr>
              <w:t>：</w:t>
            </w:r>
          </w:p>
          <w:p w14:paraId="07EF5AF4">
            <w:pPr>
              <w:rPr>
                <w:rFonts w:hint="eastAsia" w:ascii="宋体" w:hAnsi="宋体" w:eastAsia="宋体" w:cs="宋体"/>
                <w:color w:val="auto"/>
                <w:sz w:val="22"/>
                <w:szCs w:val="22"/>
              </w:rPr>
            </w:pPr>
            <w:r>
              <w:rPr>
                <w:rFonts w:hint="eastAsia" w:ascii="宋体" w:hAnsi="宋体" w:eastAsia="宋体" w:cs="宋体"/>
                <w:color w:val="auto"/>
                <w:sz w:val="22"/>
                <w:szCs w:val="22"/>
              </w:rPr>
              <w:t>1.提供编制文件（编制文件是指项目所在地政府主管部门印发的政策文件或相关通知，规定或要求供应商履行药品招采平台运营职责或开展药品招采工作，下同），或与项目合同所在地药品采购的政府主管部门签订的项目合同关键页，或中标通知书，或履约评价合格或者验收合格证明文件作为得分依据。项目所在地政府主管部门印发的通知需体现的信息包括供应商名称、时间及承担运营药品采购平台、开展药品招采工作等关键词，并加盖政府主管部门公章；合同关键页须体现的信息包括合同甲乙双方名称、合同签订时间、以及承担药品互联网供应、采购平台建设关键词等，并加盖政府部门公章；中标通知书、履约评价合格或者验收合格证明文件需加盖合同甲方公章（或甲方业务章）。</w:t>
            </w:r>
          </w:p>
          <w:p w14:paraId="0C30F605">
            <w:pPr>
              <w:rPr>
                <w:rFonts w:hint="eastAsia" w:ascii="宋体" w:hAnsi="宋体" w:eastAsia="宋体" w:cs="宋体"/>
                <w:color w:val="auto"/>
                <w:sz w:val="22"/>
                <w:szCs w:val="22"/>
              </w:rPr>
            </w:pPr>
            <w:r>
              <w:rPr>
                <w:rFonts w:hint="eastAsia" w:ascii="宋体" w:hAnsi="宋体" w:eastAsia="宋体" w:cs="宋体"/>
                <w:color w:val="auto"/>
                <w:sz w:val="22"/>
                <w:szCs w:val="22"/>
              </w:rPr>
              <w:t>2.以上资料均要求提供扫描件，原件备查。评分中出现无证明资料或专家无法凭所提供资料判断是否得分的情况，一律作不得分处理。</w:t>
            </w:r>
          </w:p>
          <w:p w14:paraId="4A477291">
            <w:pPr>
              <w:rPr>
                <w:rFonts w:hint="eastAsia" w:ascii="宋体" w:hAnsi="宋体" w:eastAsia="宋体" w:cs="宋体"/>
                <w:color w:val="auto"/>
                <w:sz w:val="22"/>
                <w:szCs w:val="22"/>
              </w:rPr>
            </w:pPr>
            <w:r>
              <w:rPr>
                <w:rFonts w:hint="eastAsia" w:ascii="宋体" w:hAnsi="宋体" w:eastAsia="宋体" w:cs="宋体"/>
                <w:color w:val="auto"/>
                <w:sz w:val="22"/>
                <w:szCs w:val="22"/>
              </w:rPr>
              <w:t>（二）</w:t>
            </w:r>
            <w:r>
              <w:rPr>
                <w:rFonts w:hint="eastAsia" w:ascii="宋体" w:hAnsi="宋体" w:eastAsia="宋体" w:cs="宋体"/>
                <w:color w:val="auto"/>
                <w:sz w:val="22"/>
                <w:szCs w:val="22"/>
                <w:lang w:eastAsia="zh-CN"/>
              </w:rPr>
              <w:t>药品</w:t>
            </w:r>
            <w:r>
              <w:rPr>
                <w:rFonts w:hint="eastAsia" w:ascii="宋体" w:hAnsi="宋体" w:eastAsia="宋体" w:cs="宋体"/>
                <w:color w:val="auto"/>
                <w:sz w:val="22"/>
                <w:szCs w:val="22"/>
              </w:rPr>
              <w:t>分类采购实施案例：</w:t>
            </w:r>
          </w:p>
          <w:p w14:paraId="54E77269">
            <w:pPr>
              <w:rPr>
                <w:rFonts w:hint="eastAsia" w:ascii="宋体" w:hAnsi="宋体" w:eastAsia="宋体" w:cs="宋体"/>
                <w:color w:val="auto"/>
                <w:sz w:val="22"/>
                <w:szCs w:val="22"/>
              </w:rPr>
            </w:pPr>
            <w:r>
              <w:rPr>
                <w:rFonts w:hint="eastAsia" w:ascii="宋体" w:hAnsi="宋体" w:eastAsia="宋体" w:cs="宋体"/>
                <w:color w:val="auto"/>
                <w:sz w:val="22"/>
                <w:szCs w:val="22"/>
              </w:rPr>
              <w:t>近三年（自20</w:t>
            </w:r>
            <w:r>
              <w:rPr>
                <w:rFonts w:hint="eastAsia" w:ascii="宋体" w:hAnsi="宋体" w:eastAsia="宋体" w:cs="宋体"/>
                <w:color w:val="auto"/>
                <w:sz w:val="22"/>
                <w:szCs w:val="22"/>
                <w:lang w:val="en-US" w:eastAsia="zh-CN"/>
              </w:rPr>
              <w:t>22</w:t>
            </w:r>
            <w:r>
              <w:rPr>
                <w:rFonts w:hint="eastAsia" w:ascii="宋体" w:hAnsi="宋体" w:eastAsia="宋体" w:cs="宋体"/>
                <w:color w:val="auto"/>
                <w:sz w:val="22"/>
                <w:szCs w:val="22"/>
              </w:rPr>
              <w:t>年1月1日起至本项目投标截止之日，具体以编制文件或合同签订日期或中标通知书落款日期为准），</w:t>
            </w:r>
            <w:r>
              <w:rPr>
                <w:rFonts w:hint="eastAsia" w:ascii="宋体" w:hAnsi="宋体" w:eastAsia="宋体" w:cs="宋体"/>
                <w:color w:val="auto"/>
                <w:sz w:val="22"/>
                <w:szCs w:val="22"/>
              </w:rPr>
              <w:br w:type="page"/>
            </w:r>
            <w:r>
              <w:rPr>
                <w:rFonts w:hint="eastAsia" w:ascii="宋体" w:hAnsi="宋体" w:eastAsia="宋体" w:cs="宋体"/>
                <w:color w:val="auto"/>
                <w:sz w:val="22"/>
                <w:szCs w:val="22"/>
              </w:rPr>
              <w:t>供应商具有为地市级及以上</w:t>
            </w:r>
            <w:r>
              <w:rPr>
                <w:rFonts w:hint="eastAsia" w:ascii="宋体" w:hAnsi="宋体" w:eastAsia="宋体" w:cs="宋体"/>
                <w:color w:val="auto"/>
                <w:sz w:val="22"/>
                <w:szCs w:val="22"/>
                <w:lang w:val="en-US" w:eastAsia="zh-CN"/>
              </w:rPr>
              <w:t>城市</w:t>
            </w:r>
            <w:r>
              <w:rPr>
                <w:rFonts w:hint="eastAsia" w:ascii="宋体" w:hAnsi="宋体" w:eastAsia="宋体" w:cs="宋体"/>
                <w:color w:val="auto"/>
                <w:sz w:val="22"/>
                <w:szCs w:val="22"/>
              </w:rPr>
              <w:t>提供药品招采平台运营</w:t>
            </w:r>
            <w:r>
              <w:rPr>
                <w:rFonts w:hint="eastAsia" w:ascii="宋体" w:hAnsi="宋体" w:eastAsia="宋体" w:cs="宋体"/>
                <w:color w:val="auto"/>
                <w:sz w:val="22"/>
                <w:szCs w:val="22"/>
                <w:lang w:eastAsia="zh-Hans"/>
              </w:rPr>
              <w:t>服务</w:t>
            </w:r>
            <w:r>
              <w:rPr>
                <w:rFonts w:hint="eastAsia" w:ascii="宋体" w:hAnsi="宋体" w:eastAsia="宋体" w:cs="宋体"/>
                <w:color w:val="auto"/>
                <w:sz w:val="22"/>
                <w:szCs w:val="22"/>
              </w:rPr>
              <w:t>并承担</w:t>
            </w:r>
            <w:r>
              <w:rPr>
                <w:rFonts w:hint="eastAsia" w:ascii="宋体" w:hAnsi="宋体" w:eastAsia="宋体" w:cs="宋体"/>
                <w:color w:val="auto"/>
                <w:sz w:val="22"/>
                <w:szCs w:val="22"/>
                <w:lang w:eastAsia="zh-Hans"/>
              </w:rPr>
              <w:t>分类采购实施</w:t>
            </w:r>
            <w:r>
              <w:rPr>
                <w:rFonts w:hint="eastAsia" w:ascii="宋体" w:hAnsi="宋体" w:eastAsia="宋体" w:cs="宋体"/>
                <w:color w:val="auto"/>
                <w:sz w:val="22"/>
                <w:szCs w:val="22"/>
              </w:rPr>
              <w:t>工作：</w:t>
            </w:r>
            <w:r>
              <w:rPr>
                <w:rFonts w:hint="eastAsia" w:ascii="宋体" w:hAnsi="宋体" w:eastAsia="宋体" w:cs="宋体"/>
                <w:color w:val="auto"/>
                <w:sz w:val="22"/>
                <w:szCs w:val="22"/>
              </w:rPr>
              <w:br w:type="page"/>
            </w:r>
          </w:p>
          <w:p w14:paraId="51F97F57">
            <w:pPr>
              <w:rPr>
                <w:rFonts w:hint="eastAsia" w:ascii="宋体" w:hAnsi="宋体" w:eastAsia="宋体" w:cs="宋体"/>
                <w:color w:val="auto"/>
                <w:sz w:val="22"/>
                <w:szCs w:val="22"/>
              </w:rPr>
            </w:pPr>
            <w:r>
              <w:rPr>
                <w:rFonts w:hint="eastAsia" w:ascii="宋体" w:hAnsi="宋体" w:eastAsia="宋体" w:cs="宋体"/>
                <w:color w:val="auto"/>
                <w:sz w:val="22"/>
                <w:szCs w:val="22"/>
              </w:rPr>
              <w:t>1</w:t>
            </w:r>
            <w:r>
              <w:rPr>
                <w:rFonts w:hint="eastAsia" w:ascii="宋体" w:hAnsi="宋体" w:eastAsia="宋体" w:cs="宋体"/>
                <w:color w:val="auto"/>
                <w:sz w:val="22"/>
                <w:szCs w:val="22"/>
                <w:lang w:eastAsia="zh-Hans"/>
              </w:rPr>
              <w:t>.</w:t>
            </w:r>
            <w:r>
              <w:rPr>
                <w:rFonts w:hint="eastAsia" w:ascii="宋体" w:hAnsi="宋体" w:eastAsia="宋体" w:cs="宋体"/>
                <w:color w:val="auto"/>
                <w:sz w:val="22"/>
                <w:szCs w:val="22"/>
              </w:rPr>
              <w:t>直接挂网，每提供一个项目案例得5分，最高得5分；</w:t>
            </w:r>
            <w:r>
              <w:rPr>
                <w:rFonts w:hint="eastAsia" w:ascii="宋体" w:hAnsi="宋体" w:eastAsia="宋体" w:cs="宋体"/>
                <w:color w:val="auto"/>
                <w:sz w:val="22"/>
                <w:szCs w:val="22"/>
              </w:rPr>
              <w:br w:type="page"/>
            </w:r>
          </w:p>
          <w:p w14:paraId="23AB6A49">
            <w:pPr>
              <w:rPr>
                <w:rFonts w:hint="eastAsia" w:ascii="宋体" w:hAnsi="宋体" w:eastAsia="宋体" w:cs="宋体"/>
                <w:color w:val="auto"/>
                <w:sz w:val="22"/>
                <w:szCs w:val="22"/>
              </w:rPr>
            </w:pPr>
            <w:r>
              <w:rPr>
                <w:rFonts w:hint="eastAsia" w:ascii="宋体" w:hAnsi="宋体" w:eastAsia="宋体" w:cs="宋体"/>
                <w:color w:val="auto"/>
                <w:sz w:val="22"/>
                <w:szCs w:val="22"/>
              </w:rPr>
              <w:t>2.限价挂网，每提供一个项目案例</w:t>
            </w:r>
            <w:r>
              <w:rPr>
                <w:rFonts w:hint="eastAsia" w:ascii="宋体" w:hAnsi="宋体" w:eastAsia="宋体" w:cs="宋体"/>
                <w:color w:val="auto"/>
                <w:sz w:val="22"/>
                <w:szCs w:val="22"/>
                <w:lang w:eastAsia="zh-Hans"/>
              </w:rPr>
              <w:t>得</w:t>
            </w:r>
            <w:r>
              <w:rPr>
                <w:rFonts w:hint="eastAsia" w:ascii="宋体" w:hAnsi="宋体" w:eastAsia="宋体" w:cs="宋体"/>
                <w:color w:val="auto"/>
                <w:sz w:val="22"/>
                <w:szCs w:val="22"/>
              </w:rPr>
              <w:t>5分，最高</w:t>
            </w:r>
            <w:r>
              <w:rPr>
                <w:rFonts w:hint="eastAsia" w:ascii="宋体" w:hAnsi="宋体" w:eastAsia="宋体" w:cs="宋体"/>
                <w:color w:val="auto"/>
                <w:sz w:val="22"/>
                <w:szCs w:val="22"/>
                <w:lang w:eastAsia="zh-Hans"/>
              </w:rPr>
              <w:t>得</w:t>
            </w:r>
            <w:r>
              <w:rPr>
                <w:rFonts w:hint="eastAsia" w:ascii="宋体" w:hAnsi="宋体" w:eastAsia="宋体" w:cs="宋体"/>
                <w:color w:val="auto"/>
                <w:sz w:val="22"/>
                <w:szCs w:val="22"/>
              </w:rPr>
              <w:t>5分；</w:t>
            </w:r>
            <w:r>
              <w:rPr>
                <w:rFonts w:hint="eastAsia" w:ascii="宋体" w:hAnsi="宋体" w:eastAsia="宋体" w:cs="宋体"/>
                <w:color w:val="auto"/>
                <w:sz w:val="22"/>
                <w:szCs w:val="22"/>
              </w:rPr>
              <w:br w:type="page"/>
            </w:r>
          </w:p>
          <w:p w14:paraId="77D4465D">
            <w:pPr>
              <w:rPr>
                <w:rFonts w:hint="eastAsia" w:ascii="宋体" w:hAnsi="宋体" w:eastAsia="宋体" w:cs="宋体"/>
                <w:color w:val="auto"/>
                <w:sz w:val="22"/>
                <w:szCs w:val="22"/>
              </w:rPr>
            </w:pPr>
            <w:r>
              <w:rPr>
                <w:rFonts w:hint="eastAsia" w:ascii="宋体" w:hAnsi="宋体" w:eastAsia="宋体" w:cs="宋体"/>
                <w:color w:val="auto"/>
                <w:sz w:val="22"/>
                <w:szCs w:val="22"/>
              </w:rPr>
              <w:t>3.带量采购，每提供一个项目案例</w:t>
            </w:r>
            <w:r>
              <w:rPr>
                <w:rFonts w:hint="eastAsia" w:ascii="宋体" w:hAnsi="宋体" w:eastAsia="宋体" w:cs="宋体"/>
                <w:color w:val="auto"/>
                <w:sz w:val="22"/>
                <w:szCs w:val="22"/>
                <w:lang w:eastAsia="zh-Hans"/>
              </w:rPr>
              <w:t>得</w:t>
            </w:r>
            <w:r>
              <w:rPr>
                <w:rFonts w:hint="eastAsia" w:ascii="宋体" w:hAnsi="宋体" w:eastAsia="宋体" w:cs="宋体"/>
                <w:color w:val="auto"/>
                <w:sz w:val="22"/>
                <w:szCs w:val="22"/>
              </w:rPr>
              <w:t>5分，最高</w:t>
            </w:r>
            <w:r>
              <w:rPr>
                <w:rFonts w:hint="eastAsia" w:ascii="宋体" w:hAnsi="宋体" w:eastAsia="宋体" w:cs="宋体"/>
                <w:color w:val="auto"/>
                <w:sz w:val="22"/>
                <w:szCs w:val="22"/>
                <w:lang w:eastAsia="zh-Hans"/>
              </w:rPr>
              <w:t>得</w:t>
            </w:r>
            <w:r>
              <w:rPr>
                <w:rFonts w:hint="eastAsia" w:ascii="宋体" w:hAnsi="宋体" w:eastAsia="宋体" w:cs="宋体"/>
                <w:color w:val="auto"/>
                <w:sz w:val="22"/>
                <w:szCs w:val="22"/>
              </w:rPr>
              <w:t>5分；</w:t>
            </w:r>
          </w:p>
          <w:p w14:paraId="2E21482C">
            <w:pPr>
              <w:rPr>
                <w:rFonts w:hint="eastAsia" w:ascii="宋体" w:hAnsi="宋体" w:eastAsia="宋体" w:cs="宋体"/>
                <w:color w:val="auto"/>
                <w:sz w:val="22"/>
                <w:szCs w:val="22"/>
              </w:rPr>
            </w:pPr>
            <w:r>
              <w:rPr>
                <w:rFonts w:hint="eastAsia" w:ascii="宋体" w:hAnsi="宋体" w:eastAsia="宋体" w:cs="宋体"/>
                <w:color w:val="auto"/>
                <w:sz w:val="22"/>
                <w:szCs w:val="22"/>
              </w:rPr>
              <w:t>4.备案采购，每提供一个项目案例</w:t>
            </w:r>
            <w:r>
              <w:rPr>
                <w:rFonts w:hint="eastAsia" w:ascii="宋体" w:hAnsi="宋体" w:eastAsia="宋体" w:cs="宋体"/>
                <w:color w:val="auto"/>
                <w:sz w:val="22"/>
                <w:szCs w:val="22"/>
                <w:lang w:eastAsia="zh-Hans"/>
              </w:rPr>
              <w:t>得</w:t>
            </w:r>
            <w:r>
              <w:rPr>
                <w:rFonts w:hint="eastAsia" w:ascii="宋体" w:hAnsi="宋体" w:eastAsia="宋体" w:cs="宋体"/>
                <w:color w:val="auto"/>
                <w:sz w:val="22"/>
                <w:szCs w:val="22"/>
              </w:rPr>
              <w:t>5分，最高</w:t>
            </w:r>
            <w:r>
              <w:rPr>
                <w:rFonts w:hint="eastAsia" w:ascii="宋体" w:hAnsi="宋体" w:eastAsia="宋体" w:cs="宋体"/>
                <w:color w:val="auto"/>
                <w:sz w:val="22"/>
                <w:szCs w:val="22"/>
                <w:lang w:eastAsia="zh-Hans"/>
              </w:rPr>
              <w:t>得</w:t>
            </w:r>
            <w:r>
              <w:rPr>
                <w:rFonts w:hint="eastAsia" w:ascii="宋体" w:hAnsi="宋体" w:eastAsia="宋体" w:cs="宋体"/>
                <w:color w:val="auto"/>
                <w:sz w:val="22"/>
                <w:szCs w:val="22"/>
              </w:rPr>
              <w:t>5分。</w:t>
            </w:r>
          </w:p>
          <w:p w14:paraId="2611986D">
            <w:pPr>
              <w:rPr>
                <w:rFonts w:hint="eastAsia" w:ascii="宋体" w:hAnsi="宋体" w:eastAsia="宋体" w:cs="宋体"/>
                <w:color w:val="auto"/>
                <w:sz w:val="22"/>
                <w:szCs w:val="22"/>
              </w:rPr>
            </w:pPr>
            <w:r>
              <w:rPr>
                <w:rFonts w:hint="eastAsia" w:ascii="宋体" w:hAnsi="宋体" w:eastAsia="宋体" w:cs="宋体"/>
                <w:color w:val="auto"/>
                <w:sz w:val="22"/>
                <w:szCs w:val="22"/>
              </w:rPr>
              <w:t>5.在此基础上，有为</w:t>
            </w:r>
            <w:r>
              <w:rPr>
                <w:rFonts w:hint="eastAsia" w:ascii="宋体" w:hAnsi="宋体" w:eastAsia="宋体" w:cs="宋体"/>
                <w:color w:val="auto"/>
                <w:sz w:val="22"/>
                <w:szCs w:val="22"/>
                <w:lang w:eastAsia="zh-Hans"/>
              </w:rPr>
              <w:t>副省级及以上</w:t>
            </w:r>
            <w:r>
              <w:rPr>
                <w:rFonts w:hint="eastAsia" w:ascii="宋体" w:hAnsi="宋体" w:eastAsia="宋体" w:cs="宋体"/>
                <w:color w:val="auto"/>
                <w:sz w:val="22"/>
                <w:szCs w:val="22"/>
                <w:lang w:eastAsia="zh-CN"/>
              </w:rPr>
              <w:t>城市</w:t>
            </w:r>
            <w:r>
              <w:rPr>
                <w:rFonts w:hint="eastAsia" w:ascii="宋体" w:hAnsi="宋体" w:eastAsia="宋体" w:cs="宋体"/>
                <w:color w:val="auto"/>
                <w:sz w:val="22"/>
                <w:szCs w:val="22"/>
              </w:rPr>
              <w:t>或省（直辖市、自治区</w:t>
            </w: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rPr>
              <w:t>提供药品采购平台运营服务并承担</w:t>
            </w:r>
            <w:r>
              <w:rPr>
                <w:rFonts w:hint="eastAsia" w:ascii="宋体" w:hAnsi="宋体" w:eastAsia="宋体" w:cs="宋体"/>
                <w:color w:val="auto"/>
                <w:sz w:val="22"/>
                <w:szCs w:val="22"/>
                <w:lang w:eastAsia="zh-Hans"/>
              </w:rPr>
              <w:t>分类采购实施</w:t>
            </w:r>
            <w:r>
              <w:rPr>
                <w:rFonts w:hint="eastAsia" w:ascii="宋体" w:hAnsi="宋体" w:eastAsia="宋体" w:cs="宋体"/>
                <w:color w:val="auto"/>
                <w:sz w:val="22"/>
                <w:szCs w:val="22"/>
              </w:rPr>
              <w:t>工作的，再</w:t>
            </w:r>
            <w:r>
              <w:rPr>
                <w:rFonts w:hint="eastAsia" w:ascii="宋体" w:hAnsi="宋体" w:eastAsia="宋体" w:cs="宋体"/>
                <w:color w:val="auto"/>
                <w:sz w:val="22"/>
                <w:szCs w:val="22"/>
                <w:lang w:val="en-US" w:eastAsia="zh-CN"/>
              </w:rPr>
              <w:t>加</w:t>
            </w:r>
            <w:r>
              <w:rPr>
                <w:rFonts w:hint="eastAsia" w:ascii="宋体" w:hAnsi="宋体" w:eastAsia="宋体" w:cs="宋体"/>
                <w:color w:val="auto"/>
                <w:sz w:val="22"/>
                <w:szCs w:val="22"/>
              </w:rPr>
              <w:t>10分。</w:t>
            </w:r>
          </w:p>
          <w:p w14:paraId="28277A01">
            <w:pPr>
              <w:rPr>
                <w:rFonts w:hint="eastAsia" w:ascii="宋体" w:hAnsi="宋体" w:eastAsia="宋体" w:cs="宋体"/>
                <w:color w:val="auto"/>
                <w:sz w:val="22"/>
                <w:szCs w:val="22"/>
              </w:rPr>
            </w:pPr>
            <w:r>
              <w:rPr>
                <w:rFonts w:hint="eastAsia" w:ascii="宋体" w:hAnsi="宋体" w:eastAsia="宋体" w:cs="宋体"/>
                <w:color w:val="auto"/>
                <w:sz w:val="22"/>
                <w:szCs w:val="22"/>
              </w:rPr>
              <w:t>以上5项累计计分，本小项最高得30分。</w:t>
            </w:r>
            <w:r>
              <w:rPr>
                <w:rFonts w:hint="eastAsia" w:ascii="宋体" w:hAnsi="宋体" w:eastAsia="宋体" w:cs="宋体"/>
                <w:color w:val="auto"/>
                <w:sz w:val="22"/>
                <w:szCs w:val="22"/>
              </w:rPr>
              <w:br w:type="page"/>
            </w:r>
          </w:p>
          <w:p w14:paraId="433077AC">
            <w:pPr>
              <w:rPr>
                <w:rFonts w:hint="eastAsia" w:ascii="宋体" w:hAnsi="宋体" w:eastAsia="宋体" w:cs="宋体"/>
                <w:color w:val="auto"/>
                <w:sz w:val="22"/>
                <w:szCs w:val="22"/>
              </w:rPr>
            </w:pPr>
            <w:r>
              <w:rPr>
                <w:rFonts w:hint="eastAsia" w:ascii="宋体" w:hAnsi="宋体" w:eastAsia="宋体" w:cs="宋体"/>
                <w:color w:val="auto"/>
                <w:sz w:val="22"/>
                <w:szCs w:val="22"/>
                <w:lang w:eastAsia="zh-Hans"/>
              </w:rPr>
              <w:t>评分依据</w:t>
            </w:r>
            <w:r>
              <w:rPr>
                <w:rFonts w:hint="eastAsia" w:ascii="宋体" w:hAnsi="宋体" w:eastAsia="宋体" w:cs="宋体"/>
                <w:color w:val="auto"/>
                <w:sz w:val="22"/>
                <w:szCs w:val="22"/>
              </w:rPr>
              <w:t>：</w:t>
            </w:r>
          </w:p>
          <w:p w14:paraId="32E02784">
            <w:pPr>
              <w:rPr>
                <w:rFonts w:hint="eastAsia" w:ascii="宋体" w:hAnsi="宋体" w:eastAsia="宋体" w:cs="宋体"/>
                <w:color w:val="auto"/>
                <w:sz w:val="22"/>
                <w:szCs w:val="22"/>
              </w:rPr>
            </w:pPr>
            <w:r>
              <w:rPr>
                <w:rFonts w:hint="eastAsia" w:ascii="宋体" w:hAnsi="宋体" w:eastAsia="宋体" w:cs="宋体"/>
                <w:color w:val="auto"/>
                <w:sz w:val="22"/>
                <w:szCs w:val="22"/>
              </w:rPr>
              <w:t>1.直接挂网的证明材料为：供应商提供国家组织药品集中采购，直接挂网运营服务电子交易合同；</w:t>
            </w:r>
          </w:p>
          <w:p w14:paraId="05B9E844">
            <w:pPr>
              <w:rPr>
                <w:rFonts w:hint="eastAsia" w:ascii="宋体" w:hAnsi="宋体" w:eastAsia="宋体" w:cs="宋体"/>
                <w:color w:val="auto"/>
                <w:sz w:val="22"/>
                <w:szCs w:val="22"/>
              </w:rPr>
            </w:pPr>
            <w:r>
              <w:rPr>
                <w:rFonts w:hint="eastAsia" w:ascii="宋体" w:hAnsi="宋体" w:eastAsia="宋体" w:cs="宋体"/>
                <w:color w:val="auto"/>
                <w:sz w:val="22"/>
                <w:szCs w:val="22"/>
              </w:rPr>
              <w:t>2.限价挂网的证明材料为：供应商提供</w:t>
            </w:r>
            <w:r>
              <w:rPr>
                <w:rFonts w:hint="eastAsia" w:ascii="宋体" w:hAnsi="宋体" w:eastAsia="宋体" w:cs="宋体"/>
                <w:color w:val="auto"/>
                <w:sz w:val="22"/>
                <w:szCs w:val="22"/>
                <w:lang w:eastAsia="zh-Hans"/>
              </w:rPr>
              <w:t>限价</w:t>
            </w:r>
            <w:r>
              <w:rPr>
                <w:rFonts w:hint="eastAsia" w:ascii="宋体" w:hAnsi="宋体" w:eastAsia="宋体" w:cs="宋体"/>
                <w:color w:val="auto"/>
                <w:sz w:val="22"/>
                <w:szCs w:val="22"/>
              </w:rPr>
              <w:t>挂网运营服务电子交易合同；</w:t>
            </w:r>
          </w:p>
          <w:p w14:paraId="39ACF127">
            <w:pPr>
              <w:rPr>
                <w:rFonts w:hint="eastAsia" w:ascii="宋体" w:hAnsi="宋体" w:eastAsia="宋体" w:cs="宋体"/>
                <w:color w:val="auto"/>
                <w:sz w:val="22"/>
                <w:szCs w:val="22"/>
              </w:rPr>
            </w:pPr>
            <w:r>
              <w:rPr>
                <w:rFonts w:hint="eastAsia" w:ascii="宋体" w:hAnsi="宋体" w:eastAsia="宋体" w:cs="宋体"/>
                <w:color w:val="auto"/>
                <w:sz w:val="22"/>
                <w:szCs w:val="22"/>
              </w:rPr>
              <w:t>3.带量采购的证明材料为：供应商平台发布的药品集团采购等带量采购</w:t>
            </w:r>
            <w:r>
              <w:rPr>
                <w:rFonts w:hint="eastAsia" w:ascii="宋体" w:hAnsi="宋体" w:eastAsia="宋体" w:cs="宋体"/>
                <w:color w:val="auto"/>
                <w:sz w:val="22"/>
                <w:szCs w:val="22"/>
                <w:lang w:eastAsia="zh-Hans"/>
              </w:rPr>
              <w:t>电子交易合同</w:t>
            </w:r>
            <w:r>
              <w:rPr>
                <w:rFonts w:hint="eastAsia" w:ascii="宋体" w:hAnsi="宋体" w:eastAsia="宋体" w:cs="宋体"/>
                <w:color w:val="auto"/>
                <w:sz w:val="22"/>
                <w:szCs w:val="22"/>
              </w:rPr>
              <w:t>；</w:t>
            </w:r>
          </w:p>
          <w:p w14:paraId="25EB5C49">
            <w:pPr>
              <w:rPr>
                <w:rFonts w:hint="eastAsia" w:ascii="宋体" w:hAnsi="宋体" w:eastAsia="宋体" w:cs="宋体"/>
                <w:color w:val="auto"/>
                <w:sz w:val="22"/>
                <w:szCs w:val="22"/>
              </w:rPr>
            </w:pPr>
            <w:r>
              <w:rPr>
                <w:rFonts w:hint="eastAsia" w:ascii="宋体" w:hAnsi="宋体" w:eastAsia="宋体" w:cs="宋体"/>
                <w:color w:val="auto"/>
                <w:sz w:val="22"/>
                <w:szCs w:val="22"/>
              </w:rPr>
              <w:t>4.备案采购的证明材料为：供应商提供相关的备案采购通知，或者提供能证明具有备案采购功能的材料；</w:t>
            </w:r>
          </w:p>
          <w:p w14:paraId="35DB911C">
            <w:pPr>
              <w:rPr>
                <w:rFonts w:hint="eastAsia" w:ascii="宋体" w:hAnsi="宋体" w:eastAsia="宋体" w:cs="宋体"/>
                <w:color w:val="auto"/>
                <w:sz w:val="22"/>
                <w:szCs w:val="22"/>
              </w:rPr>
            </w:pPr>
            <w:r>
              <w:rPr>
                <w:rFonts w:hint="eastAsia" w:ascii="宋体" w:hAnsi="宋体" w:eastAsia="宋体" w:cs="宋体"/>
                <w:color w:val="auto"/>
                <w:sz w:val="22"/>
                <w:szCs w:val="22"/>
              </w:rPr>
              <w:t>5.提供药品运营服务</w:t>
            </w:r>
            <w:r>
              <w:rPr>
                <w:rFonts w:hint="eastAsia" w:ascii="宋体" w:hAnsi="宋体" w:eastAsia="宋体" w:cs="宋体"/>
                <w:color w:val="auto"/>
                <w:sz w:val="22"/>
                <w:szCs w:val="22"/>
                <w:lang w:eastAsia="zh-Hans"/>
              </w:rPr>
              <w:t>或</w:t>
            </w:r>
            <w:r>
              <w:rPr>
                <w:rFonts w:hint="eastAsia" w:ascii="宋体" w:hAnsi="宋体" w:eastAsia="宋体" w:cs="宋体"/>
                <w:color w:val="auto"/>
                <w:sz w:val="22"/>
                <w:szCs w:val="22"/>
              </w:rPr>
              <w:t>承担</w:t>
            </w:r>
            <w:r>
              <w:rPr>
                <w:rFonts w:hint="eastAsia" w:ascii="宋体" w:hAnsi="宋体" w:eastAsia="宋体" w:cs="宋体"/>
                <w:color w:val="auto"/>
                <w:sz w:val="22"/>
                <w:szCs w:val="22"/>
                <w:lang w:eastAsia="zh-Hans"/>
              </w:rPr>
              <w:t>分类采购实施</w:t>
            </w:r>
            <w:r>
              <w:rPr>
                <w:rFonts w:hint="eastAsia" w:ascii="宋体" w:hAnsi="宋体" w:eastAsia="宋体" w:cs="宋体"/>
                <w:color w:val="auto"/>
                <w:sz w:val="22"/>
                <w:szCs w:val="22"/>
              </w:rPr>
              <w:t>工作的，以编制文件或相关合同为准；</w:t>
            </w:r>
          </w:p>
          <w:p w14:paraId="6B50CB06">
            <w:pPr>
              <w:rPr>
                <w:rFonts w:hint="eastAsia" w:ascii="宋体" w:hAnsi="宋体" w:eastAsia="宋体" w:cs="宋体"/>
                <w:color w:val="auto"/>
                <w:sz w:val="22"/>
                <w:szCs w:val="22"/>
              </w:rPr>
            </w:pPr>
            <w:r>
              <w:rPr>
                <w:rFonts w:hint="eastAsia" w:ascii="宋体" w:hAnsi="宋体" w:eastAsia="宋体" w:cs="宋体"/>
                <w:color w:val="auto"/>
                <w:sz w:val="22"/>
                <w:szCs w:val="22"/>
              </w:rPr>
              <w:t>6.以上资料均要求提供扫描件，原件备查。评分中出现无证明资料或专家无法凭所提供资料判断是否得分的情况，一律作不得分处理。</w:t>
            </w:r>
          </w:p>
          <w:p w14:paraId="38226D95">
            <w:pPr>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（三）集采药品监测服务案例：</w:t>
            </w:r>
          </w:p>
          <w:p w14:paraId="084B3CB8">
            <w:pPr>
              <w:rPr>
                <w:rFonts w:hint="eastAsia" w:ascii="宋体" w:hAnsi="宋体" w:eastAsia="宋体" w:cs="宋体"/>
                <w:color w:val="auto"/>
                <w:sz w:val="22"/>
                <w:szCs w:val="22"/>
              </w:rPr>
            </w:pPr>
            <w:r>
              <w:rPr>
                <w:rFonts w:hint="eastAsia" w:ascii="宋体" w:hAnsi="宋体" w:eastAsia="宋体" w:cs="宋体"/>
                <w:color w:val="auto"/>
                <w:sz w:val="22"/>
                <w:szCs w:val="22"/>
              </w:rPr>
              <w:t>1.近三年（自2022年1月1日起至本项目投标截止之日，具体以证明资料落款日期为准），供应商具有为地市级及以上</w:t>
            </w:r>
            <w:r>
              <w:rPr>
                <w:rFonts w:hint="eastAsia" w:ascii="宋体" w:hAnsi="宋体" w:eastAsia="宋体" w:cs="宋体"/>
                <w:color w:val="auto"/>
                <w:sz w:val="22"/>
                <w:szCs w:val="22"/>
                <w:lang w:eastAsia="zh-CN"/>
              </w:rPr>
              <w:t>城市</w:t>
            </w:r>
            <w:r>
              <w:rPr>
                <w:rFonts w:hint="eastAsia" w:ascii="宋体" w:hAnsi="宋体" w:eastAsia="宋体" w:cs="宋体"/>
                <w:color w:val="auto"/>
                <w:sz w:val="22"/>
                <w:szCs w:val="22"/>
              </w:rPr>
              <w:t>提供落实集采药品预付基金数据支持统计服务案例的，每提供一个服务案例的，得5分，最高得10分。</w:t>
            </w:r>
          </w:p>
          <w:p w14:paraId="274B06D8">
            <w:pPr>
              <w:rPr>
                <w:rFonts w:hint="eastAsia" w:ascii="宋体" w:hAnsi="宋体" w:eastAsia="宋体" w:cs="宋体"/>
                <w:color w:val="auto"/>
                <w:sz w:val="22"/>
                <w:szCs w:val="22"/>
              </w:rPr>
            </w:pPr>
            <w:r>
              <w:rPr>
                <w:rFonts w:hint="eastAsia" w:ascii="宋体" w:hAnsi="宋体" w:eastAsia="宋体" w:cs="宋体"/>
                <w:color w:val="auto"/>
                <w:sz w:val="22"/>
                <w:szCs w:val="22"/>
              </w:rPr>
              <w:t>2.近三年（自2022年1月1日起至本项目投标截止之日，具体以证明资料落款日期为准），供应商具备为地市级及以上</w:t>
            </w:r>
            <w:r>
              <w:rPr>
                <w:rFonts w:hint="eastAsia" w:ascii="宋体" w:hAnsi="宋体" w:eastAsia="宋体" w:cs="宋体"/>
                <w:color w:val="auto"/>
                <w:sz w:val="22"/>
                <w:szCs w:val="22"/>
                <w:lang w:eastAsia="zh-CN"/>
              </w:rPr>
              <w:t>城市</w:t>
            </w:r>
            <w:r>
              <w:rPr>
                <w:rFonts w:hint="eastAsia" w:ascii="宋体" w:hAnsi="宋体" w:eastAsia="宋体" w:cs="宋体"/>
                <w:color w:val="auto"/>
                <w:sz w:val="22"/>
                <w:szCs w:val="22"/>
              </w:rPr>
              <w:t>提供集采药品采购数据监测及数据统计分析服务案例，每提供一个服务案例的，得5分，最高得10分。</w:t>
            </w:r>
          </w:p>
          <w:p w14:paraId="1AD56D56">
            <w:pPr>
              <w:rPr>
                <w:rFonts w:hint="eastAsia" w:ascii="宋体" w:hAnsi="宋体" w:eastAsia="宋体" w:cs="宋体"/>
                <w:color w:val="auto"/>
                <w:sz w:val="22"/>
                <w:szCs w:val="22"/>
              </w:rPr>
            </w:pPr>
            <w:r>
              <w:rPr>
                <w:rFonts w:hint="eastAsia" w:ascii="宋体" w:hAnsi="宋体" w:eastAsia="宋体" w:cs="宋体"/>
                <w:color w:val="auto"/>
                <w:sz w:val="22"/>
                <w:szCs w:val="22"/>
              </w:rPr>
              <w:t>以上2项累计计分，本小项最高得20分。</w:t>
            </w:r>
          </w:p>
          <w:p w14:paraId="707B74D0">
            <w:pPr>
              <w:rPr>
                <w:rFonts w:hint="eastAsia" w:ascii="宋体" w:hAnsi="宋体" w:eastAsia="宋体" w:cs="宋体"/>
                <w:color w:val="auto"/>
                <w:sz w:val="22"/>
                <w:szCs w:val="22"/>
              </w:rPr>
            </w:pPr>
            <w:r>
              <w:rPr>
                <w:rFonts w:hint="eastAsia" w:ascii="宋体" w:hAnsi="宋体" w:eastAsia="宋体" w:cs="宋体"/>
                <w:color w:val="auto"/>
                <w:sz w:val="22"/>
                <w:szCs w:val="22"/>
                <w:lang w:eastAsia="zh-Hans"/>
              </w:rPr>
              <w:t>评分依据</w:t>
            </w:r>
            <w:r>
              <w:rPr>
                <w:rFonts w:hint="eastAsia" w:ascii="宋体" w:hAnsi="宋体" w:eastAsia="宋体" w:cs="宋体"/>
                <w:color w:val="auto"/>
                <w:sz w:val="22"/>
                <w:szCs w:val="22"/>
              </w:rPr>
              <w:t>：</w:t>
            </w:r>
          </w:p>
          <w:p w14:paraId="50988913">
            <w:pPr>
              <w:tabs>
                <w:tab w:val="left" w:pos="0"/>
                <w:tab w:val="left" w:pos="993"/>
                <w:tab w:val="left" w:pos="1134"/>
              </w:tabs>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1.序号1的证明资料为：提供服务区域政府主管部门出具的函件或经服务区域政府主管部门盖章确认的系统证明截图；</w:t>
            </w:r>
          </w:p>
          <w:p w14:paraId="3372D7C8">
            <w:pPr>
              <w:tabs>
                <w:tab w:val="left" w:pos="0"/>
                <w:tab w:val="left" w:pos="993"/>
                <w:tab w:val="left" w:pos="1134"/>
              </w:tabs>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2.序号2的证明资料为：提供服务区域政府主管部门出具的证明文件或经服务区域政府主管部门盖章确认的系统证明截图；</w:t>
            </w:r>
          </w:p>
          <w:p w14:paraId="7A1898CF">
            <w:pPr>
              <w:tabs>
                <w:tab w:val="left" w:pos="0"/>
                <w:tab w:val="left" w:pos="993"/>
                <w:tab w:val="left" w:pos="1134"/>
              </w:tabs>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3.以上资料均要求提供扫描件，原件备查。评分中出现无证明资料或专家无法凭所提供资料判断是否得分的情况，一律作不得分处理。</w:t>
            </w:r>
          </w:p>
          <w:p w14:paraId="6208AF4F">
            <w:pPr>
              <w:tabs>
                <w:tab w:val="left" w:pos="0"/>
                <w:tab w:val="left" w:pos="993"/>
                <w:tab w:val="left" w:pos="1134"/>
              </w:tabs>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（四）其它药品监管服务案例：</w:t>
            </w:r>
          </w:p>
          <w:p w14:paraId="70F0F61F">
            <w:pPr>
              <w:tabs>
                <w:tab w:val="left" w:pos="0"/>
                <w:tab w:val="left" w:pos="993"/>
                <w:tab w:val="left" w:pos="1134"/>
              </w:tabs>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近三年（自2022年1月1日起至本项目投标截止之日，具体以</w:t>
            </w:r>
            <w:r>
              <w:rPr>
                <w:rFonts w:hint="eastAsia" w:ascii="宋体" w:hAnsi="宋体" w:eastAsia="宋体" w:cs="宋体"/>
                <w:color w:val="auto"/>
                <w:sz w:val="22"/>
                <w:szCs w:val="22"/>
              </w:rPr>
              <w:t>证明资料</w:t>
            </w:r>
            <w:r>
              <w:rPr>
                <w:rFonts w:hint="eastAsia" w:ascii="宋体" w:hAnsi="宋体" w:eastAsia="宋体" w:cs="宋体"/>
                <w:color w:val="auto"/>
                <w:sz w:val="22"/>
                <w:szCs w:val="22"/>
                <w:lang w:eastAsia="zh-CN"/>
              </w:rPr>
              <w:t>落款日期为准），供应商具有为地市级及以上城市提供国家短缺药监测或国家集采可替代药品监测服务案例的，每提供一个服务案例的，得5分，最高得10分。</w:t>
            </w:r>
          </w:p>
          <w:p w14:paraId="28E899CD">
            <w:pPr>
              <w:rPr>
                <w:rFonts w:hint="eastAsia" w:ascii="宋体" w:hAnsi="宋体" w:eastAsia="宋体" w:cs="宋体"/>
                <w:color w:val="auto"/>
                <w:sz w:val="22"/>
                <w:szCs w:val="22"/>
              </w:rPr>
            </w:pPr>
            <w:r>
              <w:rPr>
                <w:rFonts w:hint="eastAsia" w:ascii="宋体" w:hAnsi="宋体" w:eastAsia="宋体" w:cs="宋体"/>
                <w:color w:val="auto"/>
                <w:sz w:val="22"/>
                <w:szCs w:val="22"/>
                <w:lang w:eastAsia="zh-CN"/>
              </w:rPr>
              <w:t>评分依据</w:t>
            </w:r>
            <w:r>
              <w:rPr>
                <w:rFonts w:hint="eastAsia" w:ascii="宋体" w:hAnsi="宋体" w:eastAsia="宋体" w:cs="宋体"/>
                <w:color w:val="auto"/>
                <w:sz w:val="22"/>
                <w:szCs w:val="22"/>
              </w:rPr>
              <w:t>：</w:t>
            </w:r>
          </w:p>
          <w:p w14:paraId="05975616">
            <w:pPr>
              <w:tabs>
                <w:tab w:val="left" w:pos="0"/>
                <w:tab w:val="left" w:pos="993"/>
                <w:tab w:val="left" w:pos="1134"/>
              </w:tabs>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1.提供服务区域政府主管部门出具的函件或经服务区域政府主管部门盖章确认的系统证明截图；</w:t>
            </w:r>
          </w:p>
          <w:p w14:paraId="426B537A">
            <w:pPr>
              <w:tabs>
                <w:tab w:val="left" w:pos="0"/>
                <w:tab w:val="left" w:pos="993"/>
                <w:tab w:val="left" w:pos="1134"/>
              </w:tabs>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2.以上资料提供扫描件，原件备查。评分中出现无证明资料或专家无法凭所提供资料判断是否得分的情况，一律作不得分处理。</w:t>
            </w:r>
          </w:p>
          <w:p w14:paraId="4C6140CA">
            <w:pPr>
              <w:tabs>
                <w:tab w:val="left" w:pos="0"/>
                <w:tab w:val="left" w:pos="993"/>
                <w:tab w:val="left" w:pos="1134"/>
              </w:tabs>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（五）药品供应保障监管支持服务</w:t>
            </w:r>
          </w:p>
          <w:p w14:paraId="5FCE8902">
            <w:pPr>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近三年（自2022年1月1日起至本项目投标截止之日，具体以</w:t>
            </w:r>
            <w:r>
              <w:rPr>
                <w:rFonts w:hint="eastAsia" w:ascii="宋体" w:hAnsi="宋体" w:eastAsia="宋体" w:cs="宋体"/>
                <w:color w:val="auto"/>
                <w:sz w:val="22"/>
                <w:szCs w:val="22"/>
              </w:rPr>
              <w:t>证明资料</w:t>
            </w:r>
            <w:r>
              <w:rPr>
                <w:rFonts w:hint="eastAsia" w:ascii="宋体" w:hAnsi="宋体" w:eastAsia="宋体" w:cs="宋体"/>
                <w:color w:val="auto"/>
                <w:sz w:val="22"/>
                <w:szCs w:val="22"/>
                <w:lang w:eastAsia="zh-CN"/>
              </w:rPr>
              <w:t>落款日期为准），供应商具有为地市级及以上城市提供药品供应异常数据统计分析或企业供应情况评分分析服务案例的，每提供一个服务案例的，得1</w:t>
            </w:r>
            <w:r>
              <w:rPr>
                <w:rFonts w:hint="eastAsia" w:ascii="宋体" w:hAnsi="宋体" w:eastAsia="宋体" w:cs="宋体"/>
                <w:color w:val="auto"/>
                <w:sz w:val="22"/>
                <w:szCs w:val="22"/>
                <w:lang w:val="en-US" w:eastAsia="zh-CN"/>
              </w:rPr>
              <w:t>0</w:t>
            </w:r>
            <w:r>
              <w:rPr>
                <w:rFonts w:hint="eastAsia" w:ascii="宋体" w:hAnsi="宋体" w:eastAsia="宋体" w:cs="宋体"/>
                <w:color w:val="auto"/>
                <w:sz w:val="22"/>
                <w:szCs w:val="22"/>
                <w:lang w:eastAsia="zh-CN"/>
              </w:rPr>
              <w:t>分，最高得15分。</w:t>
            </w:r>
          </w:p>
          <w:p w14:paraId="1ACA4DCF">
            <w:pPr>
              <w:rPr>
                <w:rFonts w:hint="eastAsia" w:ascii="宋体" w:hAnsi="宋体" w:eastAsia="宋体" w:cs="宋体"/>
                <w:color w:val="auto"/>
                <w:sz w:val="22"/>
                <w:szCs w:val="22"/>
              </w:rPr>
            </w:pPr>
            <w:r>
              <w:rPr>
                <w:rFonts w:hint="eastAsia" w:ascii="宋体" w:hAnsi="宋体" w:eastAsia="宋体" w:cs="宋体"/>
                <w:color w:val="auto"/>
                <w:sz w:val="22"/>
                <w:szCs w:val="22"/>
                <w:lang w:eastAsia="zh-CN"/>
              </w:rPr>
              <w:t>评分依据</w:t>
            </w:r>
            <w:r>
              <w:rPr>
                <w:rFonts w:hint="eastAsia" w:ascii="宋体" w:hAnsi="宋体" w:eastAsia="宋体" w:cs="宋体"/>
                <w:color w:val="auto"/>
                <w:sz w:val="22"/>
                <w:szCs w:val="22"/>
              </w:rPr>
              <w:t>：</w:t>
            </w:r>
          </w:p>
          <w:p w14:paraId="25091C83">
            <w:pPr>
              <w:tabs>
                <w:tab w:val="left" w:pos="0"/>
                <w:tab w:val="left" w:pos="993"/>
                <w:tab w:val="left" w:pos="1134"/>
              </w:tabs>
              <w:ind w:left="0" w:leftChars="0" w:firstLine="0" w:firstLineChars="0"/>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1.提供服务区域政府主管部门出具的函件或经服务区域政府主管部门盖章确认的系统证明截图；</w:t>
            </w:r>
          </w:p>
          <w:p w14:paraId="67DDB606">
            <w:pPr>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2.以上资料提供扫描件，原件备查。评分中出现无证明资料或专家无法凭所提供资料判断是否得分的情况，一律作不得分处理。</w:t>
            </w:r>
          </w:p>
          <w:p w14:paraId="6C02D8C0">
            <w:pPr>
              <w:rPr>
                <w:rFonts w:hint="eastAsia" w:ascii="宋体" w:hAnsi="宋体" w:eastAsia="宋体" w:cs="宋体"/>
                <w:color w:val="auto"/>
                <w:sz w:val="22"/>
                <w:szCs w:val="22"/>
              </w:rPr>
            </w:pPr>
            <w:r>
              <w:rPr>
                <w:rFonts w:hint="eastAsia" w:ascii="宋体" w:hAnsi="宋体" w:eastAsia="宋体" w:cs="宋体"/>
                <w:color w:val="auto"/>
                <w:sz w:val="22"/>
                <w:szCs w:val="22"/>
              </w:rPr>
              <w:t>（六）平台与相关职能机构对接的案例：</w:t>
            </w:r>
          </w:p>
          <w:p w14:paraId="5675A76B">
            <w:pPr>
              <w:rPr>
                <w:rFonts w:hint="eastAsia" w:ascii="宋体" w:hAnsi="宋体" w:eastAsia="宋体" w:cs="宋体"/>
                <w:color w:val="auto"/>
                <w:sz w:val="22"/>
                <w:szCs w:val="22"/>
              </w:rPr>
            </w:pPr>
            <w:r>
              <w:rPr>
                <w:rFonts w:hint="eastAsia" w:ascii="宋体" w:hAnsi="宋体" w:eastAsia="宋体" w:cs="宋体"/>
                <w:color w:val="auto"/>
                <w:sz w:val="22"/>
                <w:szCs w:val="22"/>
              </w:rPr>
              <w:t>近三年（自20</w:t>
            </w:r>
            <w:r>
              <w:rPr>
                <w:rFonts w:hint="eastAsia" w:ascii="宋体" w:hAnsi="宋体" w:eastAsia="宋体" w:cs="宋体"/>
                <w:color w:val="auto"/>
                <w:sz w:val="22"/>
                <w:szCs w:val="22"/>
                <w:lang w:val="en-US" w:eastAsia="zh-CN"/>
              </w:rPr>
              <w:t>22</w:t>
            </w:r>
            <w:r>
              <w:rPr>
                <w:rFonts w:hint="eastAsia" w:ascii="宋体" w:hAnsi="宋体" w:eastAsia="宋体" w:cs="宋体"/>
                <w:color w:val="auto"/>
                <w:sz w:val="22"/>
                <w:szCs w:val="22"/>
              </w:rPr>
              <w:t>年1月1日起至本项目投标截止之日，具体以</w:t>
            </w:r>
            <w:r>
              <w:rPr>
                <w:rFonts w:hint="eastAsia" w:ascii="宋体" w:hAnsi="宋体" w:eastAsia="宋体" w:cs="宋体"/>
                <w:color w:val="auto"/>
                <w:sz w:val="22"/>
                <w:szCs w:val="22"/>
                <w:lang w:eastAsia="zh-CN"/>
              </w:rPr>
              <w:t>证明资料</w:t>
            </w:r>
            <w:r>
              <w:rPr>
                <w:rFonts w:hint="eastAsia" w:ascii="宋体" w:hAnsi="宋体" w:eastAsia="宋体" w:cs="宋体"/>
                <w:color w:val="auto"/>
                <w:sz w:val="22"/>
                <w:szCs w:val="22"/>
              </w:rPr>
              <w:t>落款日期为准），供应商运营的药品招采平台与政府职能部门或药品交易相关方连通的案例，与政府职能部门（医保系统、卫生健康系统，省级监管系统，纪委监委系统等）或药品交易相关方（药品生产企业、药品配送企业、医疗机构）任一系统实现系统对接的，得5分，本小项最高得5分。</w:t>
            </w:r>
          </w:p>
          <w:p w14:paraId="3BC5F104">
            <w:pPr>
              <w:rPr>
                <w:rFonts w:hint="eastAsia" w:ascii="宋体" w:hAnsi="宋体" w:eastAsia="宋体" w:cs="宋体"/>
                <w:color w:val="auto"/>
                <w:sz w:val="22"/>
                <w:szCs w:val="22"/>
              </w:rPr>
            </w:pPr>
            <w:r>
              <w:rPr>
                <w:rFonts w:hint="eastAsia" w:ascii="宋体" w:hAnsi="宋体" w:eastAsia="宋体" w:cs="宋体"/>
                <w:color w:val="auto"/>
                <w:sz w:val="22"/>
                <w:szCs w:val="22"/>
                <w:lang w:eastAsia="zh-Hans"/>
              </w:rPr>
              <w:t>评分依据</w:t>
            </w:r>
            <w:r>
              <w:rPr>
                <w:rFonts w:hint="eastAsia" w:ascii="宋体" w:hAnsi="宋体" w:eastAsia="宋体" w:cs="宋体"/>
                <w:color w:val="auto"/>
                <w:sz w:val="22"/>
                <w:szCs w:val="22"/>
              </w:rPr>
              <w:t>：</w:t>
            </w:r>
          </w:p>
          <w:p w14:paraId="099E11EF">
            <w:pPr>
              <w:rPr>
                <w:rFonts w:hint="eastAsia" w:ascii="宋体" w:hAnsi="宋体" w:eastAsia="宋体" w:cs="宋体"/>
                <w:color w:val="auto"/>
                <w:sz w:val="22"/>
                <w:szCs w:val="22"/>
              </w:rPr>
            </w:pPr>
            <w:r>
              <w:rPr>
                <w:rFonts w:hint="eastAsia" w:ascii="宋体" w:hAnsi="宋体" w:eastAsia="宋体" w:cs="宋体"/>
                <w:color w:val="auto"/>
                <w:sz w:val="22"/>
                <w:szCs w:val="22"/>
              </w:rPr>
              <w:t>1.需提供能证明与政府部门或药品交易相关方对接事项的资料，包括且不限于接口文档截图、接口代码截图、运行日志截图等在技术上能证明实现对接的资料等材料。</w:t>
            </w:r>
          </w:p>
          <w:p w14:paraId="06298C29">
            <w:pPr>
              <w:tabs>
                <w:tab w:val="left" w:pos="0"/>
                <w:tab w:val="left" w:pos="993"/>
                <w:tab w:val="left" w:pos="1134"/>
              </w:tabs>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2.以上资料均要求提供扫描件，原件备查。评分中出现无证明资料或专家无法凭所提供资料判断是否得分的情况，一律作不得分处理。</w:t>
            </w:r>
          </w:p>
        </w:tc>
      </w:tr>
      <w:tr w14:paraId="6A667A2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80" w:type="dxa"/>
            <w:vMerge w:val="continue"/>
            <w:tcBorders>
              <w:left w:val="single" w:color="000000" w:sz="8" w:space="0"/>
              <w:right w:val="single" w:color="000000" w:sz="8" w:space="0"/>
            </w:tcBorders>
            <w:vAlign w:val="center"/>
          </w:tcPr>
          <w:p w14:paraId="5EE19E1B">
            <w:pPr>
              <w:keepNext w:val="0"/>
              <w:keepLines w:val="0"/>
              <w:pageBreakBefore w:val="0"/>
              <w:widowControl/>
              <w:kinsoku/>
              <w:overflowPunct/>
              <w:topLinePunct w:val="0"/>
              <w:autoSpaceDE/>
              <w:autoSpaceDN/>
              <w:bidi w:val="0"/>
              <w:adjustRightInd/>
              <w:snapToGrid/>
              <w:spacing w:line="240" w:lineRule="auto"/>
              <w:textAlignment w:val="auto"/>
              <w:rPr>
                <w:rFonts w:hint="eastAsia" w:ascii="宋体" w:hAnsi="宋体" w:eastAsia="宋体" w:cs="宋体"/>
                <w:b/>
                <w:bCs/>
                <w:color w:val="0000FF"/>
                <w:sz w:val="22"/>
                <w:szCs w:val="22"/>
                <w:highlight w:val="none"/>
              </w:rPr>
            </w:pPr>
          </w:p>
        </w:tc>
        <w:tc>
          <w:tcPr>
            <w:tcW w:w="70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8639614">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3</w:t>
            </w:r>
          </w:p>
        </w:tc>
        <w:tc>
          <w:tcPr>
            <w:tcW w:w="231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1DEFEAD">
            <w:pPr>
              <w:jc w:val="cente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供应商自主知识产权产品（创新、设计）情况</w:t>
            </w:r>
          </w:p>
        </w:tc>
        <w:tc>
          <w:tcPr>
            <w:tcW w:w="67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806356B">
            <w:pPr>
              <w:wordWrap w:val="0"/>
              <w:jc w:val="cente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3</w:t>
            </w:r>
          </w:p>
        </w:tc>
        <w:tc>
          <w:tcPr>
            <w:tcW w:w="4599" w:type="dxa"/>
            <w:tcBorders>
              <w:top w:val="single" w:color="000000" w:sz="8" w:space="0"/>
              <w:left w:val="single" w:color="000000" w:sz="8" w:space="0"/>
              <w:bottom w:val="single" w:color="000000" w:sz="8" w:space="0"/>
              <w:right w:val="single" w:color="000000" w:sz="8" w:space="0"/>
            </w:tcBorders>
            <w:shd w:val="clear" w:color="auto" w:fill="auto"/>
            <w:vAlign w:val="top"/>
          </w:tcPr>
          <w:p w14:paraId="74D36A6E">
            <w:pPr>
              <w:rPr>
                <w:rFonts w:hint="eastAsia" w:ascii="宋体" w:hAnsi="宋体" w:eastAsia="宋体" w:cs="宋体"/>
                <w:color w:val="auto"/>
                <w:sz w:val="22"/>
                <w:szCs w:val="22"/>
              </w:rPr>
            </w:pPr>
            <w:r>
              <w:rPr>
                <w:rFonts w:hint="eastAsia" w:ascii="宋体" w:hAnsi="宋体" w:eastAsia="宋体" w:cs="宋体"/>
                <w:color w:val="auto"/>
                <w:sz w:val="22"/>
                <w:szCs w:val="22"/>
              </w:rPr>
              <w:t>（一）评</w:t>
            </w:r>
            <w:r>
              <w:rPr>
                <w:rFonts w:hint="eastAsia" w:ascii="宋体" w:hAnsi="宋体" w:eastAsia="宋体" w:cs="宋体"/>
                <w:color w:val="auto"/>
                <w:sz w:val="22"/>
                <w:szCs w:val="22"/>
                <w:lang w:eastAsia="zh-Hans"/>
              </w:rPr>
              <w:t>审</w:t>
            </w:r>
            <w:r>
              <w:rPr>
                <w:rFonts w:hint="eastAsia" w:ascii="宋体" w:hAnsi="宋体" w:eastAsia="宋体" w:cs="宋体"/>
                <w:color w:val="auto"/>
                <w:sz w:val="22"/>
                <w:szCs w:val="22"/>
              </w:rPr>
              <w:t>内容：</w:t>
            </w:r>
          </w:p>
          <w:p w14:paraId="60E99EB7">
            <w:pPr>
              <w:tabs>
                <w:tab w:val="left" w:pos="0"/>
                <w:tab w:val="left" w:pos="993"/>
                <w:tab w:val="left" w:pos="1134"/>
              </w:tabs>
              <w:rPr>
                <w:rFonts w:hint="eastAsia" w:ascii="宋体" w:hAnsi="宋体" w:eastAsia="宋体" w:cs="宋体"/>
                <w:color w:val="auto"/>
                <w:sz w:val="22"/>
                <w:szCs w:val="22"/>
              </w:rPr>
            </w:pPr>
            <w:r>
              <w:rPr>
                <w:rFonts w:hint="eastAsia" w:ascii="宋体" w:hAnsi="宋体" w:eastAsia="宋体" w:cs="宋体"/>
                <w:color w:val="auto"/>
                <w:sz w:val="22"/>
                <w:szCs w:val="22"/>
              </w:rPr>
              <w:t>1.供应商具有</w:t>
            </w:r>
            <w:r>
              <w:rPr>
                <w:rFonts w:hint="eastAsia" w:ascii="宋体" w:hAnsi="宋体" w:eastAsia="宋体" w:cs="宋体"/>
                <w:color w:val="auto"/>
                <w:sz w:val="22"/>
                <w:szCs w:val="22"/>
                <w:lang w:eastAsia="zh-Hans"/>
              </w:rPr>
              <w:t>药品</w:t>
            </w:r>
            <w:r>
              <w:rPr>
                <w:rFonts w:hint="eastAsia" w:ascii="宋体" w:hAnsi="宋体" w:eastAsia="宋体" w:cs="宋体"/>
                <w:color w:val="auto"/>
                <w:sz w:val="22"/>
                <w:szCs w:val="22"/>
              </w:rPr>
              <w:t>采购平台专利的，每提供1份，得10分</w:t>
            </w:r>
            <w:r>
              <w:rPr>
                <w:rFonts w:hint="eastAsia" w:ascii="宋体" w:hAnsi="宋体" w:eastAsia="宋体" w:cs="宋体"/>
                <w:color w:val="auto"/>
                <w:sz w:val="22"/>
                <w:szCs w:val="22"/>
                <w:lang w:eastAsia="zh-CN"/>
              </w:rPr>
              <w:t>；提供专利授权使用证明并确保在本项目三年采购期内享有使用权的，每提供1份，得5分；</w:t>
            </w:r>
            <w:r>
              <w:rPr>
                <w:rFonts w:hint="eastAsia" w:ascii="宋体" w:hAnsi="宋体" w:eastAsia="宋体" w:cs="宋体"/>
                <w:color w:val="auto"/>
                <w:sz w:val="22"/>
                <w:szCs w:val="22"/>
              </w:rPr>
              <w:t>本小项最高得50分；</w:t>
            </w:r>
          </w:p>
          <w:p w14:paraId="79D31073">
            <w:pPr>
              <w:tabs>
                <w:tab w:val="left" w:pos="0"/>
                <w:tab w:val="left" w:pos="993"/>
                <w:tab w:val="left" w:pos="1134"/>
              </w:tabs>
              <w:rPr>
                <w:rFonts w:hint="eastAsia" w:ascii="宋体" w:hAnsi="宋体" w:eastAsia="宋体" w:cs="宋体"/>
                <w:color w:val="auto"/>
                <w:sz w:val="22"/>
                <w:szCs w:val="22"/>
              </w:rPr>
            </w:pPr>
            <w:r>
              <w:rPr>
                <w:rFonts w:hint="eastAsia" w:ascii="宋体" w:hAnsi="宋体" w:eastAsia="宋体" w:cs="宋体"/>
                <w:color w:val="auto"/>
                <w:sz w:val="22"/>
                <w:szCs w:val="22"/>
              </w:rPr>
              <w:t>2.供应商具有</w:t>
            </w:r>
            <w:r>
              <w:rPr>
                <w:rFonts w:hint="eastAsia" w:ascii="宋体" w:hAnsi="宋体" w:eastAsia="宋体" w:cs="宋体"/>
                <w:color w:val="auto"/>
                <w:sz w:val="22"/>
                <w:szCs w:val="22"/>
                <w:lang w:eastAsia="zh-Hans"/>
              </w:rPr>
              <w:t>药品</w:t>
            </w:r>
            <w:r>
              <w:rPr>
                <w:rFonts w:hint="eastAsia" w:ascii="宋体" w:hAnsi="宋体" w:eastAsia="宋体" w:cs="宋体"/>
                <w:color w:val="auto"/>
                <w:sz w:val="22"/>
                <w:szCs w:val="22"/>
                <w:lang w:val="en-US" w:eastAsia="zh-CN"/>
              </w:rPr>
              <w:t>采购</w:t>
            </w:r>
            <w:r>
              <w:rPr>
                <w:rFonts w:hint="eastAsia" w:ascii="宋体" w:hAnsi="宋体" w:eastAsia="宋体" w:cs="宋体"/>
                <w:color w:val="auto"/>
                <w:sz w:val="22"/>
                <w:szCs w:val="22"/>
              </w:rPr>
              <w:t>平台软件类著作权登记证书的，每提供1份，得10分，本小项最高得50分。</w:t>
            </w:r>
          </w:p>
          <w:p w14:paraId="3DCCA7F3">
            <w:pPr>
              <w:tabs>
                <w:tab w:val="left" w:pos="0"/>
                <w:tab w:val="left" w:pos="993"/>
                <w:tab w:val="left" w:pos="1134"/>
              </w:tabs>
              <w:rPr>
                <w:rFonts w:hint="eastAsia" w:ascii="宋体" w:hAnsi="宋体" w:eastAsia="宋体" w:cs="宋体"/>
                <w:color w:val="auto"/>
                <w:sz w:val="22"/>
                <w:szCs w:val="22"/>
              </w:rPr>
            </w:pPr>
            <w:r>
              <w:rPr>
                <w:rFonts w:hint="eastAsia" w:ascii="宋体" w:hAnsi="宋体" w:eastAsia="宋体" w:cs="宋体"/>
                <w:color w:val="auto"/>
                <w:sz w:val="22"/>
                <w:szCs w:val="22"/>
              </w:rPr>
              <w:t>以上2项累计计分，最高得100分。</w:t>
            </w:r>
          </w:p>
          <w:p w14:paraId="43F5F476">
            <w:pPr>
              <w:rPr>
                <w:rFonts w:hint="eastAsia" w:ascii="宋体" w:hAnsi="宋体" w:eastAsia="宋体" w:cs="宋体"/>
                <w:color w:val="auto"/>
                <w:sz w:val="22"/>
                <w:szCs w:val="22"/>
              </w:rPr>
            </w:pPr>
            <w:r>
              <w:rPr>
                <w:rFonts w:hint="eastAsia" w:ascii="宋体" w:hAnsi="宋体" w:eastAsia="宋体" w:cs="宋体"/>
                <w:color w:val="auto"/>
                <w:sz w:val="22"/>
                <w:szCs w:val="22"/>
              </w:rPr>
              <w:t>（二）评分依据：</w:t>
            </w:r>
          </w:p>
          <w:p w14:paraId="7A706921">
            <w:pP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1.要求提供有效的产权（专利）证书、</w:t>
            </w:r>
            <w:r>
              <w:rPr>
                <w:rFonts w:hint="eastAsia" w:ascii="宋体" w:hAnsi="宋体" w:eastAsia="宋体" w:cs="宋体"/>
                <w:color w:val="auto"/>
                <w:sz w:val="22"/>
                <w:szCs w:val="22"/>
                <w:highlight w:val="none"/>
                <w:lang w:eastAsia="zh-Hans"/>
              </w:rPr>
              <w:t>药品</w:t>
            </w:r>
            <w:r>
              <w:rPr>
                <w:rFonts w:hint="eastAsia" w:ascii="宋体" w:hAnsi="宋体" w:eastAsia="宋体" w:cs="宋体"/>
                <w:color w:val="auto"/>
                <w:sz w:val="22"/>
                <w:szCs w:val="22"/>
                <w:highlight w:val="none"/>
                <w:lang w:val="en-US" w:eastAsia="zh-CN"/>
              </w:rPr>
              <w:t>采购</w:t>
            </w:r>
            <w:r>
              <w:rPr>
                <w:rFonts w:hint="eastAsia" w:ascii="宋体" w:hAnsi="宋体" w:eastAsia="宋体" w:cs="宋体"/>
                <w:color w:val="auto"/>
                <w:sz w:val="22"/>
                <w:szCs w:val="22"/>
                <w:highlight w:val="none"/>
              </w:rPr>
              <w:t>平台软件类著作权登记证书等证明材料作为得分依据。</w:t>
            </w:r>
          </w:p>
          <w:p w14:paraId="07DD16C2">
            <w:pP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2.以上资料均要求提供扫描件（或官方网站截图），原件备查。评分中出现无证明资料或专家无法凭所提供资料判断是否得分的情况，一律作不得分处理。</w:t>
            </w:r>
          </w:p>
        </w:tc>
      </w:tr>
      <w:tr w14:paraId="1679DC9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80" w:type="dxa"/>
          </w:tcPr>
          <w:p w14:paraId="547E2FB6">
            <w:pPr>
              <w:keepNext w:val="0"/>
              <w:keepLines w:val="0"/>
              <w:pageBreakBefore w:val="0"/>
              <w:widowControl/>
              <w:kinsoku/>
              <w:overflowPunct/>
              <w:topLinePunct w:val="0"/>
              <w:autoSpaceDE/>
              <w:autoSpaceDN/>
              <w:bidi w:val="0"/>
              <w:adjustRightInd/>
              <w:snapToGrid/>
              <w:spacing w:line="240" w:lineRule="auto"/>
              <w:textAlignment w:val="auto"/>
              <w:rPr>
                <w:rFonts w:hint="eastAsia" w:ascii="宋体" w:hAnsi="宋体" w:eastAsia="宋体" w:cs="宋体"/>
                <w:b/>
                <w:bCs/>
                <w:color w:val="0000FF"/>
                <w:sz w:val="22"/>
                <w:szCs w:val="22"/>
                <w:highlight w:val="none"/>
              </w:rPr>
            </w:pPr>
          </w:p>
        </w:tc>
        <w:tc>
          <w:tcPr>
            <w:tcW w:w="705" w:type="dxa"/>
            <w:shd w:val="clear" w:color="auto" w:fill="auto"/>
            <w:vAlign w:val="center"/>
          </w:tcPr>
          <w:p w14:paraId="7CA74DCC">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4</w:t>
            </w:r>
          </w:p>
        </w:tc>
        <w:tc>
          <w:tcPr>
            <w:tcW w:w="2311" w:type="dxa"/>
            <w:shd w:val="clear" w:color="auto" w:fill="auto"/>
            <w:vAlign w:val="center"/>
          </w:tcPr>
          <w:p w14:paraId="53540CAA">
            <w:pPr>
              <w:wordWrap w:val="0"/>
              <w:jc w:val="cente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服务网点</w:t>
            </w:r>
          </w:p>
        </w:tc>
        <w:tc>
          <w:tcPr>
            <w:tcW w:w="677" w:type="dxa"/>
            <w:shd w:val="clear" w:color="auto" w:fill="auto"/>
            <w:vAlign w:val="center"/>
          </w:tcPr>
          <w:p w14:paraId="46EDA654">
            <w:pPr>
              <w:wordWrap w:val="0"/>
              <w:jc w:val="center"/>
              <w:rPr>
                <w:rFonts w:hint="eastAsia" w:ascii="宋体" w:hAnsi="宋体" w:eastAsia="宋体" w:cs="宋体"/>
                <w:color w:val="auto"/>
                <w:sz w:val="22"/>
                <w:szCs w:val="22"/>
                <w:lang w:val="en-US" w:eastAsia="zh-CN" w:bidi="ar-SA"/>
              </w:rPr>
            </w:pPr>
            <w:r>
              <w:rPr>
                <w:rFonts w:hint="eastAsia" w:ascii="宋体" w:hAnsi="宋体" w:eastAsia="宋体" w:cs="宋体"/>
                <w:color w:val="auto"/>
                <w:sz w:val="22"/>
                <w:szCs w:val="22"/>
              </w:rPr>
              <w:t>3</w:t>
            </w:r>
          </w:p>
        </w:tc>
        <w:tc>
          <w:tcPr>
            <w:tcW w:w="4599" w:type="dxa"/>
            <w:shd w:val="clear" w:color="auto" w:fill="auto"/>
            <w:vAlign w:val="top"/>
          </w:tcPr>
          <w:p w14:paraId="346536E7">
            <w:pPr>
              <w:rPr>
                <w:rFonts w:hint="eastAsia" w:ascii="宋体" w:hAnsi="宋体" w:eastAsia="宋体" w:cs="宋体"/>
                <w:color w:val="auto"/>
                <w:sz w:val="22"/>
                <w:szCs w:val="22"/>
              </w:rPr>
            </w:pPr>
            <w:r>
              <w:rPr>
                <w:rFonts w:hint="eastAsia" w:ascii="宋体" w:hAnsi="宋体" w:eastAsia="宋体" w:cs="宋体"/>
                <w:color w:val="auto"/>
                <w:sz w:val="22"/>
                <w:szCs w:val="22"/>
              </w:rPr>
              <w:t>供应商承诺中标后提供本地经营（服务）网点得100分。</w:t>
            </w:r>
          </w:p>
          <w:p w14:paraId="0562455A">
            <w:pPr>
              <w:rPr>
                <w:rFonts w:hint="eastAsia" w:ascii="宋体" w:hAnsi="宋体" w:eastAsia="宋体" w:cs="宋体"/>
                <w:color w:val="auto"/>
                <w:sz w:val="22"/>
                <w:szCs w:val="22"/>
              </w:rPr>
            </w:pPr>
            <w:r>
              <w:rPr>
                <w:rFonts w:hint="eastAsia" w:ascii="宋体" w:hAnsi="宋体" w:eastAsia="宋体" w:cs="宋体"/>
                <w:color w:val="auto"/>
                <w:sz w:val="22"/>
                <w:szCs w:val="22"/>
              </w:rPr>
              <w:t>要求提供承诺（格式自定）作为得分依据，未提供承诺或承诺内容不满足要求不得分。</w:t>
            </w:r>
          </w:p>
          <w:p w14:paraId="3C7ABEAC">
            <w:pPr>
              <w:rPr>
                <w:rFonts w:hint="eastAsia" w:ascii="宋体" w:hAnsi="宋体" w:eastAsia="宋体" w:cs="宋体"/>
                <w:color w:val="auto"/>
                <w:sz w:val="22"/>
                <w:szCs w:val="22"/>
                <w:lang w:val="en-US" w:eastAsia="zh-CN" w:bidi="ar-SA"/>
              </w:rPr>
            </w:pPr>
          </w:p>
        </w:tc>
      </w:tr>
      <w:tr w14:paraId="605761E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80" w:type="dxa"/>
            <w:vMerge w:val="restart"/>
            <w:shd w:val="clear" w:color="auto" w:fill="auto"/>
            <w:vAlign w:val="top"/>
          </w:tcPr>
          <w:p w14:paraId="26283702">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color w:val="auto"/>
                <w:sz w:val="22"/>
                <w:szCs w:val="22"/>
                <w:lang w:val="en-US" w:eastAsia="zh-CN" w:bidi="ar-SA"/>
              </w:rPr>
            </w:pPr>
            <w:r>
              <w:rPr>
                <w:rFonts w:hint="eastAsia" w:ascii="宋体" w:hAnsi="宋体" w:eastAsia="宋体" w:cs="宋体"/>
                <w:b/>
                <w:bCs/>
                <w:color w:val="0000FF"/>
                <w:sz w:val="22"/>
                <w:szCs w:val="22"/>
                <w:highlight w:val="none"/>
              </w:rPr>
              <w:t>4</w:t>
            </w:r>
          </w:p>
        </w:tc>
        <w:tc>
          <w:tcPr>
            <w:tcW w:w="3016" w:type="dxa"/>
            <w:gridSpan w:val="2"/>
            <w:shd w:val="clear" w:color="auto" w:fill="auto"/>
            <w:vAlign w:val="top"/>
          </w:tcPr>
          <w:p w14:paraId="682B40A1">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color w:val="0000FF"/>
                <w:sz w:val="22"/>
                <w:szCs w:val="22"/>
                <w:highlight w:val="none"/>
                <w:lang w:val="en-US" w:eastAsia="zh-CN"/>
              </w:rPr>
            </w:pPr>
            <w:r>
              <w:rPr>
                <w:rFonts w:hint="eastAsia" w:ascii="宋体" w:hAnsi="宋体" w:eastAsia="宋体" w:cs="宋体"/>
                <w:b/>
                <w:bCs/>
                <w:color w:val="0000FF"/>
                <w:sz w:val="22"/>
                <w:szCs w:val="22"/>
                <w:highlight w:val="none"/>
                <w:lang w:val="en-US" w:eastAsia="zh-CN"/>
              </w:rPr>
              <w:t>诚信情况</w:t>
            </w:r>
          </w:p>
        </w:tc>
        <w:tc>
          <w:tcPr>
            <w:tcW w:w="5276" w:type="dxa"/>
            <w:gridSpan w:val="2"/>
            <w:shd w:val="clear" w:color="auto" w:fill="auto"/>
            <w:vAlign w:val="center"/>
          </w:tcPr>
          <w:p w14:paraId="0DA11699">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color w:val="0000FF"/>
                <w:sz w:val="22"/>
                <w:szCs w:val="22"/>
                <w:highlight w:val="none"/>
                <w:lang w:val="en-US" w:eastAsia="zh-CN"/>
              </w:rPr>
            </w:pPr>
            <w:r>
              <w:rPr>
                <w:rFonts w:hint="eastAsia" w:ascii="宋体" w:hAnsi="宋体" w:eastAsia="宋体" w:cs="宋体"/>
                <w:b/>
                <w:bCs/>
                <w:color w:val="0000FF"/>
                <w:sz w:val="22"/>
                <w:szCs w:val="22"/>
                <w:highlight w:val="none"/>
                <w:lang w:val="en-US" w:eastAsia="zh-CN"/>
              </w:rPr>
              <w:t>5</w:t>
            </w:r>
          </w:p>
        </w:tc>
      </w:tr>
      <w:tr w14:paraId="08BE9B3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80" w:type="dxa"/>
            <w:vMerge w:val="continue"/>
            <w:shd w:val="clear" w:color="auto" w:fill="auto"/>
            <w:vAlign w:val="top"/>
          </w:tcPr>
          <w:p w14:paraId="199BFC1B">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color w:val="auto"/>
                <w:sz w:val="22"/>
                <w:szCs w:val="22"/>
                <w:lang w:val="en-US" w:eastAsia="zh-CN" w:bidi="ar-SA"/>
              </w:rPr>
            </w:pPr>
          </w:p>
        </w:tc>
        <w:tc>
          <w:tcPr>
            <w:tcW w:w="705" w:type="dxa"/>
            <w:shd w:val="clear" w:color="auto" w:fill="auto"/>
            <w:vAlign w:val="center"/>
          </w:tcPr>
          <w:p w14:paraId="7B58B437">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color w:val="auto"/>
                <w:sz w:val="22"/>
                <w:szCs w:val="22"/>
                <w:lang w:val="en-US" w:eastAsia="zh-CN" w:bidi="ar-SA"/>
              </w:rPr>
            </w:pPr>
            <w:r>
              <w:rPr>
                <w:rFonts w:hint="eastAsia" w:ascii="宋体" w:hAnsi="宋体" w:eastAsia="宋体" w:cs="宋体"/>
                <w:color w:val="auto"/>
                <w:sz w:val="22"/>
                <w:szCs w:val="22"/>
              </w:rPr>
              <w:t>序号</w:t>
            </w:r>
          </w:p>
        </w:tc>
        <w:tc>
          <w:tcPr>
            <w:tcW w:w="2311" w:type="dxa"/>
            <w:shd w:val="clear" w:color="auto" w:fill="auto"/>
            <w:vAlign w:val="center"/>
          </w:tcPr>
          <w:p w14:paraId="66D1B9B7">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color w:val="auto"/>
                <w:sz w:val="22"/>
                <w:szCs w:val="22"/>
                <w:lang w:val="en-US" w:eastAsia="zh-CN" w:bidi="ar-SA"/>
              </w:rPr>
            </w:pPr>
            <w:r>
              <w:rPr>
                <w:rFonts w:hint="eastAsia" w:ascii="宋体" w:hAnsi="宋体" w:eastAsia="宋体" w:cs="宋体"/>
                <w:color w:val="auto"/>
                <w:sz w:val="22"/>
                <w:szCs w:val="22"/>
              </w:rPr>
              <w:t>评分因素</w:t>
            </w:r>
          </w:p>
        </w:tc>
        <w:tc>
          <w:tcPr>
            <w:tcW w:w="677" w:type="dxa"/>
            <w:shd w:val="clear" w:color="auto" w:fill="auto"/>
            <w:vAlign w:val="center"/>
          </w:tcPr>
          <w:p w14:paraId="67A72BE7">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color w:val="auto"/>
                <w:sz w:val="22"/>
                <w:szCs w:val="22"/>
                <w:lang w:val="en-US" w:eastAsia="zh-CN" w:bidi="ar-SA"/>
              </w:rPr>
            </w:pPr>
            <w:r>
              <w:rPr>
                <w:rFonts w:hint="eastAsia" w:ascii="宋体" w:hAnsi="宋体" w:eastAsia="宋体" w:cs="宋体"/>
                <w:color w:val="auto"/>
                <w:sz w:val="22"/>
                <w:szCs w:val="22"/>
              </w:rPr>
              <w:t>权重(%)</w:t>
            </w:r>
          </w:p>
        </w:tc>
        <w:tc>
          <w:tcPr>
            <w:tcW w:w="4599" w:type="dxa"/>
            <w:shd w:val="clear" w:color="auto" w:fill="auto"/>
            <w:vAlign w:val="center"/>
          </w:tcPr>
          <w:p w14:paraId="448613AB">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color w:val="auto"/>
                <w:sz w:val="22"/>
                <w:szCs w:val="22"/>
                <w:lang w:val="en-US" w:eastAsia="zh-CN" w:bidi="ar-SA"/>
              </w:rPr>
            </w:pPr>
            <w:r>
              <w:rPr>
                <w:rFonts w:hint="eastAsia" w:ascii="宋体" w:hAnsi="宋体" w:eastAsia="宋体" w:cs="宋体"/>
                <w:color w:val="auto"/>
                <w:sz w:val="22"/>
                <w:szCs w:val="22"/>
              </w:rPr>
              <w:t>评分准则</w:t>
            </w:r>
          </w:p>
        </w:tc>
      </w:tr>
      <w:tr w14:paraId="6DFC4C4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780" w:type="dxa"/>
            <w:vMerge w:val="continue"/>
          </w:tcPr>
          <w:p w14:paraId="1AC333CC">
            <w:pPr>
              <w:keepNext w:val="0"/>
              <w:keepLines w:val="0"/>
              <w:pageBreakBefore w:val="0"/>
              <w:widowControl/>
              <w:kinsoku/>
              <w:overflowPunct/>
              <w:topLinePunct w:val="0"/>
              <w:autoSpaceDE/>
              <w:autoSpaceDN/>
              <w:bidi w:val="0"/>
              <w:adjustRightInd/>
              <w:snapToGrid/>
              <w:spacing w:line="240" w:lineRule="auto"/>
              <w:textAlignment w:val="auto"/>
              <w:rPr>
                <w:rFonts w:hint="eastAsia" w:ascii="宋体" w:hAnsi="宋体" w:eastAsia="宋体" w:cs="宋体"/>
                <w:b/>
                <w:bCs/>
                <w:color w:val="0000FF"/>
                <w:sz w:val="22"/>
                <w:szCs w:val="22"/>
                <w:highlight w:val="none"/>
              </w:rPr>
            </w:pPr>
          </w:p>
        </w:tc>
        <w:tc>
          <w:tcPr>
            <w:tcW w:w="705" w:type="dxa"/>
            <w:shd w:val="clear" w:color="auto" w:fill="auto"/>
            <w:vAlign w:val="center"/>
          </w:tcPr>
          <w:p w14:paraId="3BBB1558">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color w:val="auto"/>
                <w:sz w:val="22"/>
                <w:szCs w:val="22"/>
                <w:lang w:val="en-US" w:eastAsia="zh-CN" w:bidi="ar-SA"/>
              </w:rPr>
            </w:pPr>
            <w:r>
              <w:rPr>
                <w:rFonts w:hint="eastAsia" w:ascii="宋体" w:hAnsi="宋体" w:eastAsia="宋体" w:cs="宋体"/>
                <w:color w:val="auto"/>
                <w:sz w:val="22"/>
                <w:szCs w:val="22"/>
              </w:rPr>
              <w:t>1</w:t>
            </w:r>
          </w:p>
        </w:tc>
        <w:tc>
          <w:tcPr>
            <w:tcW w:w="2311" w:type="dxa"/>
            <w:shd w:val="clear" w:color="auto" w:fill="auto"/>
            <w:vAlign w:val="center"/>
          </w:tcPr>
          <w:p w14:paraId="4AFB8053">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color w:val="auto"/>
                <w:sz w:val="22"/>
                <w:szCs w:val="22"/>
                <w:lang w:val="en-US" w:eastAsia="zh-CN" w:bidi="ar-SA"/>
              </w:rPr>
            </w:pPr>
            <w:r>
              <w:rPr>
                <w:rFonts w:hint="eastAsia" w:ascii="宋体" w:hAnsi="宋体" w:eastAsia="宋体" w:cs="宋体"/>
                <w:color w:val="auto"/>
                <w:sz w:val="22"/>
                <w:szCs w:val="22"/>
              </w:rPr>
              <w:t>诚信情况</w:t>
            </w:r>
          </w:p>
        </w:tc>
        <w:tc>
          <w:tcPr>
            <w:tcW w:w="677" w:type="dxa"/>
            <w:shd w:val="clear" w:color="auto" w:fill="auto"/>
            <w:vAlign w:val="center"/>
          </w:tcPr>
          <w:p w14:paraId="350EA5D0">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color w:val="auto"/>
                <w:sz w:val="22"/>
                <w:szCs w:val="22"/>
                <w:lang w:val="en-US" w:eastAsia="zh-CN" w:bidi="ar-SA"/>
              </w:rPr>
            </w:pPr>
            <w:r>
              <w:rPr>
                <w:rFonts w:hint="eastAsia" w:ascii="宋体" w:hAnsi="宋体" w:eastAsia="宋体" w:cs="宋体"/>
                <w:color w:val="auto"/>
                <w:sz w:val="22"/>
                <w:szCs w:val="22"/>
              </w:rPr>
              <w:t>5</w:t>
            </w:r>
          </w:p>
        </w:tc>
        <w:tc>
          <w:tcPr>
            <w:tcW w:w="4599" w:type="dxa"/>
            <w:shd w:val="clear" w:color="auto" w:fill="auto"/>
            <w:vAlign w:val="center"/>
          </w:tcPr>
          <w:p w14:paraId="544F4051">
            <w:pPr>
              <w:pStyle w:val="36"/>
              <w:adjustRightInd/>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根据《深圳市财政局关于印发&lt;深圳市财政局政府采购供应商信用信息管理办法&gt;的通知》（深财规〔2023〕3号）相关规定，如供应商在全国范围内存在因政府采购违法、违规行为受到财政部门罚款等一般行政处罚信息，或者存在该办法第十一条所称在本市集中采购活动中的一般违法失信行为记录信息，且在公示期内的，本项不得分，否则得满分。</w:t>
            </w:r>
          </w:p>
          <w:p w14:paraId="46398FA1">
            <w:pPr>
              <w:pStyle w:val="36"/>
              <w:adjustRightInd/>
              <w:rPr>
                <w:rFonts w:hint="eastAsia" w:ascii="宋体" w:hAnsi="宋体" w:eastAsia="宋体" w:cs="宋体"/>
                <w:b/>
                <w:bCs/>
                <w:color w:val="auto"/>
                <w:sz w:val="22"/>
                <w:szCs w:val="22"/>
                <w:lang w:val="en-US" w:eastAsia="zh-CN" w:bidi="ar-SA"/>
              </w:rPr>
            </w:pPr>
            <w:r>
              <w:rPr>
                <w:rFonts w:hint="eastAsia" w:ascii="宋体" w:hAnsi="宋体" w:eastAsia="宋体" w:cs="宋体"/>
                <w:color w:val="auto"/>
                <w:sz w:val="22"/>
                <w:szCs w:val="22"/>
                <w:highlight w:val="none"/>
              </w:rPr>
              <w:t>（采购代理机构通过“信用中国”、“中国政府采购网”、“深圳市政府采购监管网”以及市、区财政部门认定的其他渠道查询供应商信用信息，投标人无需提供证明材料。）</w:t>
            </w:r>
          </w:p>
        </w:tc>
      </w:tr>
    </w:tbl>
    <w:p w14:paraId="0BC148DE"/>
    <w:p w14:paraId="779D8ABB">
      <w:pPr>
        <w:rPr>
          <w:b/>
          <w:bCs/>
          <w:sz w:val="96"/>
          <w:szCs w:val="96"/>
        </w:rPr>
      </w:pPr>
      <w:r>
        <w:rPr>
          <w:rFonts w:hint="eastAsia"/>
          <w:b/>
          <w:bCs/>
          <w:sz w:val="96"/>
          <w:szCs w:val="96"/>
        </w:rPr>
        <w:br w:type="page"/>
      </w:r>
    </w:p>
    <w:p w14:paraId="4B1043E8">
      <w:pPr>
        <w:pStyle w:val="19"/>
        <w:spacing w:after="0" w:line="1300" w:lineRule="exact"/>
        <w:ind w:left="0" w:leftChars="0" w:firstLine="0" w:firstLineChars="0"/>
        <w:jc w:val="center"/>
        <w:rPr>
          <w:rFonts w:ascii="宋体" w:cs="宋体"/>
          <w:b/>
          <w:bCs/>
          <w:sz w:val="96"/>
          <w:szCs w:val="96"/>
        </w:rPr>
      </w:pPr>
      <w:r>
        <w:rPr>
          <w:rFonts w:hint="eastAsia"/>
          <w:b/>
          <w:bCs/>
          <w:sz w:val="96"/>
          <w:szCs w:val="96"/>
        </w:rPr>
        <w:t>政府采购文件</w:t>
      </w:r>
    </w:p>
    <w:p w14:paraId="27B26361">
      <w:pPr>
        <w:rPr>
          <w:rFonts w:ascii="宋体" w:cs="宋体"/>
          <w:sz w:val="44"/>
          <w:szCs w:val="44"/>
        </w:rPr>
      </w:pPr>
    </w:p>
    <w:p w14:paraId="22F0CC40">
      <w:pPr>
        <w:pStyle w:val="19"/>
        <w:ind w:left="0" w:leftChars="0" w:firstLine="0" w:firstLineChars="0"/>
        <w:rPr>
          <w:rFonts w:ascii="宋体" w:cs="宋体"/>
        </w:rPr>
      </w:pPr>
    </w:p>
    <w:p w14:paraId="1135393B">
      <w:pPr>
        <w:pStyle w:val="19"/>
        <w:ind w:left="0" w:leftChars="0" w:firstLine="0" w:firstLineChars="0"/>
        <w:jc w:val="center"/>
        <w:rPr>
          <w:rFonts w:hint="eastAsia" w:ascii="宋体" w:eastAsia="宋体" w:cs="宋体"/>
          <w:lang w:eastAsia="zh-CN"/>
        </w:rPr>
      </w:pPr>
      <w:r>
        <w:rPr>
          <w:rFonts w:hint="eastAsia" w:ascii="宋体" w:hAnsi="宋体" w:cs="宋体"/>
          <w:b/>
          <w:sz w:val="44"/>
          <w:szCs w:val="44"/>
        </w:rPr>
        <w:t>项目编号：</w:t>
      </w:r>
      <w:r>
        <w:rPr>
          <w:rFonts w:hint="eastAsia" w:ascii="宋体" w:hAnsi="宋体" w:eastAsia="宋体" w:cs="宋体"/>
          <w:b/>
          <w:sz w:val="44"/>
          <w:szCs w:val="44"/>
          <w:lang w:eastAsia="zh-CN"/>
        </w:rPr>
        <w:t>3324-DH2531F3111（SZDL2025001135）</w:t>
      </w:r>
    </w:p>
    <w:p w14:paraId="53303903">
      <w:pPr>
        <w:pStyle w:val="19"/>
        <w:ind w:left="0" w:leftChars="0" w:firstLine="0" w:firstLineChars="0"/>
        <w:jc w:val="center"/>
        <w:rPr>
          <w:rFonts w:hint="eastAsia" w:ascii="宋体" w:eastAsia="宋体" w:cs="宋体"/>
          <w:lang w:eastAsia="zh-CN"/>
        </w:rPr>
      </w:pPr>
      <w:r>
        <w:rPr>
          <w:rFonts w:hint="eastAsia" w:ascii="宋体" w:hAnsi="宋体" w:cs="宋体"/>
          <w:b/>
          <w:sz w:val="44"/>
          <w:szCs w:val="44"/>
        </w:rPr>
        <w:t>项目名称：</w:t>
      </w:r>
      <w:r>
        <w:rPr>
          <w:rFonts w:hint="eastAsia" w:ascii="宋体" w:hAnsi="宋体" w:eastAsia="宋体" w:cs="宋体"/>
          <w:b/>
          <w:sz w:val="44"/>
          <w:szCs w:val="44"/>
          <w:lang w:eastAsia="zh-CN"/>
        </w:rPr>
        <w:t>公立医疗机构药品采购服务项目</w:t>
      </w:r>
    </w:p>
    <w:p w14:paraId="054DE4FD">
      <w:pPr>
        <w:jc w:val="center"/>
        <w:rPr>
          <w:rFonts w:ascii="宋体" w:cs="宋体"/>
          <w:b/>
          <w:sz w:val="44"/>
          <w:szCs w:val="44"/>
        </w:rPr>
      </w:pPr>
    </w:p>
    <w:p w14:paraId="0AD79355">
      <w:pPr>
        <w:pStyle w:val="19"/>
        <w:ind w:left="480" w:firstLine="480"/>
        <w:rPr>
          <w:rFonts w:ascii="宋体" w:cs="宋体"/>
        </w:rPr>
      </w:pPr>
      <w:r>
        <w:drawing>
          <wp:anchor distT="0" distB="0" distL="114300" distR="114300" simplePos="0" relativeHeight="251659264" behindDoc="1" locked="0" layoutInCell="1" allowOverlap="1">
            <wp:simplePos x="0" y="0"/>
            <wp:positionH relativeFrom="column">
              <wp:posOffset>1302385</wp:posOffset>
            </wp:positionH>
            <wp:positionV relativeFrom="paragraph">
              <wp:posOffset>268605</wp:posOffset>
            </wp:positionV>
            <wp:extent cx="2633980" cy="2094230"/>
            <wp:effectExtent l="0" t="0" r="13970" b="1270"/>
            <wp:wrapTight wrapText="bothSides">
              <wp:wrapPolygon>
                <wp:start x="0" y="0"/>
                <wp:lineTo x="0" y="21417"/>
                <wp:lineTo x="21402" y="21417"/>
                <wp:lineTo x="21402" y="0"/>
                <wp:lineTo x="0" y="0"/>
              </wp:wrapPolygon>
            </wp:wrapTight>
            <wp:docPr id="1" name="图片 1" descr="公司logo"/>
            <wp:cNvGraphicFramePr/>
            <a:graphic xmlns:a="http://schemas.openxmlformats.org/drawingml/2006/main">
              <a:graphicData uri="http://schemas.openxmlformats.org/drawingml/2006/picture">
                <pic:pic xmlns:pic="http://schemas.openxmlformats.org/drawingml/2006/picture">
                  <pic:nvPicPr>
                    <pic:cNvPr id="1" name="图片 1" descr="公司logo"/>
                    <pic:cNvPicPr/>
                  </pic:nvPicPr>
                  <pic:blipFill>
                    <a:blip r:embed="rId5"/>
                    <a:stretch>
                      <a:fillRect/>
                    </a:stretch>
                  </pic:blipFill>
                  <pic:spPr>
                    <a:xfrm>
                      <a:off x="0" y="0"/>
                      <a:ext cx="2633980" cy="2094230"/>
                    </a:xfrm>
                    <a:prstGeom prst="rect">
                      <a:avLst/>
                    </a:prstGeom>
                    <a:noFill/>
                    <a:ln>
                      <a:noFill/>
                    </a:ln>
                  </pic:spPr>
                </pic:pic>
              </a:graphicData>
            </a:graphic>
          </wp:anchor>
        </w:drawing>
      </w:r>
    </w:p>
    <w:p w14:paraId="139E0047">
      <w:pPr>
        <w:jc w:val="center"/>
        <w:rPr>
          <w:rFonts w:ascii="宋体" w:cs="宋体"/>
          <w:b/>
          <w:sz w:val="52"/>
          <w:szCs w:val="52"/>
        </w:rPr>
      </w:pPr>
    </w:p>
    <w:p w14:paraId="46BD240C">
      <w:pPr>
        <w:rPr>
          <w:rFonts w:ascii="宋体" w:cs="宋体"/>
          <w:b/>
          <w:sz w:val="52"/>
          <w:szCs w:val="52"/>
        </w:rPr>
      </w:pPr>
    </w:p>
    <w:p w14:paraId="6056727C">
      <w:pPr>
        <w:rPr>
          <w:rFonts w:ascii="宋体" w:cs="宋体"/>
          <w:sz w:val="52"/>
          <w:szCs w:val="52"/>
        </w:rPr>
      </w:pPr>
    </w:p>
    <w:p w14:paraId="08B1D584">
      <w:pPr>
        <w:jc w:val="center"/>
        <w:rPr>
          <w:rFonts w:ascii="宋体" w:cs="宋体"/>
          <w:b/>
          <w:sz w:val="44"/>
          <w:szCs w:val="44"/>
        </w:rPr>
      </w:pPr>
    </w:p>
    <w:p w14:paraId="39B1E970">
      <w:pPr>
        <w:jc w:val="center"/>
        <w:rPr>
          <w:rFonts w:ascii="宋体" w:cs="宋体"/>
          <w:b/>
          <w:sz w:val="44"/>
          <w:szCs w:val="44"/>
        </w:rPr>
      </w:pPr>
    </w:p>
    <w:p w14:paraId="0BDD6A25">
      <w:pPr>
        <w:rPr>
          <w:rFonts w:ascii="宋体" w:cs="宋体"/>
          <w:b/>
          <w:sz w:val="44"/>
          <w:szCs w:val="44"/>
        </w:rPr>
      </w:pPr>
    </w:p>
    <w:p w14:paraId="6C189124">
      <w:pPr>
        <w:pStyle w:val="19"/>
        <w:ind w:left="0" w:leftChars="0" w:firstLine="0" w:firstLineChars="0"/>
        <w:rPr>
          <w:rFonts w:ascii="宋体" w:cs="宋体"/>
          <w:b/>
          <w:sz w:val="44"/>
          <w:szCs w:val="44"/>
        </w:rPr>
      </w:pPr>
    </w:p>
    <w:p w14:paraId="1FB85F21">
      <w:pPr>
        <w:jc w:val="center"/>
        <w:rPr>
          <w:rFonts w:ascii="宋体" w:hAnsi="宋体" w:cs="宋体"/>
          <w:b/>
          <w:sz w:val="44"/>
          <w:szCs w:val="44"/>
        </w:rPr>
      </w:pPr>
    </w:p>
    <w:p w14:paraId="78634373">
      <w:pPr>
        <w:jc w:val="center"/>
        <w:rPr>
          <w:rFonts w:ascii="宋体" w:cs="宋体"/>
          <w:b/>
          <w:sz w:val="44"/>
          <w:szCs w:val="44"/>
        </w:rPr>
      </w:pPr>
      <w:r>
        <w:rPr>
          <w:rFonts w:hint="eastAsia" w:ascii="宋体" w:hAnsi="宋体" w:cs="宋体"/>
          <w:b/>
          <w:sz w:val="44"/>
          <w:szCs w:val="44"/>
        </w:rPr>
        <w:t>深圳市东海国际招标有限公司</w:t>
      </w:r>
    </w:p>
    <w:p w14:paraId="35729E1B">
      <w:pPr>
        <w:pStyle w:val="19"/>
        <w:ind w:left="480" w:firstLine="480"/>
        <w:rPr>
          <w:rFonts w:ascii="宋体" w:cs="宋体"/>
        </w:rPr>
      </w:pPr>
    </w:p>
    <w:p w14:paraId="4B36AB6C">
      <w:pPr>
        <w:jc w:val="center"/>
        <w:rPr>
          <w:rFonts w:ascii="宋体" w:cs="宋体"/>
          <w:b/>
          <w:snapToGrid w:val="0"/>
          <w:sz w:val="44"/>
          <w:szCs w:val="44"/>
        </w:rPr>
      </w:pPr>
      <w:r>
        <w:rPr>
          <w:rFonts w:hint="eastAsia" w:ascii="宋体" w:hAnsi="宋体" w:cs="宋体"/>
          <w:b/>
          <w:bCs/>
          <w:sz w:val="44"/>
          <w:szCs w:val="44"/>
        </w:rPr>
        <w:t>二〇二</w:t>
      </w:r>
      <w:r>
        <w:rPr>
          <w:rFonts w:hint="eastAsia" w:ascii="宋体" w:hAnsi="宋体" w:eastAsia="宋体" w:cs="宋体"/>
          <w:b/>
          <w:bCs/>
          <w:sz w:val="44"/>
          <w:szCs w:val="44"/>
          <w:lang w:eastAsia="zh-CN"/>
        </w:rPr>
        <w:t>五</w:t>
      </w:r>
      <w:r>
        <w:rPr>
          <w:rFonts w:hint="eastAsia" w:ascii="宋体" w:hAnsi="宋体" w:cs="宋体"/>
          <w:b/>
          <w:bCs/>
          <w:sz w:val="44"/>
          <w:szCs w:val="44"/>
        </w:rPr>
        <w:t>年</w:t>
      </w:r>
      <w:r>
        <w:rPr>
          <w:rFonts w:hint="eastAsia" w:ascii="宋体" w:hAnsi="宋体" w:cs="宋体"/>
          <w:b/>
          <w:snapToGrid w:val="0"/>
          <w:sz w:val="44"/>
          <w:szCs w:val="44"/>
        </w:rPr>
        <w:t>·中国深圳</w:t>
      </w:r>
    </w:p>
    <w:p w14:paraId="2CF92AC1">
      <w:pPr>
        <w:rPr>
          <w:sz w:val="28"/>
          <w:szCs w:val="28"/>
        </w:rPr>
      </w:pPr>
      <w:r>
        <w:rPr>
          <w:sz w:val="28"/>
          <w:szCs w:val="28"/>
        </w:rPr>
        <w:br w:type="page"/>
      </w:r>
    </w:p>
    <w:p w14:paraId="6E8F076F">
      <w:pPr>
        <w:pStyle w:val="4"/>
        <w:spacing w:before="0" w:after="0" w:line="400" w:lineRule="exact"/>
        <w:rPr>
          <w:szCs w:val="28"/>
        </w:rPr>
      </w:pPr>
      <w:r>
        <w:rPr>
          <w:rFonts w:hint="eastAsia"/>
          <w:szCs w:val="28"/>
        </w:rPr>
        <w:t>警示条款</w:t>
      </w:r>
    </w:p>
    <w:p w14:paraId="507392BA">
      <w:pPr>
        <w:rPr>
          <w:rFonts w:eastAsiaTheme="minorEastAsia"/>
        </w:rPr>
      </w:pPr>
    </w:p>
    <w:p w14:paraId="46202DE0">
      <w:pPr>
        <w:widowControl w:val="0"/>
        <w:spacing w:line="360" w:lineRule="auto"/>
        <w:ind w:firstLine="440" w:firstLineChars="200"/>
        <w:jc w:val="both"/>
        <w:rPr>
          <w:rFonts w:hint="eastAsia" w:ascii="宋体" w:hAnsi="宋体" w:eastAsia="宋体" w:cs="宋体"/>
          <w:color w:val="FF0000"/>
          <w:kern w:val="2"/>
          <w:sz w:val="22"/>
          <w:szCs w:val="22"/>
        </w:rPr>
      </w:pPr>
      <w:r>
        <w:rPr>
          <w:rFonts w:hint="eastAsia" w:ascii="宋体" w:hAnsi="宋体" w:eastAsia="宋体" w:cs="宋体"/>
          <w:color w:val="FF0000"/>
          <w:kern w:val="2"/>
          <w:sz w:val="22"/>
          <w:szCs w:val="22"/>
        </w:rPr>
        <w:t>一、</w:t>
      </w:r>
      <w:r>
        <w:rPr>
          <w:rFonts w:hint="eastAsia" w:ascii="宋体" w:hAnsi="宋体" w:eastAsia="宋体" w:cs="宋体"/>
          <w:b/>
          <w:bCs/>
          <w:color w:val="FF0000"/>
          <w:kern w:val="2"/>
          <w:sz w:val="22"/>
          <w:szCs w:val="22"/>
        </w:rPr>
        <w:t>《深圳经济特区政府采购条例》第五十七条</w:t>
      </w:r>
      <w:r>
        <w:rPr>
          <w:rFonts w:hint="eastAsia" w:ascii="宋体" w:hAnsi="宋体" w:eastAsia="宋体" w:cs="宋体"/>
          <w:color w:val="FF0000"/>
          <w:kern w:val="2"/>
          <w:sz w:val="22"/>
          <w:szCs w:val="22"/>
        </w:rPr>
        <w:t xml:space="preserve"> 供应商在政府采购中，有下列行为之一的，一至三年内禁止其参与本市政府采购，并由主管部门记入供应商诚信档案，处以采购金额千分之十以上千分之二十以下的罚款；情节严重的，取消其参与本市政府采购资格，处以采购金额千分之二十以上千分之三十以下的罚款，并由市场监管部门依法吊销其营业执照；给他人造成损失的，依法承担赔偿责任；构成犯罪的，依法追究刑事责任：</w:t>
      </w:r>
    </w:p>
    <w:p w14:paraId="24242480">
      <w:pPr>
        <w:widowControl w:val="0"/>
        <w:spacing w:line="360" w:lineRule="auto"/>
        <w:ind w:firstLine="440" w:firstLineChars="200"/>
        <w:jc w:val="both"/>
        <w:rPr>
          <w:rFonts w:hint="eastAsia" w:ascii="宋体" w:hAnsi="宋体" w:eastAsia="宋体" w:cs="宋体"/>
          <w:color w:val="FF0000"/>
          <w:kern w:val="2"/>
          <w:sz w:val="22"/>
          <w:szCs w:val="22"/>
        </w:rPr>
      </w:pPr>
      <w:r>
        <w:rPr>
          <w:rFonts w:hint="eastAsia" w:ascii="宋体" w:hAnsi="宋体" w:eastAsia="宋体" w:cs="宋体"/>
          <w:color w:val="FF0000"/>
          <w:kern w:val="2"/>
          <w:sz w:val="22"/>
          <w:szCs w:val="22"/>
        </w:rPr>
        <w:t>（一）在采购活动中应当回避而未回避的；</w:t>
      </w:r>
    </w:p>
    <w:p w14:paraId="2AB92E52">
      <w:pPr>
        <w:widowControl w:val="0"/>
        <w:spacing w:line="360" w:lineRule="auto"/>
        <w:ind w:firstLine="440" w:firstLineChars="200"/>
        <w:jc w:val="both"/>
        <w:rPr>
          <w:rFonts w:hint="eastAsia" w:ascii="宋体" w:hAnsi="宋体" w:eastAsia="宋体" w:cs="宋体"/>
          <w:color w:val="FF0000"/>
          <w:kern w:val="2"/>
          <w:sz w:val="22"/>
          <w:szCs w:val="22"/>
        </w:rPr>
      </w:pPr>
      <w:r>
        <w:rPr>
          <w:rFonts w:hint="eastAsia" w:ascii="宋体" w:hAnsi="宋体" w:eastAsia="宋体" w:cs="宋体"/>
          <w:color w:val="FF0000"/>
          <w:kern w:val="2"/>
          <w:sz w:val="22"/>
          <w:szCs w:val="22"/>
        </w:rPr>
        <w:t>（二）未按本条例规定签订、履行采购合同，造成严重后果的；</w:t>
      </w:r>
    </w:p>
    <w:p w14:paraId="6601117D">
      <w:pPr>
        <w:widowControl w:val="0"/>
        <w:spacing w:line="360" w:lineRule="auto"/>
        <w:ind w:firstLine="440" w:firstLineChars="200"/>
        <w:jc w:val="both"/>
        <w:rPr>
          <w:rFonts w:hint="eastAsia" w:ascii="宋体" w:hAnsi="宋体" w:eastAsia="宋体" w:cs="宋体"/>
          <w:color w:val="FF0000"/>
          <w:kern w:val="2"/>
          <w:sz w:val="22"/>
          <w:szCs w:val="22"/>
        </w:rPr>
      </w:pPr>
      <w:r>
        <w:rPr>
          <w:rFonts w:hint="eastAsia" w:ascii="宋体" w:hAnsi="宋体" w:eastAsia="宋体" w:cs="宋体"/>
          <w:color w:val="FF0000"/>
          <w:kern w:val="2"/>
          <w:sz w:val="22"/>
          <w:szCs w:val="22"/>
        </w:rPr>
        <w:t>（三）隐瞒真实情况，提供虚假资料的；</w:t>
      </w:r>
    </w:p>
    <w:p w14:paraId="40ED612C">
      <w:pPr>
        <w:widowControl w:val="0"/>
        <w:spacing w:line="360" w:lineRule="auto"/>
        <w:ind w:firstLine="440" w:firstLineChars="200"/>
        <w:jc w:val="both"/>
        <w:rPr>
          <w:rFonts w:hint="eastAsia" w:ascii="宋体" w:hAnsi="宋体" w:eastAsia="宋体" w:cs="宋体"/>
          <w:color w:val="FF0000"/>
          <w:kern w:val="2"/>
          <w:sz w:val="22"/>
          <w:szCs w:val="22"/>
        </w:rPr>
      </w:pPr>
      <w:r>
        <w:rPr>
          <w:rFonts w:hint="eastAsia" w:ascii="宋体" w:hAnsi="宋体" w:eastAsia="宋体" w:cs="宋体"/>
          <w:color w:val="FF0000"/>
          <w:kern w:val="2"/>
          <w:sz w:val="22"/>
          <w:szCs w:val="22"/>
        </w:rPr>
        <w:t>（四）以非法手段排斥其他供应商参与竞争的；</w:t>
      </w:r>
    </w:p>
    <w:p w14:paraId="47E880F7">
      <w:pPr>
        <w:widowControl w:val="0"/>
        <w:spacing w:line="360" w:lineRule="auto"/>
        <w:ind w:firstLine="440" w:firstLineChars="200"/>
        <w:jc w:val="both"/>
        <w:rPr>
          <w:rFonts w:hint="eastAsia" w:ascii="宋体" w:hAnsi="宋体" w:eastAsia="宋体" w:cs="宋体"/>
          <w:color w:val="FF0000"/>
          <w:kern w:val="2"/>
          <w:sz w:val="22"/>
          <w:szCs w:val="22"/>
        </w:rPr>
      </w:pPr>
      <w:r>
        <w:rPr>
          <w:rFonts w:hint="eastAsia" w:ascii="宋体" w:hAnsi="宋体" w:eastAsia="宋体" w:cs="宋体"/>
          <w:color w:val="FF0000"/>
          <w:kern w:val="2"/>
          <w:sz w:val="22"/>
          <w:szCs w:val="22"/>
        </w:rPr>
        <w:t>（五）与其他采购参加人串通投标的；</w:t>
      </w:r>
    </w:p>
    <w:p w14:paraId="4B1CD634">
      <w:pPr>
        <w:widowControl w:val="0"/>
        <w:spacing w:line="360" w:lineRule="auto"/>
        <w:ind w:firstLine="440" w:firstLineChars="200"/>
        <w:jc w:val="both"/>
        <w:rPr>
          <w:rFonts w:hint="eastAsia" w:ascii="宋体" w:hAnsi="宋体" w:eastAsia="宋体" w:cs="宋体"/>
          <w:color w:val="FF0000"/>
          <w:kern w:val="2"/>
          <w:sz w:val="22"/>
          <w:szCs w:val="22"/>
        </w:rPr>
      </w:pPr>
      <w:r>
        <w:rPr>
          <w:rFonts w:hint="eastAsia" w:ascii="宋体" w:hAnsi="宋体" w:eastAsia="宋体" w:cs="宋体"/>
          <w:color w:val="FF0000"/>
          <w:kern w:val="2"/>
          <w:sz w:val="22"/>
          <w:szCs w:val="22"/>
        </w:rPr>
        <w:t>（六）恶意投诉的；</w:t>
      </w:r>
    </w:p>
    <w:p w14:paraId="0D07BB0C">
      <w:pPr>
        <w:widowControl w:val="0"/>
        <w:spacing w:line="360" w:lineRule="auto"/>
        <w:ind w:firstLine="440" w:firstLineChars="200"/>
        <w:jc w:val="both"/>
        <w:rPr>
          <w:rFonts w:hint="eastAsia" w:ascii="宋体" w:hAnsi="宋体" w:eastAsia="宋体" w:cs="宋体"/>
          <w:color w:val="FF0000"/>
          <w:kern w:val="2"/>
          <w:sz w:val="22"/>
          <w:szCs w:val="22"/>
        </w:rPr>
      </w:pPr>
      <w:r>
        <w:rPr>
          <w:rFonts w:hint="eastAsia" w:ascii="宋体" w:hAnsi="宋体" w:eastAsia="宋体" w:cs="宋体"/>
          <w:color w:val="FF0000"/>
          <w:kern w:val="2"/>
          <w:sz w:val="22"/>
          <w:szCs w:val="22"/>
        </w:rPr>
        <w:t>（七）向采购项目相关人行贿或者提供其他不当利益的；</w:t>
      </w:r>
    </w:p>
    <w:p w14:paraId="1EDF5FA9">
      <w:pPr>
        <w:widowControl w:val="0"/>
        <w:spacing w:line="360" w:lineRule="auto"/>
        <w:ind w:firstLine="440" w:firstLineChars="200"/>
        <w:jc w:val="both"/>
        <w:rPr>
          <w:rFonts w:hint="eastAsia" w:ascii="宋体" w:hAnsi="宋体" w:eastAsia="宋体" w:cs="宋体"/>
          <w:color w:val="FF0000"/>
          <w:kern w:val="2"/>
          <w:sz w:val="22"/>
          <w:szCs w:val="22"/>
        </w:rPr>
      </w:pPr>
      <w:r>
        <w:rPr>
          <w:rFonts w:hint="eastAsia" w:ascii="宋体" w:hAnsi="宋体" w:eastAsia="宋体" w:cs="宋体"/>
          <w:color w:val="FF0000"/>
          <w:kern w:val="2"/>
          <w:sz w:val="22"/>
          <w:szCs w:val="22"/>
        </w:rPr>
        <w:t>（八）阻碍、抗拒主管部门监督检查的；</w:t>
      </w:r>
    </w:p>
    <w:p w14:paraId="2DC3B091">
      <w:pPr>
        <w:widowControl w:val="0"/>
        <w:spacing w:line="360" w:lineRule="auto"/>
        <w:ind w:firstLine="440" w:firstLineChars="200"/>
        <w:jc w:val="both"/>
        <w:rPr>
          <w:rFonts w:hint="eastAsia" w:ascii="宋体" w:hAnsi="宋体" w:eastAsia="宋体" w:cs="宋体"/>
          <w:color w:val="FF0000"/>
          <w:kern w:val="2"/>
          <w:sz w:val="22"/>
          <w:szCs w:val="22"/>
        </w:rPr>
      </w:pPr>
      <w:r>
        <w:rPr>
          <w:rFonts w:hint="eastAsia" w:ascii="宋体" w:hAnsi="宋体" w:eastAsia="宋体" w:cs="宋体"/>
          <w:color w:val="FF0000"/>
          <w:kern w:val="2"/>
          <w:sz w:val="22"/>
          <w:szCs w:val="22"/>
        </w:rPr>
        <w:t>（九）其他违反本条例规定的行为。</w:t>
      </w:r>
    </w:p>
    <w:p w14:paraId="122A1932">
      <w:pPr>
        <w:widowControl w:val="0"/>
        <w:spacing w:line="360" w:lineRule="auto"/>
        <w:ind w:firstLine="442" w:firstLineChars="200"/>
        <w:jc w:val="both"/>
        <w:rPr>
          <w:rFonts w:hint="eastAsia" w:ascii="宋体" w:hAnsi="宋体" w:eastAsia="宋体" w:cs="宋体"/>
          <w:color w:val="FF0000"/>
          <w:kern w:val="2"/>
          <w:sz w:val="22"/>
          <w:szCs w:val="22"/>
        </w:rPr>
      </w:pPr>
      <w:r>
        <w:rPr>
          <w:rFonts w:hint="eastAsia" w:ascii="宋体" w:hAnsi="宋体" w:eastAsia="宋体" w:cs="宋体"/>
          <w:b/>
          <w:bCs/>
          <w:color w:val="FF0000"/>
          <w:kern w:val="2"/>
          <w:sz w:val="22"/>
          <w:szCs w:val="22"/>
        </w:rPr>
        <w:t>二、《深圳经济特区政府采购条例实施细则》第七十五条 </w:t>
      </w:r>
      <w:r>
        <w:rPr>
          <w:rFonts w:hint="eastAsia" w:ascii="宋体" w:hAnsi="宋体" w:eastAsia="宋体" w:cs="宋体"/>
          <w:color w:val="FF0000"/>
          <w:kern w:val="2"/>
          <w:sz w:val="22"/>
          <w:szCs w:val="22"/>
        </w:rPr>
        <w:t>供应商有下列情形的，属于采购条例所称的串通投标行为，按照采购条例第五十七条有关规定处理：（一）投标供应商之间相互约定给予未中标的供应商利益补偿；（二）不同投标供应商的法定代表人、主要经营负责人、项目投标授权代表人、项目负责人、主要技术人员为同一人、属同一单位或者在同一单位缴纳社会保险；（三）不同投标供应商的投标文件由同一单位或者同一人编制，或者由同一人分阶段参与编制的；（四）不同投标供应商的投标文件或部分投标文件相互混装；（五）不同投标供应商的投标文件内容存在非正常一致；（六）由同一单位工作人员为两家以上（含两家）供应商进行同一项投标活动的；（七）主管部门依照法律、法规认定的其他情形。</w:t>
      </w:r>
    </w:p>
    <w:p w14:paraId="78D8E274">
      <w:pPr>
        <w:widowControl w:val="0"/>
        <w:spacing w:line="360" w:lineRule="auto"/>
        <w:ind w:firstLine="442" w:firstLineChars="200"/>
        <w:jc w:val="both"/>
        <w:rPr>
          <w:rFonts w:hint="eastAsia" w:ascii="宋体" w:hAnsi="宋体" w:eastAsia="宋体" w:cs="宋体"/>
          <w:color w:val="FF0000"/>
          <w:kern w:val="2"/>
          <w:sz w:val="22"/>
          <w:szCs w:val="22"/>
        </w:rPr>
      </w:pPr>
      <w:r>
        <w:rPr>
          <w:rFonts w:hint="eastAsia" w:ascii="宋体" w:hAnsi="宋体" w:eastAsia="宋体" w:cs="宋体"/>
          <w:b/>
          <w:bCs/>
          <w:color w:val="FF0000"/>
          <w:kern w:val="2"/>
          <w:sz w:val="22"/>
          <w:szCs w:val="22"/>
        </w:rPr>
        <w:t>三、《深圳经济特区政府采购条例实施细则》第七十七条 </w:t>
      </w:r>
      <w:r>
        <w:rPr>
          <w:rFonts w:hint="eastAsia" w:ascii="宋体" w:hAnsi="宋体" w:eastAsia="宋体" w:cs="宋体"/>
          <w:color w:val="FF0000"/>
          <w:kern w:val="2"/>
          <w:sz w:val="22"/>
          <w:szCs w:val="22"/>
        </w:rPr>
        <w:t>供应商有下列情形之一的，属于隐瞒真实情况，提供虚假资料，按照采购条例第五十七的有关规定处理：（一）通过转让或者租借等方式从其他单位获取资格或者资质证书投标的；（二）由其他单位或者其他单位负责人在投标供应商编制的投标文件上加盖印章或者签字的；（三）项目负责人或者主要技术人员不是本单位人员的；（四）投标保证金不是从投标供应商基本账户转出的；（五）其他隐瞒真实情况、提供虚假资料的行为。</w:t>
      </w:r>
    </w:p>
    <w:p w14:paraId="52F0C0A0">
      <w:pPr>
        <w:widowControl w:val="0"/>
        <w:spacing w:line="360" w:lineRule="auto"/>
        <w:ind w:firstLine="440" w:firstLineChars="200"/>
        <w:jc w:val="both"/>
        <w:rPr>
          <w:rFonts w:hint="eastAsia" w:ascii="宋体" w:hAnsi="宋体" w:eastAsia="宋体" w:cs="宋体"/>
          <w:color w:val="FF0000"/>
          <w:kern w:val="2"/>
          <w:sz w:val="22"/>
          <w:szCs w:val="22"/>
        </w:rPr>
      </w:pPr>
      <w:r>
        <w:rPr>
          <w:rFonts w:hint="eastAsia" w:ascii="宋体" w:hAnsi="宋体" w:eastAsia="宋体" w:cs="宋体"/>
          <w:color w:val="FF0000"/>
          <w:kern w:val="2"/>
          <w:sz w:val="22"/>
          <w:szCs w:val="22"/>
        </w:rPr>
        <w:t>投标供应商不能提供项目负责人或者主要技术人员的劳动合同、社会保险等劳动关系证明材料的，视为存在前款第（三）项规定的情形。</w:t>
      </w:r>
    </w:p>
    <w:p w14:paraId="28AE7E35">
      <w:pPr>
        <w:widowControl w:val="0"/>
        <w:numPr>
          <w:ilvl w:val="0"/>
          <w:numId w:val="0"/>
        </w:numPr>
        <w:spacing w:line="360" w:lineRule="auto"/>
        <w:ind w:firstLine="442" w:firstLineChars="200"/>
        <w:jc w:val="both"/>
        <w:rPr>
          <w:rFonts w:hint="eastAsia" w:ascii="宋体" w:hAnsi="宋体" w:eastAsia="宋体" w:cs="宋体"/>
          <w:b/>
          <w:color w:val="FF0000"/>
          <w:kern w:val="2"/>
          <w:sz w:val="22"/>
          <w:szCs w:val="22"/>
        </w:rPr>
      </w:pPr>
      <w:r>
        <w:rPr>
          <w:rFonts w:hint="eastAsia" w:ascii="宋体" w:hAnsi="宋体" w:eastAsia="宋体" w:cs="宋体"/>
          <w:b/>
          <w:color w:val="FF0000"/>
          <w:kern w:val="2"/>
          <w:sz w:val="22"/>
          <w:szCs w:val="22"/>
          <w:lang w:val="en-US" w:eastAsia="zh-CN" w:bidi="ar-SA"/>
        </w:rPr>
        <w:t>四、</w:t>
      </w:r>
      <w:r>
        <w:rPr>
          <w:rFonts w:hint="eastAsia" w:ascii="宋体" w:hAnsi="宋体" w:eastAsia="宋体" w:cs="宋体"/>
          <w:b/>
          <w:color w:val="FF0000"/>
          <w:kern w:val="2"/>
          <w:sz w:val="22"/>
          <w:szCs w:val="22"/>
        </w:rPr>
        <w:t>请投标供应商阅读《政府采购违法行为风险知悉确认书》中节点“投标人认为需要加以说明的其他内容（格式自定）”），并经各投标供应商负责人或投标授权代表签字并加盖单位公章后，扫描上传至投标文件一并提交。</w:t>
      </w:r>
    </w:p>
    <w:p w14:paraId="4523FAF3">
      <w:pPr>
        <w:widowControl w:val="0"/>
        <w:numPr>
          <w:ilvl w:val="0"/>
          <w:numId w:val="0"/>
        </w:numPr>
        <w:spacing w:line="360" w:lineRule="auto"/>
        <w:ind w:firstLine="442" w:firstLineChars="200"/>
        <w:jc w:val="both"/>
        <w:rPr>
          <w:rFonts w:hint="eastAsia" w:ascii="宋体" w:hAnsi="宋体" w:eastAsia="宋体" w:cs="宋体"/>
          <w:b/>
          <w:color w:val="FF0000"/>
          <w:kern w:val="2"/>
          <w:sz w:val="22"/>
          <w:szCs w:val="22"/>
        </w:rPr>
      </w:pPr>
      <w:r>
        <w:rPr>
          <w:rFonts w:hint="eastAsia" w:ascii="宋体" w:hAnsi="宋体" w:eastAsia="宋体" w:cs="宋体"/>
          <w:b/>
          <w:color w:val="FF0000"/>
          <w:kern w:val="2"/>
          <w:sz w:val="22"/>
          <w:szCs w:val="22"/>
        </w:rPr>
        <w:t>注：该风险知悉确认书用于对供应商违法行为的警示，不作为供应商资格性审查及符合性审查条件。</w:t>
      </w:r>
    </w:p>
    <w:p w14:paraId="5A8FED43">
      <w:pPr>
        <w:pStyle w:val="8"/>
      </w:pPr>
    </w:p>
    <w:p w14:paraId="271DB9D7">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20" w:firstLineChars="0"/>
        <w:textAlignment w:val="auto"/>
        <w:rPr>
          <w:rFonts w:hint="eastAsia" w:ascii="宋体" w:hAnsi="宋体" w:eastAsia="宋体" w:cs="宋体"/>
          <w:b/>
          <w:bCs/>
          <w:color w:val="FF0000"/>
          <w:sz w:val="22"/>
          <w:szCs w:val="22"/>
        </w:rPr>
      </w:pPr>
      <w:r>
        <w:rPr>
          <w:rFonts w:hint="eastAsia" w:ascii="宋体" w:hAnsi="宋体" w:eastAsia="宋体" w:cs="宋体"/>
          <w:b/>
          <w:color w:val="FF0000"/>
          <w:kern w:val="2"/>
          <w:sz w:val="22"/>
          <w:szCs w:val="22"/>
          <w:lang w:val="en-US" w:eastAsia="zh-CN" w:bidi="ar-SA"/>
        </w:rPr>
        <w:t>五、</w:t>
      </w:r>
      <w:r>
        <w:rPr>
          <w:rFonts w:hint="eastAsia" w:ascii="宋体" w:hAnsi="宋体" w:eastAsia="宋体" w:cs="宋体"/>
          <w:b/>
          <w:bCs/>
          <w:color w:val="FF0000"/>
          <w:sz w:val="22"/>
          <w:szCs w:val="22"/>
        </w:rPr>
        <w:t>供应商在使用深圳政府采购智慧平台的投标文件制作工具创建投标文件时，该工具将自动在投标文件中记录文件创建标识码，同时提取投标文件制作电脑的网卡MAC地址、硬盘序列号、CPU 序列号、主板序列号和工具标识号，经加密生成文件制作机器码并在投标文件中记录。文件制作机器码一致表明不同供应商使用了同一设备编制投标文件，文件创建标识码一致表明不同供应商的投标文件为同一份文件，IP 地址一致表明上传投标文件时使用了相同的网络。</w:t>
      </w:r>
    </w:p>
    <w:p w14:paraId="2AF0CD56">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20" w:firstLineChars="0"/>
        <w:textAlignment w:val="auto"/>
        <w:rPr>
          <w:rFonts w:hint="eastAsia" w:ascii="宋体" w:hAnsi="宋体" w:eastAsia="宋体" w:cs="宋体"/>
          <w:b/>
          <w:bCs/>
          <w:color w:val="FF0000"/>
          <w:sz w:val="22"/>
          <w:szCs w:val="22"/>
        </w:rPr>
      </w:pPr>
      <w:r>
        <w:rPr>
          <w:rFonts w:hint="eastAsia" w:ascii="宋体" w:hAnsi="宋体" w:eastAsia="宋体" w:cs="宋体"/>
          <w:b/>
          <w:color w:val="FF0000"/>
          <w:kern w:val="2"/>
          <w:sz w:val="22"/>
          <w:szCs w:val="22"/>
          <w:lang w:val="en-US" w:eastAsia="zh-CN" w:bidi="ar-SA"/>
        </w:rPr>
        <w:t>六、</w:t>
      </w:r>
      <w:r>
        <w:rPr>
          <w:rFonts w:hint="eastAsia" w:ascii="宋体" w:hAnsi="宋体" w:eastAsia="宋体" w:cs="宋体"/>
          <w:b/>
          <w:bCs/>
          <w:color w:val="FF0000"/>
          <w:sz w:val="22"/>
          <w:szCs w:val="22"/>
        </w:rPr>
        <w:t>为避免出现不同供应商投标文件的文件制作机器码、文件创建标识码、IP 地址一致的异常情况，建议各供应商编制、上传投标文件时不要使用公共电脑设备或公共网络。</w:t>
      </w:r>
    </w:p>
    <w:p w14:paraId="282B5246">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20" w:firstLineChars="0"/>
        <w:textAlignment w:val="auto"/>
        <w:rPr>
          <w:rFonts w:hint="eastAsia" w:ascii="宋体" w:hAnsi="宋体" w:eastAsia="宋体" w:cs="宋体"/>
          <w:b/>
          <w:bCs/>
          <w:color w:val="FF0000"/>
          <w:sz w:val="22"/>
          <w:szCs w:val="22"/>
        </w:rPr>
      </w:pPr>
      <w:r>
        <w:rPr>
          <w:rFonts w:hint="eastAsia" w:ascii="宋体" w:hAnsi="宋体" w:eastAsia="宋体" w:cs="宋体"/>
          <w:b/>
          <w:color w:val="FF0000"/>
          <w:kern w:val="2"/>
          <w:sz w:val="22"/>
          <w:szCs w:val="22"/>
          <w:lang w:val="en-US" w:eastAsia="zh-CN" w:bidi="ar-SA"/>
        </w:rPr>
        <w:t>七、</w:t>
      </w:r>
      <w:r>
        <w:rPr>
          <w:rFonts w:hint="eastAsia" w:ascii="宋体" w:hAnsi="宋体" w:eastAsia="宋体" w:cs="宋体"/>
          <w:b/>
          <w:bCs/>
          <w:color w:val="FF0000"/>
          <w:sz w:val="22"/>
          <w:szCs w:val="22"/>
        </w:rPr>
        <w:t>根据《深圳经济特区政府采购条例实施细则》第七十五条规定，不同投标供应商的投标文件由同一单位或者同一人编制，或者由同一人分阶段参与编制的，或者由同一单位工作人员为两家以上（含两家）供应商进行同一项投标活动的，属于串通投标行为。一经查实，供应商将面临罚款、一定年限内禁止参与政府采购活动的行政处罚，请各供应商独立编制、上传投标文件，妥善保管和使用电子秘钥。</w:t>
      </w:r>
    </w:p>
    <w:p w14:paraId="63DBBEFF">
      <w:pPr>
        <w:keepNext w:val="0"/>
        <w:keepLines w:val="0"/>
        <w:pageBreakBefore w:val="0"/>
        <w:widowControl/>
        <w:kinsoku/>
        <w:wordWrap/>
        <w:overflowPunct/>
        <w:topLinePunct w:val="0"/>
        <w:autoSpaceDE/>
        <w:autoSpaceDN/>
        <w:bidi w:val="0"/>
        <w:adjustRightInd/>
        <w:snapToGrid/>
        <w:spacing w:line="360" w:lineRule="auto"/>
        <w:ind w:firstLine="442" w:firstLineChars="200"/>
        <w:textAlignment w:val="auto"/>
        <w:rPr>
          <w:rFonts w:hint="eastAsia" w:ascii="宋体" w:hAnsi="宋体" w:eastAsia="宋体" w:cs="宋体"/>
          <w:b/>
          <w:bCs w:val="0"/>
          <w:color w:val="FF0000"/>
          <w:kern w:val="2"/>
          <w:sz w:val="22"/>
          <w:szCs w:val="22"/>
          <w:lang w:val="en-US" w:eastAsia="zh-CN"/>
        </w:rPr>
      </w:pPr>
      <w:r>
        <w:rPr>
          <w:rFonts w:hint="eastAsia" w:ascii="宋体" w:hAnsi="宋体" w:eastAsia="宋体" w:cs="宋体"/>
          <w:b/>
          <w:color w:val="FF0000"/>
          <w:kern w:val="2"/>
          <w:sz w:val="22"/>
          <w:szCs w:val="22"/>
          <w:lang w:val="en-US" w:eastAsia="zh-CN" w:bidi="ar-SA"/>
        </w:rPr>
        <w:t>八、</w:t>
      </w:r>
      <w:r>
        <w:rPr>
          <w:rFonts w:hint="eastAsia" w:ascii="宋体" w:hAnsi="宋体" w:eastAsia="宋体" w:cs="宋体"/>
          <w:b/>
          <w:bCs w:val="0"/>
          <w:color w:val="FF0000"/>
          <w:kern w:val="2"/>
          <w:sz w:val="22"/>
          <w:szCs w:val="22"/>
          <w:lang w:val="en-US" w:eastAsia="zh-CN"/>
        </w:rPr>
        <w:t>参与本项目政府采购活动的供应商应认真阅读以下特别警示条款，不得存在以下所列禁止情形，一旦发现，将被处以记入供应商诚信档案、罚款、取消参与政府采购资格、吊销营业执照等处罚；构成犯罪的，依法追究刑事责任</w:t>
      </w:r>
    </w:p>
    <w:tbl>
      <w:tblPr>
        <w:tblStyle w:val="21"/>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7711"/>
      </w:tblGrid>
      <w:tr w14:paraId="7CEC9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809" w:type="dxa"/>
            <w:noWrap w:val="0"/>
            <w:vAlign w:val="center"/>
          </w:tcPr>
          <w:p w14:paraId="3740FD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color w:val="FF0000"/>
                <w:sz w:val="22"/>
                <w:szCs w:val="22"/>
                <w:highlight w:val="none"/>
                <w:lang w:val="en-US" w:eastAsia="zh-CN"/>
              </w:rPr>
            </w:pPr>
            <w:r>
              <w:rPr>
                <w:rFonts w:hint="eastAsia" w:ascii="宋体" w:hAnsi="宋体" w:eastAsia="宋体" w:cs="宋体"/>
                <w:color w:val="FF0000"/>
                <w:sz w:val="22"/>
                <w:szCs w:val="22"/>
                <w:highlight w:val="none"/>
                <w:lang w:val="en-US" w:eastAsia="zh-CN"/>
              </w:rPr>
              <w:t>序号</w:t>
            </w:r>
          </w:p>
        </w:tc>
        <w:tc>
          <w:tcPr>
            <w:tcW w:w="7711" w:type="dxa"/>
            <w:noWrap w:val="0"/>
            <w:vAlign w:val="center"/>
          </w:tcPr>
          <w:p w14:paraId="17A2CC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color w:val="FF0000"/>
                <w:sz w:val="22"/>
                <w:szCs w:val="22"/>
                <w:highlight w:val="none"/>
                <w:lang w:val="en-US" w:eastAsia="zh-CN"/>
              </w:rPr>
            </w:pPr>
            <w:r>
              <w:rPr>
                <w:rFonts w:hint="eastAsia" w:ascii="宋体" w:hAnsi="宋体" w:eastAsia="宋体" w:cs="宋体"/>
                <w:b/>
                <w:bCs/>
                <w:color w:val="FF0000"/>
                <w:sz w:val="22"/>
                <w:szCs w:val="22"/>
                <w:highlight w:val="none"/>
                <w:lang w:val="en-US" w:eastAsia="zh-CN"/>
              </w:rPr>
              <w:t>供应商参与投标禁止情形</w:t>
            </w:r>
          </w:p>
        </w:tc>
      </w:tr>
      <w:tr w14:paraId="24F74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2C336E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color w:val="FF0000"/>
                <w:sz w:val="22"/>
                <w:szCs w:val="22"/>
                <w:highlight w:val="none"/>
                <w:lang w:val="en-US" w:eastAsia="zh-CN"/>
              </w:rPr>
            </w:pPr>
            <w:r>
              <w:rPr>
                <w:rFonts w:hint="eastAsia" w:ascii="宋体" w:hAnsi="宋体" w:eastAsia="宋体" w:cs="宋体"/>
                <w:color w:val="FF0000"/>
                <w:sz w:val="22"/>
                <w:szCs w:val="22"/>
                <w:highlight w:val="none"/>
                <w:lang w:val="en-US" w:eastAsia="zh-CN"/>
              </w:rPr>
              <w:t>1</w:t>
            </w:r>
          </w:p>
        </w:tc>
        <w:tc>
          <w:tcPr>
            <w:tcW w:w="7711" w:type="dxa"/>
            <w:noWrap w:val="0"/>
            <w:vAlign w:val="center"/>
          </w:tcPr>
          <w:p w14:paraId="25274D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color w:val="FF0000"/>
                <w:sz w:val="22"/>
                <w:szCs w:val="22"/>
                <w:highlight w:val="none"/>
                <w:lang w:val="en-US" w:eastAsia="zh-CN"/>
              </w:rPr>
            </w:pPr>
            <w:r>
              <w:rPr>
                <w:rFonts w:hint="eastAsia" w:ascii="宋体" w:hAnsi="宋体" w:eastAsia="宋体" w:cs="宋体"/>
                <w:color w:val="FF0000"/>
                <w:sz w:val="22"/>
                <w:szCs w:val="22"/>
                <w:highlight w:val="none"/>
                <w:lang w:val="en-US" w:eastAsia="zh-CN"/>
              </w:rPr>
              <w:t>与其他投标供应商的法定代表人、主要经营负责人、投标授权代表人、项目负责人、主要技术人员为</w:t>
            </w:r>
            <w:r>
              <w:rPr>
                <w:rFonts w:hint="eastAsia" w:ascii="宋体" w:hAnsi="宋体" w:eastAsia="宋体" w:cs="宋体"/>
                <w:b/>
                <w:bCs/>
                <w:color w:val="FF0000"/>
                <w:sz w:val="22"/>
                <w:szCs w:val="22"/>
                <w:highlight w:val="none"/>
                <w:lang w:val="en-US" w:eastAsia="zh-CN"/>
              </w:rPr>
              <w:t>同一人、属同一单位或者在同一单位缴纳社会保险</w:t>
            </w:r>
            <w:r>
              <w:rPr>
                <w:rFonts w:hint="eastAsia" w:ascii="宋体" w:hAnsi="宋体" w:eastAsia="宋体" w:cs="宋体"/>
                <w:color w:val="FF0000"/>
                <w:sz w:val="22"/>
                <w:szCs w:val="22"/>
                <w:highlight w:val="none"/>
                <w:lang w:val="en-US" w:eastAsia="zh-CN"/>
              </w:rPr>
              <w:t>。</w:t>
            </w:r>
          </w:p>
        </w:tc>
      </w:tr>
      <w:tr w14:paraId="347AF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9" w:type="dxa"/>
            <w:noWrap w:val="0"/>
            <w:vAlign w:val="center"/>
          </w:tcPr>
          <w:p w14:paraId="757D88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color w:val="FF0000"/>
                <w:sz w:val="22"/>
                <w:szCs w:val="22"/>
                <w:highlight w:val="none"/>
                <w:lang w:val="en-US" w:eastAsia="zh-CN"/>
              </w:rPr>
            </w:pPr>
            <w:r>
              <w:rPr>
                <w:rFonts w:hint="eastAsia" w:ascii="宋体" w:hAnsi="宋体" w:eastAsia="宋体" w:cs="宋体"/>
                <w:color w:val="FF0000"/>
                <w:sz w:val="22"/>
                <w:szCs w:val="22"/>
                <w:highlight w:val="none"/>
                <w:lang w:val="en-US" w:eastAsia="zh-CN"/>
              </w:rPr>
              <w:t>2</w:t>
            </w:r>
          </w:p>
        </w:tc>
        <w:tc>
          <w:tcPr>
            <w:tcW w:w="7711" w:type="dxa"/>
            <w:noWrap w:val="0"/>
            <w:vAlign w:val="center"/>
          </w:tcPr>
          <w:p w14:paraId="683FBF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color w:val="FF0000"/>
                <w:sz w:val="22"/>
                <w:szCs w:val="22"/>
                <w:highlight w:val="none"/>
                <w:lang w:val="en-US" w:eastAsia="zh-CN"/>
              </w:rPr>
            </w:pPr>
            <w:r>
              <w:rPr>
                <w:rFonts w:hint="eastAsia" w:ascii="宋体" w:hAnsi="宋体" w:eastAsia="宋体" w:cs="宋体"/>
                <w:color w:val="FF0000"/>
                <w:sz w:val="22"/>
                <w:szCs w:val="22"/>
                <w:highlight w:val="none"/>
                <w:lang w:val="en-US" w:eastAsia="zh-CN"/>
              </w:rPr>
              <w:t>参与本项目政府采购活动时，与其他投标供应商存在单位负责人为</w:t>
            </w:r>
            <w:r>
              <w:rPr>
                <w:rFonts w:hint="eastAsia" w:ascii="宋体" w:hAnsi="宋体" w:eastAsia="宋体" w:cs="宋体"/>
                <w:b/>
                <w:bCs/>
                <w:color w:val="FF0000"/>
                <w:sz w:val="22"/>
                <w:szCs w:val="22"/>
                <w:highlight w:val="none"/>
                <w:lang w:val="en-US" w:eastAsia="zh-CN"/>
              </w:rPr>
              <w:t>同一人或直接控股、管理关系</w:t>
            </w:r>
            <w:r>
              <w:rPr>
                <w:rFonts w:hint="eastAsia" w:ascii="宋体" w:hAnsi="宋体" w:eastAsia="宋体" w:cs="宋体"/>
                <w:color w:val="FF0000"/>
                <w:sz w:val="22"/>
                <w:szCs w:val="22"/>
                <w:highlight w:val="none"/>
                <w:lang w:val="en-US" w:eastAsia="zh-CN"/>
              </w:rPr>
              <w:t>。</w:t>
            </w:r>
          </w:p>
        </w:tc>
      </w:tr>
      <w:tr w14:paraId="0D3EB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0EB8D5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color w:val="FF0000"/>
                <w:sz w:val="22"/>
                <w:szCs w:val="22"/>
                <w:highlight w:val="none"/>
                <w:lang w:val="en-US" w:eastAsia="zh-CN"/>
              </w:rPr>
            </w:pPr>
            <w:r>
              <w:rPr>
                <w:rFonts w:hint="eastAsia" w:ascii="宋体" w:hAnsi="宋体" w:eastAsia="宋体" w:cs="宋体"/>
                <w:color w:val="FF0000"/>
                <w:sz w:val="22"/>
                <w:szCs w:val="22"/>
                <w:highlight w:val="none"/>
                <w:lang w:val="en-US" w:eastAsia="zh-CN"/>
              </w:rPr>
              <w:t>3</w:t>
            </w:r>
          </w:p>
        </w:tc>
        <w:tc>
          <w:tcPr>
            <w:tcW w:w="7711" w:type="dxa"/>
            <w:noWrap w:val="0"/>
            <w:vAlign w:val="center"/>
          </w:tcPr>
          <w:p w14:paraId="62DD7D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color w:val="FF0000"/>
                <w:sz w:val="22"/>
                <w:szCs w:val="22"/>
                <w:highlight w:val="none"/>
                <w:lang w:val="en-US" w:eastAsia="zh-CN"/>
              </w:rPr>
            </w:pPr>
            <w:r>
              <w:rPr>
                <w:rFonts w:hint="eastAsia" w:ascii="宋体" w:hAnsi="宋体" w:eastAsia="宋体" w:cs="宋体"/>
                <w:color w:val="FF0000"/>
                <w:sz w:val="22"/>
                <w:szCs w:val="22"/>
                <w:highlight w:val="none"/>
                <w:lang w:val="en-US" w:eastAsia="zh-CN"/>
              </w:rPr>
              <w:t>与其他投标供应商的投标文件或部分投标文件</w:t>
            </w:r>
            <w:r>
              <w:rPr>
                <w:rFonts w:hint="eastAsia" w:ascii="宋体" w:hAnsi="宋体" w:eastAsia="宋体" w:cs="宋体"/>
                <w:b/>
                <w:bCs/>
                <w:color w:val="FF0000"/>
                <w:sz w:val="22"/>
                <w:szCs w:val="22"/>
                <w:highlight w:val="none"/>
                <w:lang w:val="en-US" w:eastAsia="zh-CN"/>
              </w:rPr>
              <w:t>相互混装或存在非正常一致</w:t>
            </w:r>
            <w:r>
              <w:rPr>
                <w:rFonts w:hint="eastAsia" w:ascii="宋体" w:hAnsi="宋体" w:eastAsia="宋体" w:cs="宋体"/>
                <w:color w:val="FF0000"/>
                <w:sz w:val="22"/>
                <w:szCs w:val="22"/>
                <w:highlight w:val="none"/>
                <w:lang w:val="en-US" w:eastAsia="zh-CN"/>
              </w:rPr>
              <w:t>。</w:t>
            </w:r>
          </w:p>
        </w:tc>
      </w:tr>
      <w:tr w14:paraId="61464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trPr>
        <w:tc>
          <w:tcPr>
            <w:tcW w:w="809" w:type="dxa"/>
            <w:noWrap w:val="0"/>
            <w:vAlign w:val="center"/>
          </w:tcPr>
          <w:p w14:paraId="6DAD9E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color w:val="FF0000"/>
                <w:sz w:val="22"/>
                <w:szCs w:val="22"/>
                <w:highlight w:val="none"/>
                <w:lang w:val="en-US" w:eastAsia="zh-CN"/>
              </w:rPr>
            </w:pPr>
            <w:r>
              <w:rPr>
                <w:rFonts w:hint="eastAsia" w:ascii="宋体" w:hAnsi="宋体" w:eastAsia="宋体" w:cs="宋体"/>
                <w:color w:val="FF0000"/>
                <w:sz w:val="22"/>
                <w:szCs w:val="22"/>
                <w:highlight w:val="none"/>
                <w:lang w:val="en-US" w:eastAsia="zh-CN"/>
              </w:rPr>
              <w:t>4</w:t>
            </w:r>
          </w:p>
        </w:tc>
        <w:tc>
          <w:tcPr>
            <w:tcW w:w="7711" w:type="dxa"/>
            <w:noWrap w:val="0"/>
            <w:vAlign w:val="center"/>
          </w:tcPr>
          <w:p w14:paraId="7BECC9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color w:val="FF0000"/>
                <w:kern w:val="2"/>
                <w:sz w:val="22"/>
                <w:szCs w:val="22"/>
                <w:highlight w:val="none"/>
                <w:lang w:val="en-US" w:eastAsia="zh-CN" w:bidi="ar-SA"/>
              </w:rPr>
            </w:pPr>
            <w:r>
              <w:rPr>
                <w:rFonts w:hint="eastAsia" w:ascii="宋体" w:hAnsi="宋体" w:eastAsia="宋体" w:cs="宋体"/>
                <w:color w:val="FF0000"/>
                <w:sz w:val="22"/>
                <w:szCs w:val="22"/>
                <w:highlight w:val="none"/>
                <w:lang w:val="en-US" w:eastAsia="zh-CN"/>
              </w:rPr>
              <w:t>与其他投标供应商的投标文件由</w:t>
            </w:r>
            <w:r>
              <w:rPr>
                <w:rFonts w:hint="eastAsia" w:ascii="宋体" w:hAnsi="宋体" w:eastAsia="宋体" w:cs="宋体"/>
                <w:b/>
                <w:bCs/>
                <w:color w:val="FF0000"/>
                <w:sz w:val="22"/>
                <w:szCs w:val="22"/>
                <w:highlight w:val="none"/>
                <w:lang w:val="en-US" w:eastAsia="zh-CN"/>
              </w:rPr>
              <w:t>同一单位或者同一人编制</w:t>
            </w:r>
            <w:r>
              <w:rPr>
                <w:rFonts w:hint="eastAsia" w:ascii="宋体" w:hAnsi="宋体" w:eastAsia="宋体" w:cs="宋体"/>
                <w:color w:val="FF0000"/>
                <w:sz w:val="22"/>
                <w:szCs w:val="22"/>
                <w:highlight w:val="none"/>
                <w:lang w:val="en-US" w:eastAsia="zh-CN"/>
              </w:rPr>
              <w:t>，或者使用</w:t>
            </w:r>
            <w:r>
              <w:rPr>
                <w:rFonts w:hint="eastAsia" w:ascii="宋体" w:hAnsi="宋体" w:eastAsia="宋体" w:cs="宋体"/>
                <w:b/>
                <w:bCs/>
                <w:color w:val="FF0000"/>
                <w:sz w:val="22"/>
                <w:szCs w:val="22"/>
                <w:highlight w:val="none"/>
                <w:lang w:val="en-US" w:eastAsia="zh-CN"/>
              </w:rPr>
              <w:t>同一设备编制</w:t>
            </w:r>
            <w:r>
              <w:rPr>
                <w:rFonts w:hint="eastAsia" w:ascii="宋体" w:hAnsi="宋体" w:eastAsia="宋体" w:cs="宋体"/>
                <w:color w:val="FF0000"/>
                <w:sz w:val="22"/>
                <w:szCs w:val="22"/>
                <w:highlight w:val="none"/>
                <w:lang w:val="en-US" w:eastAsia="zh-CN"/>
              </w:rPr>
              <w:t>（“文件制作机器码”“文件创建标识码”一致）。</w:t>
            </w:r>
          </w:p>
        </w:tc>
      </w:tr>
      <w:tr w14:paraId="3C247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trPr>
        <w:tc>
          <w:tcPr>
            <w:tcW w:w="809" w:type="dxa"/>
            <w:noWrap w:val="0"/>
            <w:vAlign w:val="center"/>
          </w:tcPr>
          <w:p w14:paraId="2A64D8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color w:val="FF0000"/>
                <w:sz w:val="22"/>
                <w:szCs w:val="22"/>
                <w:highlight w:val="none"/>
                <w:lang w:val="en-US" w:eastAsia="zh-CN"/>
              </w:rPr>
            </w:pPr>
            <w:r>
              <w:rPr>
                <w:rFonts w:hint="eastAsia" w:ascii="宋体" w:hAnsi="宋体" w:eastAsia="宋体" w:cs="宋体"/>
                <w:color w:val="FF0000"/>
                <w:sz w:val="22"/>
                <w:szCs w:val="22"/>
                <w:highlight w:val="none"/>
                <w:lang w:val="en-US" w:eastAsia="zh-CN"/>
              </w:rPr>
              <w:t>5</w:t>
            </w:r>
          </w:p>
        </w:tc>
        <w:tc>
          <w:tcPr>
            <w:tcW w:w="7711" w:type="dxa"/>
            <w:noWrap w:val="0"/>
            <w:vAlign w:val="center"/>
          </w:tcPr>
          <w:p w14:paraId="4A11EF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color w:val="FF0000"/>
                <w:sz w:val="22"/>
                <w:szCs w:val="22"/>
                <w:highlight w:val="none"/>
                <w:lang w:val="en-US" w:eastAsia="zh-CN"/>
              </w:rPr>
            </w:pPr>
            <w:r>
              <w:rPr>
                <w:rFonts w:hint="eastAsia" w:ascii="宋体" w:hAnsi="宋体" w:eastAsia="宋体" w:cs="宋体"/>
                <w:color w:val="FF0000"/>
                <w:sz w:val="22"/>
                <w:szCs w:val="22"/>
                <w:highlight w:val="none"/>
                <w:lang w:val="en-US" w:eastAsia="zh-CN"/>
              </w:rPr>
              <w:t>提供</w:t>
            </w:r>
            <w:r>
              <w:rPr>
                <w:rFonts w:hint="eastAsia" w:ascii="宋体" w:hAnsi="宋体" w:eastAsia="宋体" w:cs="宋体"/>
                <w:b/>
                <w:bCs/>
                <w:color w:val="FF0000"/>
                <w:sz w:val="22"/>
                <w:szCs w:val="22"/>
                <w:highlight w:val="none"/>
                <w:lang w:val="en-US" w:eastAsia="zh-CN"/>
              </w:rPr>
              <w:t>未经出具机构核实</w:t>
            </w:r>
            <w:r>
              <w:rPr>
                <w:rFonts w:hint="eastAsia" w:ascii="宋体" w:hAnsi="宋体" w:eastAsia="宋体" w:cs="宋体"/>
                <w:color w:val="FF0000"/>
                <w:sz w:val="22"/>
                <w:szCs w:val="22"/>
                <w:highlight w:val="none"/>
                <w:lang w:val="en-US" w:eastAsia="zh-CN"/>
              </w:rPr>
              <w:t>的虚假的检验检测报告、业绩材料、社保缴纳证明、学历学位证书、职称认证证书等材料。</w:t>
            </w:r>
          </w:p>
        </w:tc>
      </w:tr>
      <w:tr w14:paraId="229AA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809" w:type="dxa"/>
            <w:noWrap w:val="0"/>
            <w:vAlign w:val="center"/>
          </w:tcPr>
          <w:p w14:paraId="6BEBAA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color w:val="FF0000"/>
                <w:sz w:val="22"/>
                <w:szCs w:val="22"/>
                <w:highlight w:val="none"/>
                <w:lang w:val="en-US" w:eastAsia="zh-CN"/>
              </w:rPr>
            </w:pPr>
            <w:r>
              <w:rPr>
                <w:rFonts w:hint="eastAsia" w:ascii="宋体" w:hAnsi="宋体" w:eastAsia="宋体" w:cs="宋体"/>
                <w:color w:val="FF0000"/>
                <w:sz w:val="22"/>
                <w:szCs w:val="22"/>
                <w:highlight w:val="none"/>
                <w:lang w:val="en-US" w:eastAsia="zh-CN"/>
              </w:rPr>
              <w:t>6</w:t>
            </w:r>
          </w:p>
        </w:tc>
        <w:tc>
          <w:tcPr>
            <w:tcW w:w="7711" w:type="dxa"/>
            <w:noWrap w:val="0"/>
            <w:vAlign w:val="center"/>
          </w:tcPr>
          <w:p w14:paraId="7CDD19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color w:val="FF0000"/>
                <w:kern w:val="2"/>
                <w:sz w:val="22"/>
                <w:szCs w:val="22"/>
                <w:highlight w:val="none"/>
                <w:lang w:val="en-US" w:eastAsia="zh-CN" w:bidi="ar-SA"/>
              </w:rPr>
            </w:pPr>
            <w:r>
              <w:rPr>
                <w:rFonts w:hint="eastAsia" w:ascii="宋体" w:hAnsi="宋体" w:eastAsia="宋体" w:cs="宋体"/>
                <w:color w:val="FF0000"/>
                <w:sz w:val="22"/>
                <w:szCs w:val="22"/>
                <w:highlight w:val="none"/>
                <w:lang w:val="en-US" w:eastAsia="zh-CN"/>
              </w:rPr>
              <w:t>擅自将投标密钥</w:t>
            </w:r>
            <w:r>
              <w:rPr>
                <w:rFonts w:hint="eastAsia" w:ascii="宋体" w:hAnsi="宋体" w:eastAsia="宋体" w:cs="宋体"/>
                <w:color w:val="FF0000"/>
                <w:sz w:val="22"/>
                <w:szCs w:val="22"/>
                <w:highlight w:val="none"/>
                <w:lang w:eastAsia="zh-CN"/>
              </w:rPr>
              <w:t>或</w:t>
            </w:r>
            <w:r>
              <w:rPr>
                <w:rFonts w:hint="eastAsia" w:ascii="宋体" w:hAnsi="宋体" w:eastAsia="宋体" w:cs="宋体"/>
                <w:color w:val="FF0000"/>
                <w:sz w:val="22"/>
                <w:szCs w:val="22"/>
                <w:highlight w:val="none"/>
                <w:lang w:val="en-US" w:eastAsia="zh-CN"/>
              </w:rPr>
              <w:t>电子营业执照出借他人使用或未妥善保管。</w:t>
            </w:r>
          </w:p>
        </w:tc>
      </w:tr>
    </w:tbl>
    <w:p w14:paraId="2B34EE12">
      <w:pPr>
        <w:pStyle w:val="7"/>
        <w:jc w:val="center"/>
        <w:rPr>
          <w:rFonts w:hint="eastAsia" w:ascii="宋体" w:hAnsi="宋体" w:eastAsia="宋体"/>
          <w:szCs w:val="32"/>
        </w:rPr>
      </w:pPr>
    </w:p>
    <w:p w14:paraId="79620C72">
      <w:pPr>
        <w:rPr>
          <w:rFonts w:hint="eastAsia" w:ascii="宋体" w:hAnsi="宋体" w:cs="宋体"/>
          <w:b/>
          <w:bCs/>
          <w:sz w:val="28"/>
          <w:szCs w:val="28"/>
        </w:rPr>
      </w:pPr>
      <w:r>
        <w:rPr>
          <w:rFonts w:hint="eastAsia" w:ascii="宋体" w:hAnsi="宋体" w:cs="宋体"/>
          <w:b/>
          <w:bCs/>
          <w:sz w:val="28"/>
          <w:szCs w:val="28"/>
        </w:rPr>
        <w:br w:type="page"/>
      </w:r>
    </w:p>
    <w:p w14:paraId="52E70ED8">
      <w:pPr>
        <w:jc w:val="center"/>
        <w:rPr>
          <w:rFonts w:ascii="宋体" w:hAnsi="宋体" w:cs="宋体"/>
        </w:rPr>
      </w:pPr>
      <w:r>
        <w:rPr>
          <w:rFonts w:hint="eastAsia" w:ascii="宋体" w:hAnsi="宋体" w:cs="宋体"/>
          <w:b/>
          <w:bCs/>
          <w:sz w:val="28"/>
          <w:szCs w:val="28"/>
        </w:rPr>
        <w:t>《特别提醒》</w:t>
      </w:r>
    </w:p>
    <w:p w14:paraId="5769FA0E">
      <w:pPr>
        <w:rPr>
          <w:rFonts w:ascii="宋体"/>
          <w:b/>
          <w:bCs/>
          <w:sz w:val="22"/>
          <w:szCs w:val="22"/>
        </w:rPr>
      </w:pPr>
    </w:p>
    <w:p w14:paraId="77EB1A62">
      <w:pPr>
        <w:numPr>
          <w:ilvl w:val="0"/>
          <w:numId w:val="1"/>
        </w:numPr>
        <w:rPr>
          <w:rFonts w:ascii="宋体"/>
          <w:b/>
          <w:bCs/>
          <w:sz w:val="22"/>
          <w:szCs w:val="22"/>
        </w:rPr>
      </w:pPr>
      <w:r>
        <w:rPr>
          <w:rFonts w:hint="eastAsia" w:ascii="宋体"/>
          <w:b/>
          <w:bCs/>
          <w:sz w:val="22"/>
          <w:szCs w:val="22"/>
        </w:rPr>
        <w:t>供应商在使用深圳政府采购智慧平台的投标文件制作工具创建投标文件时，该工具将自动在投标文件中记录文件创建标识码，同时提取投标文件制作电脑的网卡MAC地址、硬盘序列号、CPU 序列号、主板序列号和工具标识号，经加密生成文件制作机器码并在投标文件中记录。文件制作机器码一致表明不同供应商使用了同一设备编制投标文件，文件创建标识码一致表明不同供应商的投标文件为同一份文件，IP 地址一致表明上传投标文件时使用了相同的网络。</w:t>
      </w:r>
    </w:p>
    <w:p w14:paraId="6B164D0D">
      <w:pPr>
        <w:numPr>
          <w:ilvl w:val="0"/>
          <w:numId w:val="1"/>
        </w:numPr>
        <w:rPr>
          <w:rFonts w:ascii="宋体"/>
          <w:b/>
          <w:bCs/>
          <w:sz w:val="22"/>
          <w:szCs w:val="22"/>
        </w:rPr>
      </w:pPr>
      <w:r>
        <w:rPr>
          <w:rFonts w:hint="eastAsia" w:ascii="宋体"/>
          <w:b/>
          <w:bCs/>
          <w:sz w:val="22"/>
          <w:szCs w:val="22"/>
        </w:rPr>
        <w:t>为避免出现不同供应商投标文件的文件制作机器码、文件创建标识码、IP 地址一致的异常情况，建议各供应商编制、上传投标文件时不要使用公共电脑设备或公共网络。</w:t>
      </w:r>
    </w:p>
    <w:p w14:paraId="44130009">
      <w:pPr>
        <w:numPr>
          <w:ilvl w:val="0"/>
          <w:numId w:val="1"/>
        </w:numPr>
        <w:rPr>
          <w:rFonts w:ascii="宋体"/>
          <w:b/>
          <w:bCs/>
          <w:sz w:val="22"/>
          <w:szCs w:val="22"/>
        </w:rPr>
      </w:pPr>
      <w:r>
        <w:rPr>
          <w:rFonts w:hint="eastAsia" w:ascii="宋体"/>
          <w:b/>
          <w:bCs/>
          <w:sz w:val="22"/>
          <w:szCs w:val="22"/>
        </w:rPr>
        <w:t>根据《深圳经济特区政府采购条例实施细则》第七十五条规定，不同投标供应商的投标文件由同一单位或者同一人编制，或者由同一人分阶段参与编制的，或者由同一单位工作人员为两家以上（含两家）供应商进行同一项投标活动的，属于串通投标行为。一经查实，供应商将面临罚款、一定年限内禁止参与政府采购活动的行政处罚，请各供应商独立编制、上传投标文件，妥善保管和使用电子秘钥。</w:t>
      </w:r>
    </w:p>
    <w:p w14:paraId="649CE1C9">
      <w:pPr>
        <w:pStyle w:val="7"/>
        <w:jc w:val="center"/>
        <w:rPr>
          <w:rFonts w:ascii="宋体" w:hAnsi="宋体" w:eastAsia="宋体"/>
          <w:color w:val="auto"/>
          <w:szCs w:val="32"/>
          <w:highlight w:val="none"/>
        </w:rPr>
      </w:pPr>
      <w:r>
        <w:rPr>
          <w:rFonts w:hint="eastAsia" w:ascii="宋体" w:hAnsi="宋体" w:eastAsia="宋体"/>
          <w:szCs w:val="32"/>
        </w:rPr>
        <w:br w:type="page"/>
      </w:r>
      <w:r>
        <w:rPr>
          <w:rFonts w:hint="eastAsia" w:ascii="宋体" w:hAnsi="宋体" w:eastAsia="宋体"/>
          <w:color w:val="auto"/>
          <w:szCs w:val="32"/>
          <w:highlight w:val="none"/>
        </w:rPr>
        <w:t>其它关键信息</w:t>
      </w:r>
    </w:p>
    <w:p w14:paraId="2D026B34">
      <w:pPr>
        <w:jc w:val="center"/>
        <w:rPr>
          <w:b/>
          <w:color w:val="auto"/>
          <w:highlight w:val="none"/>
        </w:rPr>
      </w:pPr>
      <w:r>
        <w:rPr>
          <w:rFonts w:hint="eastAsia"/>
          <w:b/>
          <w:color w:val="auto"/>
          <w:highlight w:val="none"/>
        </w:rPr>
        <w:t>一、评标定标信息</w:t>
      </w:r>
    </w:p>
    <w:p w14:paraId="7D8C193B">
      <w:pPr>
        <w:jc w:val="center"/>
        <w:rPr>
          <w:color w:val="auto"/>
          <w:highlight w:val="none"/>
        </w:rPr>
      </w:pPr>
      <w:r>
        <w:rPr>
          <w:rFonts w:hint="eastAsia"/>
          <w:b/>
          <w:color w:val="auto"/>
          <w:highlight w:val="none"/>
        </w:rPr>
        <w:t>非评定分离项目</w:t>
      </w:r>
    </w:p>
    <w:tbl>
      <w:tblPr>
        <w:tblStyle w:val="20"/>
        <w:tblW w:w="85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59"/>
        <w:gridCol w:w="5570"/>
      </w:tblGrid>
      <w:tr w14:paraId="3D102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2959" w:type="dxa"/>
            <w:vAlign w:val="center"/>
          </w:tcPr>
          <w:p w14:paraId="5C6624B8">
            <w:pPr>
              <w:jc w:val="center"/>
              <w:rPr>
                <w:rFonts w:ascii="宋体" w:hAnsi="宋体" w:eastAsia="宋体" w:cs="宋体"/>
                <w:color w:val="auto"/>
                <w:sz w:val="22"/>
                <w:szCs w:val="22"/>
                <w:highlight w:val="none"/>
              </w:rPr>
            </w:pPr>
            <w:r>
              <w:rPr>
                <w:rFonts w:hint="eastAsia" w:ascii="宋体" w:hAnsi="宋体" w:eastAsia="宋体" w:cs="宋体"/>
                <w:color w:val="auto"/>
                <w:sz w:val="22"/>
                <w:szCs w:val="22"/>
                <w:highlight w:val="none"/>
              </w:rPr>
              <w:t>评标方法</w:t>
            </w:r>
          </w:p>
        </w:tc>
        <w:tc>
          <w:tcPr>
            <w:tcW w:w="5570" w:type="dxa"/>
            <w:vAlign w:val="center"/>
          </w:tcPr>
          <w:p w14:paraId="20352CF8">
            <w:pPr>
              <w:jc w:val="center"/>
              <w:rPr>
                <w:rFonts w:ascii="宋体" w:hAnsi="宋体" w:eastAsia="宋体" w:cs="宋体"/>
                <w:color w:val="auto"/>
                <w:sz w:val="22"/>
                <w:szCs w:val="22"/>
                <w:highlight w:val="none"/>
              </w:rPr>
            </w:pPr>
            <w:r>
              <w:rPr>
                <w:rFonts w:hint="eastAsia" w:ascii="宋体" w:hAnsi="宋体" w:eastAsia="宋体" w:cs="宋体"/>
                <w:color w:val="auto"/>
                <w:sz w:val="22"/>
                <w:szCs w:val="22"/>
                <w:highlight w:val="none"/>
              </w:rPr>
              <w:t>综合评分法</w:t>
            </w:r>
          </w:p>
        </w:tc>
      </w:tr>
      <w:tr w14:paraId="772CD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2959" w:type="dxa"/>
            <w:vAlign w:val="center"/>
          </w:tcPr>
          <w:p w14:paraId="57F84FD7">
            <w:pPr>
              <w:jc w:val="center"/>
              <w:rPr>
                <w:rFonts w:ascii="宋体" w:hAnsi="宋体" w:eastAsia="宋体" w:cs="宋体"/>
                <w:color w:val="auto"/>
                <w:sz w:val="22"/>
                <w:szCs w:val="22"/>
                <w:highlight w:val="none"/>
              </w:rPr>
            </w:pPr>
            <w:r>
              <w:rPr>
                <w:rFonts w:hint="eastAsia" w:ascii="宋体" w:hAnsi="宋体" w:eastAsia="宋体" w:cs="宋体"/>
                <w:color w:val="auto"/>
                <w:sz w:val="22"/>
                <w:szCs w:val="22"/>
                <w:highlight w:val="none"/>
              </w:rPr>
              <w:t>定标方法</w:t>
            </w:r>
          </w:p>
        </w:tc>
        <w:tc>
          <w:tcPr>
            <w:tcW w:w="5570" w:type="dxa"/>
            <w:vAlign w:val="center"/>
          </w:tcPr>
          <w:p w14:paraId="1E2CAF1E">
            <w:pPr>
              <w:jc w:val="center"/>
              <w:rPr>
                <w:rFonts w:ascii="宋体" w:hAnsi="宋体" w:eastAsia="宋体" w:cs="宋体"/>
                <w:color w:val="auto"/>
                <w:sz w:val="22"/>
                <w:szCs w:val="22"/>
                <w:highlight w:val="none"/>
              </w:rPr>
            </w:pPr>
            <w:r>
              <w:rPr>
                <w:rFonts w:hint="eastAsia" w:ascii="宋体" w:hAnsi="宋体" w:eastAsia="宋体" w:cs="宋体"/>
                <w:color w:val="auto"/>
                <w:sz w:val="22"/>
                <w:szCs w:val="22"/>
                <w:highlight w:val="none"/>
              </w:rPr>
              <w:t>采购人确定评审委员会推荐的中标候选人为中标供应商</w:t>
            </w:r>
          </w:p>
        </w:tc>
      </w:tr>
      <w:tr w14:paraId="25476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2959" w:type="dxa"/>
            <w:vAlign w:val="center"/>
          </w:tcPr>
          <w:p w14:paraId="00F5C186">
            <w:pPr>
              <w:jc w:val="center"/>
              <w:rPr>
                <w:rFonts w:ascii="宋体" w:hAnsi="宋体" w:eastAsia="宋体" w:cs="宋体"/>
                <w:color w:val="auto"/>
                <w:sz w:val="22"/>
                <w:szCs w:val="22"/>
                <w:highlight w:val="none"/>
              </w:rPr>
            </w:pPr>
            <w:r>
              <w:rPr>
                <w:rFonts w:hint="eastAsia" w:ascii="宋体" w:hAnsi="宋体" w:eastAsia="宋体" w:cs="宋体"/>
                <w:color w:val="auto"/>
                <w:sz w:val="22"/>
                <w:szCs w:val="22"/>
                <w:highlight w:val="none"/>
              </w:rPr>
              <w:t>候选中标供应商数量</w:t>
            </w:r>
          </w:p>
        </w:tc>
        <w:tc>
          <w:tcPr>
            <w:tcW w:w="5570" w:type="dxa"/>
            <w:vAlign w:val="center"/>
          </w:tcPr>
          <w:p w14:paraId="4C90583D">
            <w:pPr>
              <w:jc w:val="center"/>
              <w:rPr>
                <w:rStyle w:val="50"/>
                <w:rFonts w:hint="default"/>
                <w:color w:val="auto"/>
                <w:highlight w:val="none"/>
              </w:rPr>
            </w:pP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推荐中标候选人时，投标人综合得分相同的，有效投标报价较低者优先推荐，综合得分和有效投标报价均相同的按技术得分较高者优先推荐，综合得分和有效投标报价相同且技术、商务得分均相同的由评审委员会抽签进行优先推荐）</w:t>
            </w:r>
          </w:p>
        </w:tc>
      </w:tr>
      <w:tr w14:paraId="619DA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959" w:type="dxa"/>
            <w:vAlign w:val="center"/>
          </w:tcPr>
          <w:p w14:paraId="60671E78">
            <w:pPr>
              <w:jc w:val="center"/>
              <w:rPr>
                <w:rFonts w:ascii="宋体" w:hAnsi="宋体" w:eastAsia="宋体" w:cs="宋体"/>
                <w:color w:val="auto"/>
                <w:sz w:val="22"/>
                <w:szCs w:val="22"/>
                <w:highlight w:val="none"/>
              </w:rPr>
            </w:pPr>
            <w:r>
              <w:rPr>
                <w:rFonts w:hint="eastAsia" w:ascii="宋体" w:hAnsi="宋体" w:eastAsia="宋体" w:cs="宋体"/>
                <w:color w:val="auto"/>
                <w:sz w:val="22"/>
                <w:szCs w:val="22"/>
                <w:highlight w:val="none"/>
              </w:rPr>
              <w:t>中标供应商家数</w:t>
            </w:r>
          </w:p>
        </w:tc>
        <w:tc>
          <w:tcPr>
            <w:tcW w:w="5570" w:type="dxa"/>
            <w:vAlign w:val="center"/>
          </w:tcPr>
          <w:p w14:paraId="5F4483A0">
            <w:pPr>
              <w:jc w:val="center"/>
              <w:rPr>
                <w:rFonts w:ascii="宋体" w:hAnsi="宋体" w:eastAsia="宋体" w:cs="宋体"/>
                <w:color w:val="auto"/>
                <w:sz w:val="22"/>
                <w:szCs w:val="22"/>
                <w:highlight w:val="none"/>
              </w:rPr>
            </w:pPr>
            <w:r>
              <w:rPr>
                <w:rFonts w:hint="eastAsia" w:ascii="宋体" w:hAnsi="宋体" w:eastAsia="宋体" w:cs="宋体"/>
                <w:color w:val="auto"/>
                <w:sz w:val="22"/>
                <w:szCs w:val="22"/>
                <w:highlight w:val="none"/>
              </w:rPr>
              <w:t>1</w:t>
            </w:r>
          </w:p>
        </w:tc>
      </w:tr>
    </w:tbl>
    <w:p w14:paraId="2BE10941">
      <w:pPr>
        <w:rPr>
          <w:color w:val="auto"/>
          <w:highlight w:val="none"/>
        </w:rPr>
      </w:pPr>
    </w:p>
    <w:p w14:paraId="27D547C5">
      <w:pPr>
        <w:rPr>
          <w:color w:val="auto"/>
          <w:highlight w:val="none"/>
        </w:rPr>
      </w:pPr>
    </w:p>
    <w:p w14:paraId="2475A6CD">
      <w:pPr>
        <w:jc w:val="center"/>
        <w:rPr>
          <w:b/>
          <w:color w:val="auto"/>
          <w:highlight w:val="none"/>
        </w:rPr>
      </w:pPr>
      <w:r>
        <w:rPr>
          <w:rFonts w:hint="eastAsia"/>
          <w:b/>
          <w:color w:val="auto"/>
          <w:highlight w:val="none"/>
        </w:rPr>
        <w:t>二、关于享受优惠政策的主体及价格扣除比例</w:t>
      </w:r>
    </w:p>
    <w:p w14:paraId="60CDE6DC">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（1）投标人提供的服务全部均由优惠主体承接，则对其投标总价给予</w:t>
      </w:r>
      <w:r>
        <w:rPr>
          <w:rFonts w:hint="eastAsia" w:ascii="宋体" w:hAnsi="宋体" w:cs="宋体"/>
          <w:b/>
          <w:bCs/>
          <w:color w:val="auto"/>
          <w:sz w:val="22"/>
          <w:szCs w:val="22"/>
          <w:highlight w:val="none"/>
          <w:u w:val="single"/>
        </w:rPr>
        <w:t xml:space="preserve"> </w:t>
      </w:r>
      <w:r>
        <w:rPr>
          <w:rFonts w:hint="eastAsia" w:ascii="宋体" w:hAnsi="宋体" w:cs="宋体"/>
          <w:b/>
          <w:bCs/>
          <w:color w:val="auto"/>
          <w:sz w:val="22"/>
          <w:szCs w:val="22"/>
          <w:highlight w:val="none"/>
          <w:u w:val="single"/>
          <w:lang w:val="en-US" w:eastAsia="zh-CN"/>
        </w:rPr>
        <w:t xml:space="preserve"> 10% </w:t>
      </w:r>
      <w:r>
        <w:rPr>
          <w:rFonts w:hint="eastAsia" w:ascii="宋体" w:hAnsi="宋体" w:cs="宋体"/>
          <w:b/>
          <w:bCs/>
          <w:color w:val="auto"/>
          <w:sz w:val="22"/>
          <w:szCs w:val="22"/>
          <w:highlight w:val="none"/>
          <w:u w:val="single"/>
        </w:rPr>
        <w:t xml:space="preserve"> </w:t>
      </w:r>
      <w:r>
        <w:rPr>
          <w:rFonts w:hint="eastAsia" w:ascii="宋体" w:hAnsi="宋体" w:cs="宋体"/>
          <w:color w:val="auto"/>
          <w:sz w:val="22"/>
          <w:szCs w:val="22"/>
          <w:highlight w:val="none"/>
        </w:rPr>
        <w:t>的扣除，用扣除后的价格参与评审。满足多项优惠政策的企业，不重复享受多项价格扣除政策。</w:t>
      </w:r>
    </w:p>
    <w:p w14:paraId="7422482D">
      <w:pPr>
        <w:spacing w:line="360" w:lineRule="auto"/>
        <w:ind w:firstLine="440" w:firstLineChars="200"/>
        <w:rPr>
          <w:rFonts w:ascii="宋体" w:hAnsi="宋体" w:cs="宋体"/>
          <w:b/>
          <w:bCs/>
          <w:color w:val="auto"/>
          <w:sz w:val="22"/>
          <w:szCs w:val="22"/>
          <w:highlight w:val="none"/>
        </w:rPr>
      </w:pPr>
      <w:r>
        <w:rPr>
          <w:rFonts w:hint="eastAsia" w:ascii="宋体" w:hAnsi="宋体" w:cs="宋体"/>
          <w:color w:val="auto"/>
          <w:sz w:val="22"/>
          <w:szCs w:val="22"/>
          <w:highlight w:val="none"/>
        </w:rPr>
        <w:t>备注：（a）优惠主体包括小型企业、微型企业、监狱企业、残疾人福利性单位；中小企业是指在中华人民共和国境内依法设立，依据国务院批准的中小企业划分标准确定的中型企业、小型企业、微型企业，但与大企业的负责人为同一人，或者与大企业存在直接控股、管理关系的除外；符合中小企业划分标准的个体工商户，在政府采购活动中视同中小企业；(b)优惠主体承接是指提供服务的人员为中小企业依照《中华人民共和国劳动合同法》订立劳动合同的从业人员。</w:t>
      </w:r>
    </w:p>
    <w:p w14:paraId="6BE92673">
      <w:pPr>
        <w:spacing w:line="360" w:lineRule="auto"/>
        <w:ind w:firstLine="440" w:firstLineChars="200"/>
        <w:rPr>
          <w:rFonts w:ascii="宋体" w:hAnsi="宋体" w:cs="宋体"/>
          <w:b/>
          <w:bCs/>
          <w:color w:val="auto"/>
          <w:sz w:val="22"/>
          <w:szCs w:val="22"/>
          <w:highlight w:val="none"/>
          <w:u w:val="single"/>
        </w:rPr>
      </w:pPr>
      <w:r>
        <w:rPr>
          <w:rFonts w:hint="eastAsia" w:ascii="宋体" w:hAnsi="宋体" w:cs="宋体"/>
          <w:color w:val="auto"/>
          <w:sz w:val="22"/>
          <w:szCs w:val="22"/>
          <w:highlight w:val="none"/>
        </w:rPr>
        <w:t>（2）根据《工业和信息化部、国家统计局、国家发展和改革委员会、财政部关于印发中小企业划型标准规定的通知》（工信部联企业〔2011〕300 号）和《中国人民银行、中国银行业监督管理委员会、中国证券监督管理委员会中国保险监督管理委员会、国家统计局关于印发《金融业企业划型标准规定》的通知》（银发〔2015〕309号），本项目采购标的（服务需求）对应的中小企业划分标准所属行业为</w:t>
      </w:r>
      <w:r>
        <w:rPr>
          <w:rFonts w:hint="eastAsia" w:ascii="宋体" w:hAnsi="宋体" w:eastAsia="Times New Roman" w:cs="宋体"/>
          <w:b/>
          <w:bCs/>
          <w:color w:val="auto"/>
          <w:sz w:val="22"/>
          <w:szCs w:val="22"/>
          <w:highlight w:val="none"/>
          <w:u w:val="single"/>
          <w:lang w:val="en-US" w:eastAsia="zh-CN"/>
        </w:rPr>
        <w:t>其他未列明行业。</w:t>
      </w:r>
    </w:p>
    <w:p w14:paraId="28CE8860">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3）小型企业、微型企业、残疾人福利性单位作为优惠主体的认定资料为《中小企业声明函》、《残疾人福利性单位声明函》；监狱企业作为优惠主体的认定资料为省级以上监狱管理局、戒毒管理局出具的监狱企业证明文件。声明函样式见本招标文件第一册第三章“投标文件格式、附件”中“</w:t>
      </w:r>
      <w:r>
        <w:rPr>
          <w:rFonts w:hint="eastAsia" w:ascii="宋体" w:hAnsi="宋体" w:eastAsia="宋体" w:cs="宋体"/>
          <w:color w:val="auto"/>
          <w:sz w:val="22"/>
          <w:szCs w:val="22"/>
          <w:highlight w:val="none"/>
          <w:lang w:val="en-US" w:eastAsia="zh-CN"/>
        </w:rPr>
        <w:t>五</w:t>
      </w:r>
      <w:r>
        <w:rPr>
          <w:rFonts w:hint="eastAsia" w:ascii="宋体" w:hAnsi="宋体" w:cs="宋体"/>
          <w:color w:val="auto"/>
          <w:sz w:val="22"/>
          <w:szCs w:val="22"/>
          <w:highlight w:val="none"/>
        </w:rPr>
        <w:t>、政府采购优惠政策文件”章节提供的格式）。</w:t>
      </w:r>
      <w:r>
        <w:rPr>
          <w:rFonts w:hint="eastAsia"/>
          <w:color w:val="auto"/>
          <w:sz w:val="22"/>
          <w:szCs w:val="22"/>
          <w:highlight w:val="none"/>
        </w:rPr>
        <w:t>监狱企业或者代理提供监狱企业货物的供应商如须享受优惠政策，除上述资料外，还须提供省级以上监狱管理局、戒毒管理局出具的监狱企业证明文件。</w:t>
      </w:r>
    </w:p>
    <w:p w14:paraId="42453823">
      <w:pPr>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（4）享受价格扣除获得政府采购合同的，小微企业不得将合同分包给大中型企业。</w:t>
      </w:r>
    </w:p>
    <w:p w14:paraId="6B99B857">
      <w:pPr>
        <w:spacing w:line="360" w:lineRule="auto"/>
        <w:ind w:firstLine="440" w:firstLineChars="200"/>
        <w:rPr>
          <w:color w:val="auto"/>
          <w:sz w:val="22"/>
          <w:szCs w:val="22"/>
          <w:highlight w:val="none"/>
        </w:rPr>
      </w:pPr>
      <w:r>
        <w:rPr>
          <w:rFonts w:hint="eastAsia"/>
          <w:color w:val="auto"/>
          <w:sz w:val="22"/>
          <w:szCs w:val="22"/>
          <w:highlight w:val="none"/>
          <w:lang w:eastAsia="zh-CN"/>
        </w:rPr>
        <w:t>（</w:t>
      </w:r>
      <w:r>
        <w:rPr>
          <w:rFonts w:hint="eastAsia"/>
          <w:color w:val="auto"/>
          <w:sz w:val="22"/>
          <w:szCs w:val="22"/>
          <w:highlight w:val="none"/>
          <w:lang w:val="en-US" w:eastAsia="zh-CN"/>
        </w:rPr>
        <w:t>5</w:t>
      </w:r>
      <w:r>
        <w:rPr>
          <w:rFonts w:hint="eastAsia"/>
          <w:color w:val="auto"/>
          <w:sz w:val="22"/>
          <w:szCs w:val="22"/>
          <w:highlight w:val="none"/>
          <w:lang w:eastAsia="zh-CN"/>
        </w:rPr>
        <w:t>）</w:t>
      </w:r>
      <w:r>
        <w:rPr>
          <w:rFonts w:hint="eastAsia"/>
          <w:color w:val="auto"/>
          <w:sz w:val="22"/>
          <w:szCs w:val="22"/>
          <w:highlight w:val="none"/>
        </w:rPr>
        <w:t>事业单位、社会组织等非企业主体不享受中小企业扶持政策，但事业单位、社会组织等非企业主体提供全部由中小企业制造的货物参加货物采购项目的除外。</w:t>
      </w:r>
    </w:p>
    <w:p w14:paraId="2E5FD5AD">
      <w:pPr>
        <w:ind w:firstLine="480" w:firstLineChars="200"/>
        <w:jc w:val="center"/>
        <w:rPr>
          <w:b/>
          <w:color w:val="auto"/>
          <w:highlight w:val="none"/>
        </w:rPr>
      </w:pPr>
    </w:p>
    <w:p w14:paraId="644CA4DD">
      <w:pPr>
        <w:ind w:firstLine="480" w:firstLineChars="200"/>
        <w:jc w:val="center"/>
        <w:rPr>
          <w:b/>
          <w:color w:val="auto"/>
          <w:highlight w:val="none"/>
        </w:rPr>
      </w:pPr>
    </w:p>
    <w:p w14:paraId="3BCB313F">
      <w:pPr>
        <w:jc w:val="center"/>
        <w:rPr>
          <w:b/>
          <w:color w:val="auto"/>
          <w:highlight w:val="none"/>
        </w:rPr>
      </w:pPr>
      <w:r>
        <w:rPr>
          <w:rFonts w:hint="eastAsia"/>
          <w:b/>
          <w:color w:val="auto"/>
          <w:highlight w:val="none"/>
        </w:rPr>
        <w:t>三、其他说明</w:t>
      </w:r>
    </w:p>
    <w:p w14:paraId="6E733070">
      <w:pPr>
        <w:spacing w:line="360" w:lineRule="auto"/>
        <w:ind w:firstLine="440" w:firstLineChars="200"/>
        <w:rPr>
          <w:rFonts w:hint="eastAsia" w:ascii="Times New Roman" w:hAnsi="Times New Roman" w:eastAsia="Times New Roman" w:cs="Times New Roman"/>
          <w:color w:val="auto"/>
          <w:sz w:val="22"/>
          <w:szCs w:val="22"/>
          <w:highlight w:val="none"/>
        </w:rPr>
      </w:pPr>
      <w:r>
        <w:rPr>
          <w:rFonts w:hint="eastAsia" w:ascii="Times New Roman" w:hAnsi="Times New Roman" w:eastAsia="Times New Roman" w:cs="Times New Roman"/>
          <w:color w:val="auto"/>
          <w:sz w:val="22"/>
          <w:szCs w:val="22"/>
          <w:highlight w:val="none"/>
        </w:rPr>
        <w:t>（1）根据《财政部 发展改革委 生态环境部 市场监管总局关于调整优化节能产品、环境标志产品政府采购执行机制的通知》（财库〔2019〕9号）的规定，采购人拟采购的产品属于品目清单范围的，采购人及其委托的采购代理机构应当依据国家确定的认证机构出具的、处于有效期之内的节能产品、环境标志产品认证证书，对获得证书的产品实施政府优先采购或强制采购。对于已列入品目清单的产品类别，采购人可在采购需求中提出更高的节约资源和保护环境要求，对符合条件的获证产品给予优先待遇。对于未列入品目清单的产品类别，鼓励采购人综合考虑节能、节水、环保、循环、低碳、再生、有机等因素，参考相关国家标准、行业标准或团体标准，在采购需求中提出相关绿色采购要求，促进绿色产品推广应用。</w:t>
      </w:r>
    </w:p>
    <w:p w14:paraId="62833E67">
      <w:pPr>
        <w:spacing w:line="360" w:lineRule="auto"/>
        <w:ind w:firstLine="440" w:firstLineChars="200"/>
        <w:rPr>
          <w:rFonts w:hint="eastAsia" w:ascii="Times New Roman" w:hAnsi="Times New Roman" w:eastAsia="Times New Roman" w:cs="Times New Roman"/>
          <w:color w:val="auto"/>
          <w:sz w:val="22"/>
          <w:szCs w:val="22"/>
          <w:highlight w:val="none"/>
        </w:rPr>
      </w:pPr>
      <w:r>
        <w:rPr>
          <w:rFonts w:hint="eastAsia" w:ascii="Times New Roman" w:hAnsi="Times New Roman" w:eastAsia="Times New Roman" w:cs="Times New Roman"/>
          <w:color w:val="auto"/>
          <w:sz w:val="22"/>
          <w:szCs w:val="22"/>
          <w:highlight w:val="none"/>
        </w:rPr>
        <w:t>（2）根据《财政部国务院扶贫办关于运用政府采购政策支持脱贫攻坚的通知》（财库〔2019〕27号）的规定，一是鼓励采用优先采购、预留采购份额方式采购贫困地区农副产品：（1）各级预算单位采购农副产品的，同等条件下应优先采购贫困地区农副产品；（2）购买贫困地区农副产品时要遵循就近、经济的原则；（3）贫困地区农副产品是指832个国家级贫困县域内注册的企业、农民专业合作社、家庭农场等出产的农副产品。二是鼓励优先采购聘用建档立卡贫困人员物业公司提供的物业服务，对注册地在832个国家级贫困县域内，且聘用建档立卡贫困人员达到公司员工（含服务外包用工）30%以上的物业公司，各级预算单位可根据符合条件的物业公司数量等具体情况，按规定履行有关变更采购方式报批程序后，采用竞争性谈判、竞争性磋商、单一来源等非公开招标采购方式，采购有关物业公司提供的物业服务。</w:t>
      </w:r>
    </w:p>
    <w:p w14:paraId="2A79A9A7">
      <w:pPr>
        <w:spacing w:line="360" w:lineRule="auto"/>
        <w:ind w:firstLine="440" w:firstLineChars="200"/>
        <w:rPr>
          <w:rFonts w:hint="eastAsia"/>
          <w:color w:val="auto"/>
          <w:sz w:val="22"/>
          <w:szCs w:val="22"/>
          <w:highlight w:val="none"/>
        </w:rPr>
      </w:pPr>
      <w:r>
        <w:rPr>
          <w:rFonts w:hint="eastAsia" w:ascii="Times New Roman" w:hAnsi="Times New Roman" w:eastAsia="Times New Roman" w:cs="Times New Roman"/>
          <w:color w:val="auto"/>
          <w:sz w:val="22"/>
          <w:szCs w:val="22"/>
          <w:highlight w:val="none"/>
        </w:rPr>
        <w:t>（3）关于政府采购订单融资政策：为深入贯彻落实国家深化政府采购制度改革精神，充分发挥政府采购扶持中小企业发展的政策功能，缓解中小微企业融资难、融资贵的问题，根据《深圳市财政局关于加大力度运用政府采购订单融资政策支持企业发展的通知》要求，参与深圳市政府采购活动供应商可凭借所获取的深圳市政府采购中标通知书与采购合同，向参与订单融资业务的金融机构提出融资申请，金融机构以各自信贷政策为基础，为中标（成交）供应商提供融资授信，订单融资具体流程可登录深圳要素交易金融服务平台（https://finance.szexgrp.com/gtm/web/guarantee/#/），相关政策法规参阅深圳市政府采购监管网（http://zfcg.sz.gov.cn/）信息公开栏目。</w:t>
      </w:r>
      <w:r>
        <w:rPr>
          <w:rFonts w:hint="eastAsia"/>
          <w:color w:val="auto"/>
          <w:sz w:val="22"/>
          <w:szCs w:val="22"/>
          <w:highlight w:val="none"/>
        </w:rPr>
        <w:br w:type="page"/>
      </w:r>
    </w:p>
    <w:p w14:paraId="4162B783">
      <w:pPr>
        <w:pStyle w:val="4"/>
        <w:rPr>
          <w:color w:val="auto"/>
          <w:highlight w:val="none"/>
        </w:rPr>
      </w:pPr>
      <w:r>
        <w:rPr>
          <w:rFonts w:hint="eastAsia"/>
          <w:color w:val="auto"/>
          <w:highlight w:val="none"/>
        </w:rPr>
        <w:t>目录</w:t>
      </w:r>
    </w:p>
    <w:p w14:paraId="2B05EA1F">
      <w:pPr>
        <w:rPr>
          <w:b/>
          <w:color w:val="auto"/>
          <w:highlight w:val="none"/>
        </w:rPr>
      </w:pPr>
      <w:r>
        <w:rPr>
          <w:rFonts w:hint="eastAsia"/>
          <w:b/>
          <w:color w:val="auto"/>
          <w:highlight w:val="none"/>
        </w:rPr>
        <w:t>第一册</w:t>
      </w:r>
      <w:r>
        <w:rPr>
          <w:rFonts w:hint="eastAsia" w:eastAsia="宋体"/>
          <w:b/>
          <w:color w:val="auto"/>
          <w:highlight w:val="none"/>
        </w:rPr>
        <w:t xml:space="preserve"> </w:t>
      </w:r>
      <w:r>
        <w:rPr>
          <w:rFonts w:hint="eastAsia"/>
          <w:b/>
          <w:color w:val="auto"/>
          <w:highlight w:val="none"/>
        </w:rPr>
        <w:t>专用条款</w:t>
      </w:r>
    </w:p>
    <w:p w14:paraId="76129B55">
      <w:pPr>
        <w:rPr>
          <w:rFonts w:hint="eastAsia"/>
          <w:color w:val="auto"/>
          <w:highlight w:val="none"/>
        </w:rPr>
      </w:pPr>
    </w:p>
    <w:p w14:paraId="68A229CC">
      <w:pPr>
        <w:rPr>
          <w:color w:val="auto"/>
          <w:highlight w:val="none"/>
        </w:rPr>
      </w:pPr>
      <w:r>
        <w:rPr>
          <w:rFonts w:hint="eastAsia"/>
          <w:color w:val="auto"/>
          <w:highlight w:val="none"/>
        </w:rPr>
        <w:t>关键信息</w:t>
      </w:r>
    </w:p>
    <w:p w14:paraId="19540C81">
      <w:pPr>
        <w:ind w:left="720" w:leftChars="300" w:firstLine="720" w:firstLineChars="300"/>
        <w:rPr>
          <w:rFonts w:ascii="宋体"/>
          <w:color w:val="auto"/>
          <w:szCs w:val="21"/>
          <w:highlight w:val="none"/>
        </w:rPr>
      </w:pPr>
      <w:r>
        <w:rPr>
          <w:rFonts w:hint="eastAsia" w:ascii="宋体" w:hAnsi="宋体"/>
          <w:color w:val="auto"/>
          <w:szCs w:val="21"/>
          <w:highlight w:val="none"/>
        </w:rPr>
        <w:t>第一章招标公告</w:t>
      </w:r>
    </w:p>
    <w:p w14:paraId="07260317">
      <w:pPr>
        <w:ind w:left="720" w:leftChars="300" w:firstLine="720" w:firstLineChars="300"/>
        <w:rPr>
          <w:rFonts w:ascii="宋体"/>
          <w:color w:val="auto"/>
          <w:szCs w:val="21"/>
          <w:highlight w:val="none"/>
        </w:rPr>
      </w:pPr>
      <w:r>
        <w:rPr>
          <w:rFonts w:hint="eastAsia" w:ascii="宋体" w:hAnsi="宋体"/>
          <w:color w:val="auto"/>
          <w:szCs w:val="21"/>
          <w:highlight w:val="none"/>
        </w:rPr>
        <w:t>第二章招标项目需求</w:t>
      </w:r>
    </w:p>
    <w:p w14:paraId="3CE568D9">
      <w:pPr>
        <w:ind w:left="720" w:leftChars="300" w:firstLine="720" w:firstLineChars="300"/>
        <w:rPr>
          <w:rFonts w:ascii="宋体"/>
          <w:color w:val="auto"/>
          <w:szCs w:val="21"/>
          <w:highlight w:val="none"/>
        </w:rPr>
      </w:pPr>
      <w:r>
        <w:rPr>
          <w:rFonts w:hint="eastAsia" w:ascii="宋体" w:hAnsi="宋体"/>
          <w:color w:val="auto"/>
          <w:szCs w:val="21"/>
          <w:highlight w:val="none"/>
        </w:rPr>
        <w:t>第三章投标文件格式、附件</w:t>
      </w:r>
    </w:p>
    <w:p w14:paraId="406099DE">
      <w:pPr>
        <w:ind w:left="720" w:leftChars="300" w:firstLine="720" w:firstLineChars="300"/>
        <w:rPr>
          <w:rFonts w:ascii="宋体"/>
          <w:color w:val="auto"/>
          <w:szCs w:val="21"/>
          <w:highlight w:val="none"/>
        </w:rPr>
      </w:pPr>
      <w:r>
        <w:rPr>
          <w:rFonts w:hint="eastAsia" w:ascii="宋体" w:hAnsi="宋体"/>
          <w:color w:val="auto"/>
          <w:szCs w:val="21"/>
          <w:highlight w:val="none"/>
        </w:rPr>
        <w:t>第四章政府采购合同的签订、履行及验收</w:t>
      </w:r>
    </w:p>
    <w:p w14:paraId="4F8F0036">
      <w:pPr>
        <w:rPr>
          <w:b/>
          <w:color w:val="auto"/>
          <w:highlight w:val="none"/>
        </w:rPr>
      </w:pPr>
    </w:p>
    <w:p w14:paraId="066328B8">
      <w:pPr>
        <w:rPr>
          <w:rFonts w:hint="eastAsia"/>
          <w:b/>
          <w:color w:val="auto"/>
          <w:highlight w:val="none"/>
        </w:rPr>
      </w:pPr>
    </w:p>
    <w:p w14:paraId="7A186369">
      <w:pPr>
        <w:rPr>
          <w:b/>
          <w:color w:val="auto"/>
          <w:highlight w:val="none"/>
        </w:rPr>
      </w:pPr>
      <w:r>
        <w:rPr>
          <w:rFonts w:hint="eastAsia"/>
          <w:b/>
          <w:color w:val="auto"/>
          <w:highlight w:val="none"/>
        </w:rPr>
        <w:t>第二册</w:t>
      </w:r>
      <w:r>
        <w:rPr>
          <w:rFonts w:hint="eastAsia" w:eastAsia="宋体"/>
          <w:b/>
          <w:color w:val="auto"/>
          <w:highlight w:val="none"/>
        </w:rPr>
        <w:t xml:space="preserve"> </w:t>
      </w:r>
      <w:r>
        <w:rPr>
          <w:rFonts w:hint="eastAsia"/>
          <w:b/>
          <w:color w:val="auto"/>
          <w:highlight w:val="none"/>
        </w:rPr>
        <w:t>通用条款</w:t>
      </w:r>
    </w:p>
    <w:p w14:paraId="0BB364FF">
      <w:pPr>
        <w:pStyle w:val="4"/>
        <w:jc w:val="left"/>
        <w:rPr>
          <w:color w:val="auto"/>
          <w:highlight w:val="none"/>
        </w:rPr>
      </w:pPr>
    </w:p>
    <w:p w14:paraId="6D547ED3">
      <w:pPr>
        <w:rPr>
          <w:b/>
          <w:color w:val="auto"/>
          <w:highlight w:val="none"/>
        </w:rPr>
      </w:pPr>
      <w:r>
        <w:rPr>
          <w:rFonts w:hint="eastAsia"/>
          <w:b/>
          <w:color w:val="auto"/>
          <w:highlight w:val="none"/>
        </w:rPr>
        <w:t>备注：</w:t>
      </w:r>
    </w:p>
    <w:p w14:paraId="5608B76E">
      <w:pPr>
        <w:ind w:firstLine="480" w:firstLineChars="200"/>
        <w:rPr>
          <w:b/>
          <w:color w:val="auto"/>
          <w:highlight w:val="none"/>
        </w:rPr>
      </w:pPr>
      <w:r>
        <w:rPr>
          <w:rFonts w:ascii="宋体" w:hAnsi="宋体"/>
          <w:color w:val="auto"/>
          <w:szCs w:val="21"/>
          <w:highlight w:val="none"/>
        </w:rPr>
        <w:t>1.</w:t>
      </w:r>
      <w:r>
        <w:rPr>
          <w:rFonts w:hint="eastAsia" w:ascii="宋体" w:hAnsi="宋体"/>
          <w:color w:val="auto"/>
          <w:szCs w:val="21"/>
          <w:highlight w:val="none"/>
        </w:rPr>
        <w:t>本招标文件分为第一册“专用条款”和第二册“通用条款”。</w:t>
      </w:r>
    </w:p>
    <w:p w14:paraId="41B0B24A">
      <w:pPr>
        <w:spacing w:line="360" w:lineRule="auto"/>
        <w:ind w:firstLine="480" w:firstLineChars="200"/>
        <w:jc w:val="left"/>
        <w:rPr>
          <w:rFonts w:asci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“专用条款”是对本次采购项目的具体要求，包含招标公告、招标项目需求、投标文件格式、合同条款及格式、附件等内容。</w:t>
      </w:r>
    </w:p>
    <w:p w14:paraId="4AFF634E">
      <w:pPr>
        <w:spacing w:line="360" w:lineRule="auto"/>
        <w:ind w:firstLine="480" w:firstLineChars="200"/>
        <w:jc w:val="left"/>
        <w:rPr>
          <w:rFonts w:asci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“通用条款”是通用于政府采购项目的基础性条款，具有普遍性和通用性。</w:t>
      </w:r>
    </w:p>
    <w:p w14:paraId="66589A76">
      <w:pPr>
        <w:spacing w:line="360" w:lineRule="auto"/>
        <w:ind w:firstLine="480" w:firstLineChars="200"/>
        <w:jc w:val="left"/>
        <w:rPr>
          <w:rFonts w:asci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当出现“专用条款”和“通用条款”表述不一致或有冲突时，以“专用条款”为准。</w:t>
      </w:r>
    </w:p>
    <w:p w14:paraId="2E0C2FE6">
      <w:pPr>
        <w:pStyle w:val="4"/>
        <w:jc w:val="left"/>
        <w:rPr>
          <w:color w:val="auto"/>
          <w:sz w:val="24"/>
          <w:highlight w:val="none"/>
        </w:rPr>
      </w:pPr>
      <w:r>
        <w:rPr>
          <w:color w:val="auto"/>
          <w:highlight w:val="none"/>
        </w:rPr>
        <w:br w:type="page"/>
      </w:r>
      <w:bookmarkStart w:id="0" w:name="bt其他资料由投标人自定"/>
      <w:bookmarkEnd w:id="0"/>
      <w:bookmarkStart w:id="1" w:name="bt说明"/>
      <w:bookmarkEnd w:id="1"/>
      <w:bookmarkStart w:id="2" w:name="bt投标人须知"/>
      <w:bookmarkEnd w:id="2"/>
      <w:bookmarkStart w:id="3" w:name="bt投标函"/>
      <w:bookmarkEnd w:id="3"/>
      <w:bookmarkStart w:id="4" w:name="bt商务标投标文件格式"/>
      <w:bookmarkEnd w:id="4"/>
      <w:bookmarkStart w:id="5" w:name="bt本工程承诺书"/>
      <w:bookmarkEnd w:id="5"/>
      <w:bookmarkStart w:id="6" w:name="bt开标一览表"/>
      <w:bookmarkEnd w:id="6"/>
      <w:bookmarkStart w:id="7" w:name="bt其他资料2"/>
      <w:bookmarkEnd w:id="7"/>
      <w:bookmarkStart w:id="8" w:name="bt技术标投标文件格式"/>
      <w:bookmarkEnd w:id="8"/>
      <w:bookmarkStart w:id="9" w:name="bt投标文件签署授权委托书"/>
      <w:bookmarkEnd w:id="9"/>
      <w:bookmarkStart w:id="10" w:name="bt投标报价汇总表"/>
      <w:bookmarkEnd w:id="10"/>
      <w:bookmarkStart w:id="11" w:name="bt合同条款及格式"/>
      <w:bookmarkEnd w:id="11"/>
      <w:bookmarkStart w:id="12" w:name="bt项目管理班子配备情况"/>
      <w:bookmarkEnd w:id="12"/>
      <w:bookmarkStart w:id="13" w:name="bt合同格式"/>
      <w:bookmarkEnd w:id="13"/>
      <w:bookmarkStart w:id="14" w:name="合同格式"/>
      <w:bookmarkEnd w:id="14"/>
      <w:bookmarkStart w:id="15" w:name="bt合同条款"/>
      <w:bookmarkEnd w:id="15"/>
      <w:bookmarkStart w:id="16" w:name="bt投标人情况介绍"/>
      <w:bookmarkEnd w:id="16"/>
      <w:r>
        <w:rPr>
          <w:rFonts w:hint="eastAsia"/>
          <w:color w:val="auto"/>
          <w:highlight w:val="none"/>
        </w:rPr>
        <w:t>第一册专用条款</w:t>
      </w:r>
    </w:p>
    <w:p w14:paraId="334A5FF8">
      <w:pPr>
        <w:pStyle w:val="5"/>
        <w:rPr>
          <w:color w:val="auto"/>
          <w:highlight w:val="none"/>
        </w:rPr>
      </w:pPr>
      <w:r>
        <w:rPr>
          <w:rFonts w:hint="eastAsia"/>
          <w:color w:val="auto"/>
          <w:highlight w:val="none"/>
        </w:rPr>
        <w:t>第一章招标公告</w:t>
      </w:r>
    </w:p>
    <w:p w14:paraId="1744FF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22" w:firstLineChars="200"/>
        <w:jc w:val="left"/>
        <w:textAlignment w:val="auto"/>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val="en-US" w:eastAsia="zh-CN" w:bidi="ar"/>
        </w:rPr>
        <w:t>项目概况</w:t>
      </w:r>
    </w:p>
    <w:p w14:paraId="31D07EE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公立医疗机构药品采购服务项目招标项目的潜在投标人应在（本公告附件中）获取招标文件，并于2025年*月*日 *:30（北京时间）前递交投标文件。</w:t>
      </w:r>
    </w:p>
    <w:p w14:paraId="65F786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22" w:firstLineChars="200"/>
        <w:jc w:val="left"/>
        <w:textAlignment w:val="auto"/>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val="en-US" w:eastAsia="zh-CN" w:bidi="ar"/>
        </w:rPr>
        <w:t>一、项目基本情况：</w:t>
      </w:r>
    </w:p>
    <w:p w14:paraId="478CAC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1.项目编号：3324-DH2531F3111（</w:t>
      </w:r>
      <w:bookmarkStart w:id="113" w:name="_GoBack"/>
      <w:bookmarkEnd w:id="113"/>
      <w:r>
        <w:rPr>
          <w:rFonts w:hint="eastAsia" w:ascii="宋体" w:hAnsi="宋体" w:eastAsia="宋体" w:cs="宋体"/>
          <w:color w:val="auto"/>
          <w:kern w:val="0"/>
          <w:sz w:val="21"/>
          <w:szCs w:val="21"/>
          <w:highlight w:val="none"/>
          <w:lang w:val="en-US" w:eastAsia="zh-CN" w:bidi="ar"/>
        </w:rPr>
        <w:t>SZDL2025001135）</w:t>
      </w:r>
    </w:p>
    <w:p w14:paraId="5F42AF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2.项目名称：公立医疗机构药品采购服务项目</w:t>
      </w:r>
    </w:p>
    <w:p w14:paraId="4595A0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3.预算金额（单位：元）：11,340,000.00</w:t>
      </w:r>
    </w:p>
    <w:p w14:paraId="651AB1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4.最高限价：人民币11,340,000.00元</w:t>
      </w:r>
    </w:p>
    <w:p w14:paraId="492C00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5.采购需求：</w:t>
      </w:r>
    </w:p>
    <w:tbl>
      <w:tblPr>
        <w:tblStyle w:val="20"/>
        <w:tblW w:w="7944"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2383"/>
        <w:gridCol w:w="793"/>
        <w:gridCol w:w="397"/>
        <w:gridCol w:w="1588"/>
        <w:gridCol w:w="2783"/>
      </w:tblGrid>
      <w:tr w14:paraId="42F770E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892" w:hRule="atLeast"/>
        </w:trPr>
        <w:tc>
          <w:tcPr>
            <w:tcW w:w="2383" w:type="dxa"/>
            <w:tcBorders>
              <w:tl2br w:val="nil"/>
              <w:tr2bl w:val="nil"/>
            </w:tcBorders>
            <w:shd w:val="clear" w:color="auto" w:fill="auto"/>
            <w:tcMar>
              <w:top w:w="0" w:type="dxa"/>
              <w:left w:w="0" w:type="dxa"/>
              <w:bottom w:w="0" w:type="dxa"/>
              <w:right w:w="0" w:type="dxa"/>
            </w:tcMar>
            <w:vAlign w:val="center"/>
          </w:tcPr>
          <w:p w14:paraId="424A0D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标的名称</w:t>
            </w:r>
          </w:p>
        </w:tc>
        <w:tc>
          <w:tcPr>
            <w:tcW w:w="793" w:type="dxa"/>
            <w:tcBorders>
              <w:tl2br w:val="nil"/>
              <w:tr2bl w:val="nil"/>
            </w:tcBorders>
            <w:shd w:val="clear" w:color="auto" w:fill="auto"/>
            <w:tcMar>
              <w:top w:w="0" w:type="dxa"/>
              <w:left w:w="0" w:type="dxa"/>
              <w:bottom w:w="0" w:type="dxa"/>
              <w:right w:w="0" w:type="dxa"/>
            </w:tcMar>
            <w:vAlign w:val="center"/>
          </w:tcPr>
          <w:p w14:paraId="42B609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数量</w:t>
            </w:r>
          </w:p>
        </w:tc>
        <w:tc>
          <w:tcPr>
            <w:tcW w:w="397" w:type="dxa"/>
            <w:tcBorders>
              <w:tl2br w:val="nil"/>
              <w:tr2bl w:val="nil"/>
            </w:tcBorders>
            <w:shd w:val="clear" w:color="auto" w:fill="auto"/>
            <w:tcMar>
              <w:top w:w="0" w:type="dxa"/>
              <w:left w:w="0" w:type="dxa"/>
              <w:bottom w:w="0" w:type="dxa"/>
              <w:right w:w="0" w:type="dxa"/>
            </w:tcMar>
            <w:vAlign w:val="center"/>
          </w:tcPr>
          <w:p w14:paraId="587B0E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单位</w:t>
            </w:r>
          </w:p>
        </w:tc>
        <w:tc>
          <w:tcPr>
            <w:tcW w:w="1588" w:type="dxa"/>
            <w:tcBorders>
              <w:tl2br w:val="nil"/>
              <w:tr2bl w:val="nil"/>
            </w:tcBorders>
            <w:shd w:val="clear" w:color="auto" w:fill="auto"/>
            <w:tcMar>
              <w:top w:w="0" w:type="dxa"/>
              <w:left w:w="0" w:type="dxa"/>
              <w:bottom w:w="0" w:type="dxa"/>
              <w:right w:w="0" w:type="dxa"/>
            </w:tcMar>
            <w:vAlign w:val="center"/>
          </w:tcPr>
          <w:p w14:paraId="3639D6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简要技术需求（服务需求）</w:t>
            </w:r>
          </w:p>
        </w:tc>
        <w:tc>
          <w:tcPr>
            <w:tcW w:w="2783" w:type="dxa"/>
            <w:tcBorders>
              <w:tl2br w:val="nil"/>
              <w:tr2bl w:val="nil"/>
            </w:tcBorders>
            <w:shd w:val="clear" w:color="auto" w:fill="auto"/>
            <w:tcMar>
              <w:top w:w="0" w:type="dxa"/>
              <w:left w:w="0" w:type="dxa"/>
              <w:bottom w:w="0" w:type="dxa"/>
              <w:right w:w="0" w:type="dxa"/>
            </w:tcMar>
            <w:vAlign w:val="center"/>
          </w:tcPr>
          <w:p w14:paraId="7B32A2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备注</w:t>
            </w:r>
          </w:p>
        </w:tc>
      </w:tr>
      <w:tr w14:paraId="66A5458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344" w:hRule="atLeast"/>
        </w:trPr>
        <w:tc>
          <w:tcPr>
            <w:tcW w:w="2383" w:type="dxa"/>
            <w:tcBorders>
              <w:tl2br w:val="nil"/>
              <w:tr2bl w:val="nil"/>
            </w:tcBorders>
            <w:shd w:val="clear" w:color="auto" w:fill="auto"/>
            <w:tcMar>
              <w:top w:w="0" w:type="dxa"/>
              <w:left w:w="0" w:type="dxa"/>
              <w:bottom w:w="0" w:type="dxa"/>
              <w:right w:w="0" w:type="dxa"/>
            </w:tcMar>
            <w:vAlign w:val="center"/>
          </w:tcPr>
          <w:p w14:paraId="13554F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公立医疗机构药品采购服务项目</w:t>
            </w:r>
          </w:p>
        </w:tc>
        <w:tc>
          <w:tcPr>
            <w:tcW w:w="793" w:type="dxa"/>
            <w:tcBorders>
              <w:tl2br w:val="nil"/>
              <w:tr2bl w:val="nil"/>
            </w:tcBorders>
            <w:shd w:val="clear" w:color="auto" w:fill="auto"/>
            <w:tcMar>
              <w:top w:w="0" w:type="dxa"/>
              <w:left w:w="0" w:type="dxa"/>
              <w:bottom w:w="0" w:type="dxa"/>
              <w:right w:w="0" w:type="dxa"/>
            </w:tcMar>
            <w:vAlign w:val="center"/>
          </w:tcPr>
          <w:p w14:paraId="6B4148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1</w:t>
            </w:r>
          </w:p>
        </w:tc>
        <w:tc>
          <w:tcPr>
            <w:tcW w:w="397" w:type="dxa"/>
            <w:tcBorders>
              <w:tl2br w:val="nil"/>
              <w:tr2bl w:val="nil"/>
            </w:tcBorders>
            <w:shd w:val="clear" w:color="auto" w:fill="auto"/>
            <w:tcMar>
              <w:top w:w="0" w:type="dxa"/>
              <w:left w:w="0" w:type="dxa"/>
              <w:bottom w:w="0" w:type="dxa"/>
              <w:right w:w="0" w:type="dxa"/>
            </w:tcMar>
            <w:vAlign w:val="center"/>
          </w:tcPr>
          <w:p w14:paraId="69A974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项</w:t>
            </w:r>
          </w:p>
        </w:tc>
        <w:tc>
          <w:tcPr>
            <w:tcW w:w="1588" w:type="dxa"/>
            <w:tcBorders>
              <w:tl2br w:val="nil"/>
              <w:tr2bl w:val="nil"/>
            </w:tcBorders>
            <w:shd w:val="clear" w:color="auto" w:fill="auto"/>
            <w:tcMar>
              <w:top w:w="0" w:type="dxa"/>
              <w:left w:w="0" w:type="dxa"/>
              <w:bottom w:w="0" w:type="dxa"/>
              <w:right w:w="0" w:type="dxa"/>
            </w:tcMar>
            <w:vAlign w:val="center"/>
          </w:tcPr>
          <w:p w14:paraId="0B9972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详见招标文件</w:t>
            </w:r>
          </w:p>
        </w:tc>
        <w:tc>
          <w:tcPr>
            <w:tcW w:w="2783" w:type="dxa"/>
            <w:tcBorders>
              <w:tl2br w:val="nil"/>
              <w:tr2bl w:val="nil"/>
            </w:tcBorders>
            <w:shd w:val="clear" w:color="auto" w:fill="auto"/>
            <w:tcMar>
              <w:top w:w="0" w:type="dxa"/>
              <w:left w:w="0" w:type="dxa"/>
              <w:bottom w:w="0" w:type="dxa"/>
              <w:right w:w="0" w:type="dxa"/>
            </w:tcMar>
            <w:vAlign w:val="center"/>
          </w:tcPr>
          <w:p w14:paraId="06DA4510">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1"/>
                <w:szCs w:val="21"/>
              </w:rPr>
            </w:pPr>
          </w:p>
        </w:tc>
      </w:tr>
    </w:tbl>
    <w:p w14:paraId="148189C4">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6.合同履行期限：详见招标文件用户需求书。</w:t>
      </w:r>
    </w:p>
    <w:p w14:paraId="0FD2626D">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7.本项目不接受联合体投标，详见“申请人的资格要求”。</w:t>
      </w:r>
    </w:p>
    <w:p w14:paraId="3253DF6A">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二、申请人的资格要求：</w:t>
      </w:r>
    </w:p>
    <w:p w14:paraId="087BFF32">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1.满足《中华人民共和国政府采购法》第二十二条第一款的条件（由供应商在《政府采购投标及履约承诺函》中作出声明）；</w:t>
      </w:r>
    </w:p>
    <w:p w14:paraId="04DB211D">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2.具有独立法人资格或是具有独立承担民事责任能力的其它组织（提供营业执照（或事业单位法人证书）或其它具有独立承担民事责任能力的登记证明资料扫描件，原件备查；如为分公司参加投标的，须由总公司出具总公司授权且愿为其参与本项目投标及履约行为承担民事责任的《授权承诺书》（格式自定）以及分公司《营业执照》、总公司《营业执照》扫描件，原件备查。（总公司和分公司不得同时参与本项目投标，且同属一家总公司授权的两个或以上分公司不得同时参与本项目投标。若出现前述情况，则该投标人及其所属全部分公司的投标文件均不予受理）。</w:t>
      </w:r>
    </w:p>
    <w:p w14:paraId="000154A4">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3.参与本项目投标前三年内，在经营活动中没有重大违法记录（由供应商在《政府采购投标及履约承诺函》中作出声明）。</w:t>
      </w:r>
    </w:p>
    <w:p w14:paraId="7C10727B">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4.参与本项目政府采购活动时不存在被有关部门禁止参与政府采购活动且在有效期内的情况（由供应商在《政府采购投标及履约承诺函》中作出声明）。</w:t>
      </w:r>
    </w:p>
    <w:p w14:paraId="30D35C3B">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5.依据《中华人民共和国政府采购法实施条例》第十八条规定，单位负责人为同一人或者存在直接控股、管理关系的不同供应商，不得参加同一合同项下的政府采购活动；为采购项目提供整体设计、规范编制或者项目管理、监理、检测等服务的供应商，不得再参加该采购项目的其他采购活动（由供应商在《政府采购投标及履约承诺函》中作出声明）。</w:t>
      </w:r>
    </w:p>
    <w:p w14:paraId="0CEC3A2C">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6.未被列入失信被执行人、重大税收违法案件当事人名单、政府采购严重违法失信行为记录名单（由供应商在《政府采购投标及履约承诺函》中作出声明）。</w:t>
      </w:r>
    </w:p>
    <w:p w14:paraId="57E20821">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注：“信用中国”、“中国政府采购网”、“深圳信用网”以及“深圳市政府采购监管网”为供应商信用信息的查询渠道，相关信息以开标当日的查询结果为准。</w:t>
      </w:r>
    </w:p>
    <w:p w14:paraId="7FA123B6">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7.不存在《深圳市财政局政府采购供应商信用信息管理办法》（深财规（2023）3号）列明的严重违法失信行为（由供应商在《政府采购投标及履约承诺函》中作出声明）。</w:t>
      </w:r>
    </w:p>
    <w:p w14:paraId="1A3838D6">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8.本项目不接受联合体投标，不接受投标人选用进口产品参与投标，不允许转包、分包。</w:t>
      </w:r>
    </w:p>
    <w:p w14:paraId="7A475F33">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9.不同供应商的法定代表人、主要经营负责人、项目投标授权代表人、项目负责人、主要技术人员不得为同一人、属同一单位或者在同一单位缴纳社会保险；不同投标供应商的投标文件不得由同一单位或者同一人编制的（由供应商填写《供应商基本情况表》相关信息）。</w:t>
      </w:r>
    </w:p>
    <w:p w14:paraId="56FEAF2F">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10.落实政府采购政策需满足的资格要求：无。</w:t>
      </w:r>
    </w:p>
    <w:p w14:paraId="694A073E">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p>
    <w:p w14:paraId="09B3EB6A">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三、获取招标文件</w:t>
      </w:r>
    </w:p>
    <w:p w14:paraId="1C0984F0">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时间：自本公告发布之日起至2025年*月*日（北京时间）。</w:t>
      </w:r>
    </w:p>
    <w:p w14:paraId="497EF557">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地点：登录深圳政府采购智慧(监管)平台（http://zfcg.szggzy.com:8081/）下载本项目的招标文件。</w:t>
      </w:r>
    </w:p>
    <w:p w14:paraId="3B354E43">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方式：在线下载。</w:t>
      </w:r>
    </w:p>
    <w:p w14:paraId="61761694">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售价：免费 。</w:t>
      </w:r>
    </w:p>
    <w:p w14:paraId="60867DC9">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凡已注册的深圳市网上政府采购供应商，按照授予的操作权限，可于自本公告发布之日起至2025年*月*日 *:30期间登录深圳政府采购智慧（监管）平台（http://zfcg.szggzy.com:8081/）下载本项目的采购文件。投标人如确定参加投标，首先要在深圳政府采购智慧(监管)平台网上办事子系统（http://zfcg.szggzy.com:8081/TPBidder/memberLogin）网上报名投标，方法为在网上办事子系统后点击“【招标公告】→【我要报名】”；如果网上报名后上传了投标文件，又不参加投标，应再到【我的项目】→【项目流程】→【递交投标(应答)文件】功能点中进行“【撤回本次投标】”操作；如果是未注册为深圳政府采购智慧(监管)平台（http://zfcg.szggzy.com:8081/）的供应商，请先办理密钥（</w:t>
      </w:r>
      <w:r>
        <w:rPr>
          <w:rFonts w:hint="eastAsia" w:ascii="宋体" w:hAnsi="宋体" w:eastAsia="宋体" w:cs="宋体"/>
          <w:color w:val="auto"/>
          <w:kern w:val="0"/>
          <w:sz w:val="21"/>
          <w:szCs w:val="21"/>
          <w:u w:val="single"/>
          <w:lang w:val="en-US" w:eastAsia="zh-CN" w:bidi="ar"/>
        </w:rPr>
        <w:fldChar w:fldCharType="begin"/>
      </w:r>
      <w:r>
        <w:rPr>
          <w:rFonts w:hint="eastAsia" w:ascii="宋体" w:hAnsi="宋体" w:eastAsia="宋体" w:cs="宋体"/>
          <w:color w:val="auto"/>
          <w:kern w:val="0"/>
          <w:sz w:val="21"/>
          <w:szCs w:val="21"/>
          <w:u w:val="single"/>
          <w:lang w:val="en-US" w:eastAsia="zh-CN" w:bidi="ar"/>
        </w:rPr>
        <w:instrText xml:space="preserve"> HYPERLINK "http://zfcg.szggzy.com:8081/TPBidder/CAHandle" </w:instrText>
      </w:r>
      <w:r>
        <w:rPr>
          <w:rFonts w:hint="eastAsia" w:ascii="宋体" w:hAnsi="宋体" w:eastAsia="宋体" w:cs="宋体"/>
          <w:color w:val="auto"/>
          <w:kern w:val="0"/>
          <w:sz w:val="21"/>
          <w:szCs w:val="21"/>
          <w:u w:val="single"/>
          <w:lang w:val="en-US" w:eastAsia="zh-CN" w:bidi="ar"/>
        </w:rPr>
        <w:fldChar w:fldCharType="separate"/>
      </w:r>
      <w:r>
        <w:rPr>
          <w:rStyle w:val="29"/>
          <w:rFonts w:hint="eastAsia" w:ascii="宋体" w:hAnsi="宋体" w:eastAsia="宋体" w:cs="宋体"/>
          <w:color w:val="auto"/>
          <w:sz w:val="21"/>
          <w:szCs w:val="21"/>
          <w:u w:val="single"/>
        </w:rPr>
        <w:t>请点击</w:t>
      </w:r>
      <w:r>
        <w:rPr>
          <w:rFonts w:hint="eastAsia" w:ascii="宋体" w:hAnsi="宋体" w:eastAsia="宋体" w:cs="宋体"/>
          <w:color w:val="auto"/>
          <w:kern w:val="0"/>
          <w:sz w:val="21"/>
          <w:szCs w:val="21"/>
          <w:u w:val="single"/>
          <w:lang w:val="en-US" w:eastAsia="zh-CN" w:bidi="ar"/>
        </w:rPr>
        <w:fldChar w:fldCharType="end"/>
      </w:r>
      <w:r>
        <w:rPr>
          <w:rFonts w:hint="eastAsia" w:ascii="宋体" w:hAnsi="宋体" w:eastAsia="宋体" w:cs="宋体"/>
          <w:color w:val="auto"/>
          <w:kern w:val="0"/>
          <w:sz w:val="21"/>
          <w:szCs w:val="21"/>
          <w:lang w:val="en-US" w:eastAsia="zh-CN" w:bidi="ar"/>
        </w:rPr>
        <w:t>），深圳市南山区沙河西路3185号南山智谷A座（深圳交易集团总部大楼）3楼前台（咨询电话：0755-83948165、0755-83938966、4008301330）绑定深圳政府采购智慧(监管)平台用户,再进行投标报名。在网上报名后，点击“【我的项目】→【项目流程】→【采购文件下载】”进行采购文件的下载。</w:t>
      </w:r>
    </w:p>
    <w:p w14:paraId="1DD92E50">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四、提交投标文件截止时间、开标时间和地点</w:t>
      </w:r>
    </w:p>
    <w:p w14:paraId="562D57FE">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1.投标截止时间：所有投标文件应于2025年*月*日 *:30（北京时间）之前上传到深圳政府采购智慧(监管)平台（http://zfcg.szggzy.com:8081/）。具体操作为登录“深圳政府采购智慧(监管)平台用户网上办事子系统（http://zfcg.szggzy.com:8081/TPBidder/memberLogin）”，用“【我的项目】→【项目流程】→【递交投标(应答)文件】”功能点上传投标文件。本项目电子投标文件最大容量为100MB，超过此容量的文件将被拒绝。</w:t>
      </w:r>
    </w:p>
    <w:p w14:paraId="2BF45AE9">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2.开标时间和地点：定于2025年*月*日 *:30（北京时间），在深圳公共资源交易中心（深圳市东海国际招标有限公司）公开开标。供应商可以登录“深圳政府采购智慧(监管)平台用户网上办事子系统（http://zfcg.szggzy.com:8081/TPBidder/memberLogin）”，在“【我的项目】→【项目流程】→【开标及解密】”进行在线解密、查询开标情况。</w:t>
      </w:r>
    </w:p>
    <w:p w14:paraId="5B448552">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3.在线解密： 投标人须在开标当日2025-*-* *:30 ~ 2025-*-* *:30期间进行解密，逾期未解密的作无效处理。解密方法：登录“深圳政府采购智慧(监管)平台用户网上办事子系统（http://zfcg.szggzy.com:8081/TPBidder/memberLogin）”，使用本单位制作电子投标文件同一个电子密钥，在“【我的项目】→【项目流程】→【开标及解密】”进行在线解密、查询开标情况。</w:t>
      </w:r>
    </w:p>
    <w:p w14:paraId="15E99774">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4.其他说明</w:t>
      </w:r>
    </w:p>
    <w:p w14:paraId="2C11CE4F">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 本项目允许使用电子营业执照加、解密，投标（应答）供应商在使用“投标文件制作专用软件”制作投标（应答）文件时，可以通过微信扫码功能调用“电子营业执照”小程序制作、加密、解密投标（应答）响应文件。供应商加密投标（应答）响应文件与开标解密必须使用同一种方式，否则解密失败，导致投标无效（即：使用电子执照加密的，后续开标只能使用电子执照解密）。 重要提示： （1）使用电子营业执照功能时，请确保已经在手机微信安装 “电子营业执照”小程序，或已安装了“电子营业执照”APP，并且在 “电子营业执照”小程序/app中完成相应的下载电子营业执照、法人授权、备份密钥等操作（具体详见国家工商总局网站），电子投标地区必须选择 “广东省-深圳市-深圳政府采购智慧平台”（请根据手机小程序/app提示进行设置，或拨打电子营业执照平台技术支持电话010-86355313，15921122750）。 （2）电子营业执照应用于投标文件制作和加解密属于创新应用场景，如不熟悉操作可能导致错过投标截止时间，系统已提供加密、测试解密和撤回重新上传的功能，各投标人须预留充足时间，提前制作和加密上传投标文件。 （3）已办理数字证书（电子密钥）的用户，可以继续使用数字证书完成投标活动。未申请电子营业执照或无法通过电子营业执照完成投标文件制作和加解密的用户，必须使用电子密钥进行投标文件制作和加解密，咨询电话0755-83948165，4008301330（CA办理指引详见链接</w:t>
      </w:r>
      <w:r>
        <w:rPr>
          <w:rFonts w:hint="eastAsia" w:ascii="宋体" w:hAnsi="宋体" w:eastAsia="宋体" w:cs="宋体"/>
          <w:color w:val="auto"/>
          <w:kern w:val="0"/>
          <w:sz w:val="21"/>
          <w:szCs w:val="21"/>
          <w:lang w:val="en-US" w:eastAsia="zh-CN" w:bidi="ar"/>
        </w:rPr>
        <w:fldChar w:fldCharType="begin"/>
      </w:r>
      <w:r>
        <w:rPr>
          <w:rFonts w:hint="eastAsia" w:ascii="宋体" w:hAnsi="宋体" w:eastAsia="宋体" w:cs="宋体"/>
          <w:color w:val="auto"/>
          <w:kern w:val="0"/>
          <w:sz w:val="21"/>
          <w:szCs w:val="21"/>
          <w:lang w:val="en-US" w:eastAsia="zh-CN" w:bidi="ar"/>
        </w:rPr>
        <w:instrText xml:space="preserve"> HYPERLINK "https://www.szzfcg.cn/portal/documentView.do?method=view&amp;id=597167584）。" </w:instrText>
      </w:r>
      <w:r>
        <w:rPr>
          <w:rFonts w:hint="eastAsia" w:ascii="宋体" w:hAnsi="宋体" w:eastAsia="宋体" w:cs="宋体"/>
          <w:color w:val="auto"/>
          <w:kern w:val="0"/>
          <w:sz w:val="21"/>
          <w:szCs w:val="21"/>
          <w:lang w:val="en-US" w:eastAsia="zh-CN" w:bidi="ar"/>
        </w:rPr>
        <w:fldChar w:fldCharType="separate"/>
      </w:r>
      <w:r>
        <w:rPr>
          <w:rStyle w:val="29"/>
          <w:rFonts w:hint="eastAsia" w:ascii="宋体" w:hAnsi="宋体" w:eastAsia="宋体" w:cs="宋体"/>
          <w:color w:val="auto"/>
          <w:kern w:val="0"/>
          <w:sz w:val="21"/>
          <w:szCs w:val="21"/>
          <w:lang w:val="en-US" w:eastAsia="zh-CN" w:bidi="ar"/>
        </w:rPr>
        <w:t>https://www.szzfcg.cn/portal/documentView.do?method=view&amp;id=597167584）。</w:t>
      </w:r>
      <w:r>
        <w:rPr>
          <w:rFonts w:hint="eastAsia" w:ascii="宋体" w:hAnsi="宋体" w:eastAsia="宋体" w:cs="宋体"/>
          <w:color w:val="auto"/>
          <w:kern w:val="0"/>
          <w:sz w:val="21"/>
          <w:szCs w:val="21"/>
          <w:lang w:val="en-US" w:eastAsia="zh-CN" w:bidi="ar"/>
        </w:rPr>
        <w:fldChar w:fldCharType="end"/>
      </w:r>
    </w:p>
    <w:p w14:paraId="1B6F8877">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五、公告期限</w:t>
      </w:r>
    </w:p>
    <w:p w14:paraId="27B67DD7">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自本公告发布之日起5个工作日。</w:t>
      </w:r>
    </w:p>
    <w:p w14:paraId="7178760D">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六、其他补充事宜</w:t>
      </w:r>
    </w:p>
    <w:p w14:paraId="379B21B1">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1.本项目实行网上投标，采用电子投标文件。</w:t>
      </w:r>
    </w:p>
    <w:p w14:paraId="24475A32">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2.报名操作：投标人如确定参加投标，首先要在深圳政府采购网上报名投标，方法为登录深圳政府采购智慧(监管)平台 （http://zfcg.szggzy.com:8081/）网后点击“招标公告”选中要报名标段点击“我要报名”或“待办→邀请提醒”；如果网上报名后上传了投标文件，又不参加投标，应再到【我的项目】→【项目流程】→【递交投标(应答)文件】→【上传投标文件】功能点中进行“撤标”操作；如果是未注册为深圳政府采购的供应商，请访问深圳公共资源交易中心（统一用户中心 https://trade.szggzy.com/ggzy/center/#/login）,先办理注册手续（注册咨询：0755-36568999）,再进行投标报名。在网上报名后，点击“我的项目→项目流程”中进行招标文件的下载。</w:t>
      </w:r>
    </w:p>
    <w:p w14:paraId="49EDBCBB">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3.开标操作：投标人可以登录“深圳政府采购智慧(监管)平台 （http://zfcg.szggzy.com:8081/）网站”，在系统登录首页面即可查看开标情况。</w:t>
      </w:r>
    </w:p>
    <w:p w14:paraId="41FE7778">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4.投标操作：具体操作为登录“深圳政府采购智慧(监管)平台 （http://zfcg.szggzy.com:8081/） 网站”，用“我的项目→项目流程→递交投标(应答)文件→上传投标文件”功能点上传投标文件。本项目电子投标文件最大容量为100MB，超过此容量的文件将被拒绝。</w:t>
      </w:r>
    </w:p>
    <w:p w14:paraId="6A3B343F">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5.采购文件澄清/修改事项：2025年*月*日 00:00（北京时间）前，供应商如果认为采购文件存在不明确、不清晰和前后不一致等问题，可登录深圳政府采购智慧(监管)平台（http://zfcg.szggzy.com:8081/）→“深圳政府采购智慧(监管)平台用户网上办事子系统（http://zfcg.szggzy.com:8081/TPBidder/memberLogin）”，在“【我的项目】→【项目流程】→【提问】”功能点中填写需澄清内容。2025年*月*日 00:00（北京时间）前将采购文件澄清/修改情况在“【我的项目】→【项目流程】→【答疑澄清文件下载】”中公布，望投标人予以关注。 </w:t>
      </w:r>
      <w:r>
        <w:rPr>
          <w:rFonts w:hint="eastAsia" w:ascii="宋体" w:hAnsi="宋体" w:eastAsia="宋体" w:cs="宋体"/>
          <w:color w:val="auto"/>
          <w:kern w:val="0"/>
          <w:sz w:val="21"/>
          <w:szCs w:val="21"/>
          <w:lang w:val="en-US" w:eastAsia="zh-CN" w:bidi="ar"/>
        </w:rPr>
        <w:br w:type="textWrapping"/>
      </w:r>
      <w:r>
        <w:rPr>
          <w:rFonts w:hint="eastAsia" w:ascii="宋体" w:hAnsi="宋体" w:eastAsia="宋体" w:cs="宋体"/>
          <w:color w:val="auto"/>
          <w:kern w:val="0"/>
          <w:sz w:val="21"/>
          <w:szCs w:val="21"/>
          <w:lang w:val="en-US" w:eastAsia="zh-CN" w:bidi="ar"/>
        </w:rPr>
        <w:t xml:space="preserve">（重要提示：“提出采购文件澄清要求”不等同于“对采购文件质疑”，供应商提出的澄清要求内容如出现“质疑”字眼，将予以退回。供应商如认为采购文件存在限制性、倾向性、其权益受到损害，应在采购文件公布之日起七个工作日内以书面形式提出质疑。请质疑供应商根据深圳公共资源交易中心网页（https://www.szggzy.com/globalSearch/details.html?contentId=1211037）所发布的质疑指引、质疑函模板填写质疑函并提交质疑材料。质疑材料可以采用现场或邮寄方式提交，采用邮寄方式提交的，交邮时间应在本公告发布之日起七个工作日内。质疑材料现场提交、邮寄地址：深圳市罗湖区太宁路2号百仕达大厦27B。质疑咨询电话：0755-86959378或86959778转8014/8005 。根据《深圳经济特区政府采购条例》第四十二条“供应商投诉的事项应当是经过质疑的事项”的规定，未经正式质疑的，将影响供应商行使向财政部门提起投诉的权利。） </w:t>
      </w:r>
    </w:p>
    <w:p w14:paraId="3DAFA8D5">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6.深圳政府采购智慧(监管)平台 （http://zfcg.szggzy.com:8081/）有权对投标人就本项目要求提供的相关证明资料（原件）进行审查。供应商提供虚假资料被查实的，则可能面临被取消本项目中标资格、列入不良行为记录名单和三年内禁止参与深圳市政府采购活动的风险。 本招标公告及本项目招标文件所涉及的时间一律为北京时间。投标人有义务在招标活动期间浏览深圳政府采购智慧(监管)平台 （http://zfcg.szggzy.com:8081/）,在深圳政府采购智慧(监管)平台 （http://zfcg.szggzy.com:8081/）网上公布的与本次招标项目有关的信息视为已送达各投标人。</w:t>
      </w:r>
    </w:p>
    <w:p w14:paraId="6CB5800C">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7.本项目不需要投标保证金。</w:t>
      </w:r>
    </w:p>
    <w:p w14:paraId="683C2BE0">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8.项目中标(成交)供应商可凭借中标通知书和采购合同向金融机构申请政府采购订单融资，详情可登录深圳要素交易金融服务平台https://finance.szexgrp.com/gtm/web/guarantee/#/（或从【深圳政府采购智慧平台】点击【金服平台】），咨询电话0755-36568999转8或拨打0755-88653331。</w:t>
      </w:r>
    </w:p>
    <w:p w14:paraId="5D6367E1">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七、对本次招标提出询问，请按以下方式联系</w:t>
      </w:r>
    </w:p>
    <w:p w14:paraId="29B9B773">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1.采购人信息</w:t>
      </w:r>
    </w:p>
    <w:p w14:paraId="08D9E4B5">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名称：深圳市医疗保险基金管理中心</w:t>
      </w:r>
    </w:p>
    <w:p w14:paraId="38480CC0">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地址：深圳市福田区彩田路海天大厦9、10楼</w:t>
      </w:r>
    </w:p>
    <w:p w14:paraId="5C14C490">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default"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项目联系人：</w:t>
      </w:r>
      <w:r>
        <w:rPr>
          <w:rFonts w:hint="eastAsia" w:ascii="宋体" w:hAnsi="宋体" w:eastAsia="宋体" w:cs="宋体"/>
          <w:color w:val="auto"/>
          <w:sz w:val="21"/>
          <w:szCs w:val="21"/>
          <w:lang w:eastAsia="zh-CN" w:bidi="ar"/>
        </w:rPr>
        <w:t>彭先生、许小姐，</w:t>
      </w:r>
      <w:r>
        <w:rPr>
          <w:rFonts w:hint="eastAsia" w:ascii="宋体" w:hAnsi="宋体" w:eastAsia="宋体" w:cs="宋体"/>
          <w:color w:val="auto"/>
          <w:sz w:val="21"/>
          <w:szCs w:val="21"/>
          <w:lang w:val="en-US" w:eastAsia="zh-CN" w:bidi="ar"/>
        </w:rPr>
        <w:t>0755-88326715或88326712</w:t>
      </w:r>
    </w:p>
    <w:p w14:paraId="043EC476">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2.采购代理机构 </w:t>
      </w:r>
    </w:p>
    <w:p w14:paraId="1671AB71">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名称： 深圳市东海国际招标有限公司 </w:t>
      </w:r>
    </w:p>
    <w:p w14:paraId="2B9C6D11">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地址：深圳市罗湖区太宁路2号百仕达大厦27B</w:t>
      </w:r>
    </w:p>
    <w:p w14:paraId="64E5F650">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联系方式：0755-86959378或86959778转8014/8005</w:t>
      </w:r>
    </w:p>
    <w:p w14:paraId="273E4D34">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3.项目联系方式</w:t>
      </w:r>
    </w:p>
    <w:p w14:paraId="0E4EAF39">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采购项目联系人：白先生、曾小姐</w:t>
      </w:r>
    </w:p>
    <w:p w14:paraId="5AC2525E">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采购项目联系人电话：0755-86959378或86959778转8014/8005</w:t>
      </w:r>
      <w:r>
        <w:rPr>
          <w:rFonts w:hint="eastAsia" w:ascii="宋体" w:hAnsi="宋体" w:eastAsia="宋体" w:cs="宋体"/>
          <w:color w:val="auto"/>
          <w:kern w:val="0"/>
          <w:sz w:val="21"/>
          <w:szCs w:val="21"/>
          <w:lang w:val="en-US" w:eastAsia="zh-CN" w:bidi="ar"/>
        </w:rPr>
        <w:br w:type="textWrapping"/>
      </w:r>
    </w:p>
    <w:p w14:paraId="4831154F">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righ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深圳市东海国际招标有限公司</w:t>
      </w:r>
    </w:p>
    <w:p w14:paraId="058FB7B5">
      <w:pPr>
        <w:pageBreakBefore w:val="0"/>
        <w:widowControl/>
        <w:kinsoku/>
        <w:overflowPunct/>
        <w:topLinePunct w:val="0"/>
        <w:autoSpaceDE/>
        <w:autoSpaceDN/>
        <w:bidi w:val="0"/>
        <w:adjustRightInd/>
        <w:snapToGrid/>
        <w:spacing w:line="360" w:lineRule="exact"/>
        <w:ind w:firstLine="420" w:firstLineChars="200"/>
        <w:jc w:val="righ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2025年*月*日</w:t>
      </w:r>
    </w:p>
    <w:p w14:paraId="1141D063">
      <w:pPr>
        <w:pageBreakBefore w:val="0"/>
        <w:widowControl/>
        <w:kinsoku/>
        <w:overflowPunct/>
        <w:topLinePunct w:val="0"/>
        <w:autoSpaceDE/>
        <w:autoSpaceDN/>
        <w:bidi w:val="0"/>
        <w:adjustRightInd/>
        <w:snapToGrid/>
        <w:spacing w:line="360" w:lineRule="exact"/>
        <w:ind w:firstLine="442" w:firstLineChars="200"/>
        <w:jc w:val="center"/>
        <w:textAlignment w:val="auto"/>
        <w:rPr>
          <w:rFonts w:hint="eastAsia" w:ascii="宋体" w:hAnsi="宋体" w:eastAsia="宋体" w:cs="宋体"/>
          <w:b/>
          <w:sz w:val="22"/>
          <w:szCs w:val="22"/>
        </w:rPr>
      </w:pPr>
      <w:r>
        <w:rPr>
          <w:rFonts w:hint="eastAsia" w:ascii="宋体" w:hAnsi="宋体" w:eastAsia="宋体" w:cs="宋体"/>
          <w:b/>
          <w:color w:val="FF0000"/>
          <w:sz w:val="22"/>
          <w:szCs w:val="22"/>
        </w:rPr>
        <w:t>*备注：各项时间节点以“深圳公共资源交易网（https://www.szggzy.com）” 招标（采购）公告的公布信息为准。</w:t>
      </w:r>
    </w:p>
    <w:p w14:paraId="31B6EBDF">
      <w:pPr>
        <w:pStyle w:val="5"/>
      </w:pPr>
      <w:r>
        <w:rPr>
          <w:rFonts w:hint="eastAsia"/>
        </w:rPr>
        <w:br w:type="page"/>
      </w:r>
      <w:r>
        <w:rPr>
          <w:rFonts w:hint="eastAsia"/>
        </w:rPr>
        <w:t>第二章招标项目需求</w:t>
      </w:r>
    </w:p>
    <w:p w14:paraId="32C5FBC9">
      <w:pPr>
        <w:pStyle w:val="5"/>
        <w:spacing w:before="120" w:beforeLines="50" w:after="120" w:afterLines="50"/>
        <w:rPr>
          <w:sz w:val="28"/>
          <w:szCs w:val="28"/>
        </w:rPr>
      </w:pPr>
      <w:bookmarkStart w:id="17" w:name="_Toc60560625"/>
      <w:bookmarkStart w:id="18" w:name="_Toc73521635"/>
      <w:bookmarkStart w:id="19" w:name="_Toc60631620"/>
      <w:bookmarkStart w:id="20" w:name="_Toc73518117"/>
      <w:bookmarkStart w:id="21" w:name="_Toc73517639"/>
      <w:bookmarkStart w:id="22" w:name="_Toc73521547"/>
      <w:bookmarkStart w:id="23" w:name="_Toc101074876"/>
      <w:bookmarkStart w:id="24" w:name="_Toc100052364"/>
      <w:r>
        <w:rPr>
          <w:rFonts w:hint="eastAsia"/>
          <w:sz w:val="28"/>
          <w:szCs w:val="28"/>
        </w:rPr>
        <w:t>一、对通用条款的补充内容</w:t>
      </w:r>
    </w:p>
    <w:bookmarkEnd w:id="17"/>
    <w:bookmarkEnd w:id="18"/>
    <w:bookmarkEnd w:id="19"/>
    <w:bookmarkEnd w:id="20"/>
    <w:bookmarkEnd w:id="21"/>
    <w:bookmarkEnd w:id="22"/>
    <w:bookmarkEnd w:id="23"/>
    <w:bookmarkEnd w:id="24"/>
    <w:tbl>
      <w:tblPr>
        <w:tblStyle w:val="20"/>
        <w:tblW w:w="8367"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61"/>
        <w:gridCol w:w="1040"/>
        <w:gridCol w:w="6766"/>
      </w:tblGrid>
      <w:tr w14:paraId="32873FC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561" w:type="dxa"/>
            <w:tcBorders>
              <w:top w:val="double" w:color="auto" w:sz="4" w:space="0"/>
            </w:tcBorders>
            <w:vAlign w:val="center"/>
          </w:tcPr>
          <w:p w14:paraId="72745A4E">
            <w:pPr>
              <w:jc w:val="center"/>
              <w:rPr>
                <w:rFonts w:ascii="宋体"/>
                <w:b/>
                <w:bCs/>
              </w:rPr>
            </w:pPr>
            <w:r>
              <w:rPr>
                <w:rFonts w:hint="eastAsia" w:ascii="宋体" w:hAnsi="宋体"/>
                <w:b/>
                <w:bCs/>
              </w:rPr>
              <w:t>序号</w:t>
            </w:r>
          </w:p>
        </w:tc>
        <w:tc>
          <w:tcPr>
            <w:tcW w:w="1040" w:type="dxa"/>
            <w:tcBorders>
              <w:top w:val="double" w:color="auto" w:sz="4" w:space="0"/>
            </w:tcBorders>
            <w:vAlign w:val="center"/>
          </w:tcPr>
          <w:p w14:paraId="2DBB0F8E">
            <w:pPr>
              <w:jc w:val="center"/>
              <w:rPr>
                <w:rFonts w:ascii="宋体"/>
                <w:b/>
                <w:bCs/>
              </w:rPr>
            </w:pPr>
            <w:r>
              <w:rPr>
                <w:rFonts w:hint="eastAsia" w:ascii="宋体" w:hAnsi="宋体"/>
                <w:b/>
                <w:bCs/>
              </w:rPr>
              <w:t>内容</w:t>
            </w:r>
          </w:p>
        </w:tc>
        <w:tc>
          <w:tcPr>
            <w:tcW w:w="6766" w:type="dxa"/>
            <w:tcBorders>
              <w:top w:val="double" w:color="auto" w:sz="4" w:space="0"/>
            </w:tcBorders>
            <w:vAlign w:val="center"/>
          </w:tcPr>
          <w:p w14:paraId="048D1A2A">
            <w:pPr>
              <w:jc w:val="center"/>
              <w:rPr>
                <w:rFonts w:ascii="宋体"/>
                <w:b/>
                <w:bCs/>
              </w:rPr>
            </w:pPr>
            <w:r>
              <w:rPr>
                <w:rFonts w:hint="eastAsia" w:ascii="宋体" w:hAnsi="宋体"/>
                <w:b/>
                <w:bCs/>
              </w:rPr>
              <w:t>规定</w:t>
            </w:r>
          </w:p>
        </w:tc>
      </w:tr>
      <w:tr w14:paraId="39944E3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561" w:type="dxa"/>
            <w:vAlign w:val="center"/>
          </w:tcPr>
          <w:p w14:paraId="2D45A371">
            <w:pPr>
              <w:jc w:val="center"/>
              <w:rPr>
                <w:rFonts w:ascii="宋体"/>
              </w:rPr>
            </w:pPr>
            <w:r>
              <w:rPr>
                <w:rFonts w:ascii="宋体" w:hAnsi="宋体"/>
              </w:rPr>
              <w:t>1</w:t>
            </w:r>
          </w:p>
        </w:tc>
        <w:tc>
          <w:tcPr>
            <w:tcW w:w="1040" w:type="dxa"/>
            <w:vAlign w:val="center"/>
          </w:tcPr>
          <w:p w14:paraId="596332F6">
            <w:pPr>
              <w:jc w:val="center"/>
            </w:pPr>
            <w:r>
              <w:rPr>
                <w:rFonts w:hint="eastAsia"/>
              </w:rPr>
              <w:t>联合体投标</w:t>
            </w:r>
          </w:p>
        </w:tc>
        <w:tc>
          <w:tcPr>
            <w:tcW w:w="6766" w:type="dxa"/>
            <w:vAlign w:val="center"/>
          </w:tcPr>
          <w:p w14:paraId="7856F5CF">
            <w:pPr>
              <w:rPr>
                <w:rFonts w:ascii="宋体"/>
                <w:snapToGrid w:val="0"/>
                <w:szCs w:val="32"/>
                <w:u w:val="single"/>
                <w:lang w:val="zh-CN"/>
              </w:rPr>
            </w:pPr>
            <w:r>
              <w:rPr>
                <w:rFonts w:hint="eastAsia" w:ascii="宋体" w:hAnsi="宋体"/>
                <w:snapToGrid w:val="0"/>
                <w:szCs w:val="32"/>
                <w:u w:val="single"/>
                <w:lang w:val="zh-CN"/>
              </w:rPr>
              <w:t>见《招标公告》中“投标人资格要求”部分的相关内容</w:t>
            </w:r>
          </w:p>
        </w:tc>
      </w:tr>
      <w:tr w14:paraId="73B3086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561" w:type="dxa"/>
            <w:vAlign w:val="center"/>
          </w:tcPr>
          <w:p w14:paraId="526B3E55">
            <w:pPr>
              <w:jc w:val="center"/>
              <w:rPr>
                <w:rFonts w:ascii="宋体"/>
              </w:rPr>
            </w:pPr>
            <w:r>
              <w:rPr>
                <w:rFonts w:ascii="宋体" w:hAnsi="宋体"/>
              </w:rPr>
              <w:t>2</w:t>
            </w:r>
          </w:p>
        </w:tc>
        <w:tc>
          <w:tcPr>
            <w:tcW w:w="1040" w:type="dxa"/>
            <w:vAlign w:val="center"/>
          </w:tcPr>
          <w:p w14:paraId="30022D10">
            <w:pPr>
              <w:jc w:val="center"/>
              <w:rPr>
                <w:rFonts w:ascii="宋体"/>
              </w:rPr>
            </w:pPr>
            <w:r>
              <w:rPr>
                <w:rFonts w:hint="eastAsia" w:ascii="宋体" w:hAnsi="宋体"/>
              </w:rPr>
              <w:t>投标有效期</w:t>
            </w:r>
          </w:p>
        </w:tc>
        <w:tc>
          <w:tcPr>
            <w:tcW w:w="6766" w:type="dxa"/>
            <w:vAlign w:val="center"/>
          </w:tcPr>
          <w:p w14:paraId="7CD08B48">
            <w:pPr>
              <w:rPr>
                <w:rFonts w:ascii="宋体"/>
              </w:rPr>
            </w:pPr>
            <w:r>
              <w:rPr>
                <w:rFonts w:ascii="宋体" w:hAnsi="宋体"/>
                <w:u w:val="single"/>
              </w:rPr>
              <w:t>120</w:t>
            </w:r>
            <w:r>
              <w:rPr>
                <w:rFonts w:hint="eastAsia" w:ascii="宋体" w:hAnsi="宋体"/>
                <w:u w:val="single"/>
              </w:rPr>
              <w:t>日历天</w:t>
            </w:r>
            <w:r>
              <w:rPr>
                <w:rFonts w:hint="eastAsia" w:ascii="宋体" w:hAnsi="宋体"/>
              </w:rPr>
              <w:t>（从投标截止之日算起）</w:t>
            </w:r>
          </w:p>
        </w:tc>
      </w:tr>
      <w:tr w14:paraId="6BC627D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561" w:type="dxa"/>
            <w:vAlign w:val="center"/>
          </w:tcPr>
          <w:p w14:paraId="65107F4B">
            <w:pPr>
              <w:jc w:val="center"/>
              <w:rPr>
                <w:rFonts w:ascii="宋体"/>
              </w:rPr>
            </w:pPr>
            <w:r>
              <w:rPr>
                <w:rFonts w:ascii="宋体" w:hAnsi="宋体"/>
              </w:rPr>
              <w:t>3</w:t>
            </w:r>
          </w:p>
        </w:tc>
        <w:tc>
          <w:tcPr>
            <w:tcW w:w="1040" w:type="dxa"/>
            <w:vAlign w:val="center"/>
          </w:tcPr>
          <w:p w14:paraId="4D4F9CA5">
            <w:pPr>
              <w:jc w:val="center"/>
              <w:rPr>
                <w:rFonts w:ascii="宋体"/>
              </w:rPr>
            </w:pPr>
            <w:r>
              <w:rPr>
                <w:rFonts w:hint="eastAsia" w:ascii="宋体" w:hAnsi="宋体"/>
              </w:rPr>
              <w:t>投标人的替代方案</w:t>
            </w:r>
          </w:p>
        </w:tc>
        <w:tc>
          <w:tcPr>
            <w:tcW w:w="6766" w:type="dxa"/>
            <w:vAlign w:val="center"/>
          </w:tcPr>
          <w:p w14:paraId="0370D2C2">
            <w:pPr>
              <w:rPr>
                <w:rFonts w:ascii="宋体"/>
              </w:rPr>
            </w:pPr>
            <w:r>
              <w:rPr>
                <w:rFonts w:hint="eastAsia" w:ascii="宋体" w:hAnsi="宋体"/>
              </w:rPr>
              <w:t>不允许</w:t>
            </w:r>
          </w:p>
        </w:tc>
      </w:tr>
      <w:tr w14:paraId="21A635E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561" w:type="dxa"/>
            <w:vAlign w:val="center"/>
          </w:tcPr>
          <w:p w14:paraId="5866FE49">
            <w:pPr>
              <w:jc w:val="center"/>
              <w:rPr>
                <w:rFonts w:hint="eastAsia" w:ascii="宋体" w:eastAsia="宋体"/>
                <w:lang w:eastAsia="zh-CN"/>
              </w:rPr>
            </w:pPr>
            <w:r>
              <w:rPr>
                <w:rFonts w:hint="eastAsia" w:ascii="宋体" w:hAnsi="宋体" w:eastAsia="宋体" w:cs="宋体"/>
                <w:lang w:val="en-US" w:eastAsia="zh-CN"/>
              </w:rPr>
              <w:t>4</w:t>
            </w:r>
          </w:p>
        </w:tc>
        <w:tc>
          <w:tcPr>
            <w:tcW w:w="1040" w:type="dxa"/>
            <w:vAlign w:val="center"/>
          </w:tcPr>
          <w:p w14:paraId="7FA6391B">
            <w:pPr>
              <w:jc w:val="center"/>
              <w:rPr>
                <w:rFonts w:ascii="宋体"/>
              </w:rPr>
            </w:pPr>
            <w:r>
              <w:rPr>
                <w:rFonts w:hint="eastAsia" w:ascii="宋体" w:hAnsi="宋体" w:cs="宋体"/>
              </w:rPr>
              <w:t>招标代理服务费</w:t>
            </w:r>
          </w:p>
        </w:tc>
        <w:tc>
          <w:tcPr>
            <w:tcW w:w="6766" w:type="dxa"/>
            <w:vAlign w:val="center"/>
          </w:tcPr>
          <w:p w14:paraId="4E5B8A1F">
            <w:pPr>
              <w:spacing w:line="360" w:lineRule="exact"/>
              <w:rPr>
                <w:rFonts w:ascii="宋体"/>
                <w:lang w:val="zh-CN"/>
              </w:rPr>
            </w:pPr>
            <w:r>
              <w:rPr>
                <w:rFonts w:hint="eastAsia" w:ascii="宋体" w:hAnsi="宋体" w:cs="宋体"/>
                <w:lang w:val="zh-CN"/>
              </w:rPr>
              <w:t>根据“深圳市财政委员会关于规范深圳市社会采购代理机构管理有关事项的补充通知</w:t>
            </w:r>
            <w:r>
              <w:rPr>
                <w:rFonts w:ascii="宋体" w:hAnsi="宋体" w:cs="宋体"/>
              </w:rPr>
              <w:t>(</w:t>
            </w:r>
            <w:r>
              <w:rPr>
                <w:rFonts w:hint="eastAsia" w:ascii="宋体" w:hAnsi="宋体" w:cs="宋体"/>
                <w:lang w:val="zh-CN"/>
              </w:rPr>
              <w:t>深财购</w:t>
            </w:r>
            <w:r>
              <w:rPr>
                <w:rFonts w:ascii="宋体" w:hAnsi="宋体" w:cs="宋体"/>
              </w:rPr>
              <w:t>[2018]27</w:t>
            </w:r>
            <w:r>
              <w:rPr>
                <w:rFonts w:hint="eastAsia" w:ascii="宋体" w:hAnsi="宋体" w:cs="宋体"/>
                <w:lang w:val="zh-CN"/>
              </w:rPr>
              <w:t>号</w:t>
            </w:r>
            <w:r>
              <w:rPr>
                <w:rFonts w:ascii="宋体" w:hAnsi="宋体" w:cs="宋体"/>
              </w:rPr>
              <w:t>)</w:t>
            </w:r>
            <w:r>
              <w:rPr>
                <w:rFonts w:hint="eastAsia" w:ascii="宋体" w:hAnsi="宋体" w:cs="宋体"/>
                <w:lang w:val="zh-CN"/>
              </w:rPr>
              <w:t>”的规定的</w:t>
            </w:r>
            <w:r>
              <w:rPr>
                <w:rFonts w:hint="eastAsia"/>
                <w:color w:val="000000"/>
                <w:szCs w:val="21"/>
                <w:lang w:val="zh-CN"/>
              </w:rPr>
              <w:t>执行</w:t>
            </w:r>
            <w:r>
              <w:rPr>
                <w:rFonts w:hint="eastAsia" w:ascii="宋体" w:hAnsi="宋体" w:cs="宋体"/>
                <w:lang w:val="zh-CN"/>
              </w:rPr>
              <w:t>。招标代理服务收费以中标</w:t>
            </w:r>
            <w:r>
              <w:rPr>
                <w:rFonts w:ascii="宋体" w:hAnsi="宋体" w:cs="宋体"/>
              </w:rPr>
              <w:t>/</w:t>
            </w:r>
            <w:r>
              <w:rPr>
                <w:rFonts w:hint="eastAsia" w:ascii="宋体" w:hAnsi="宋体" w:cs="宋体"/>
                <w:lang w:val="zh-CN"/>
              </w:rPr>
              <w:t>成交通知书公布的中标金额为计算基准</w:t>
            </w:r>
            <w:r>
              <w:rPr>
                <w:rFonts w:ascii="宋体" w:cs="宋体"/>
              </w:rPr>
              <w:t>,</w:t>
            </w:r>
            <w:r>
              <w:rPr>
                <w:rFonts w:hint="eastAsia" w:ascii="宋体" w:hAnsi="宋体" w:cs="宋体"/>
              </w:rPr>
              <w:t>本项目</w:t>
            </w:r>
            <w:r>
              <w:rPr>
                <w:rFonts w:hint="eastAsia" w:ascii="宋体" w:hAnsi="宋体" w:cs="宋体"/>
                <w:lang w:val="zh-CN"/>
              </w:rPr>
              <w:t>招标代理服务收费</w:t>
            </w:r>
            <w:r>
              <w:rPr>
                <w:rFonts w:hint="eastAsia" w:ascii="宋体" w:hAnsi="宋体" w:cs="宋体"/>
              </w:rPr>
              <w:t>由中标人支付，</w:t>
            </w:r>
            <w:r>
              <w:rPr>
                <w:rFonts w:hint="eastAsia" w:ascii="宋体" w:hAnsi="宋体" w:cs="宋体"/>
                <w:lang w:val="zh-CN"/>
              </w:rPr>
              <w:t>按差额定率累进法计算</w:t>
            </w:r>
            <w:r>
              <w:rPr>
                <w:rFonts w:ascii="宋体" w:cs="宋体"/>
              </w:rPr>
              <w:t>,</w:t>
            </w:r>
            <w:r>
              <w:rPr>
                <w:rFonts w:hint="eastAsia" w:ascii="宋体" w:hAnsi="宋体" w:cs="宋体"/>
                <w:lang w:val="zh-CN"/>
              </w:rPr>
              <w:t>作为招标代理服务费。</w:t>
            </w:r>
          </w:p>
          <w:tbl>
            <w:tblPr>
              <w:tblStyle w:val="20"/>
              <w:tblW w:w="65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04"/>
              <w:gridCol w:w="1172"/>
              <w:gridCol w:w="1460"/>
              <w:gridCol w:w="1184"/>
            </w:tblGrid>
            <w:tr w14:paraId="4EF545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04" w:type="dxa"/>
                  <w:vMerge w:val="restart"/>
                  <w:tcBorders>
                    <w:top w:val="single" w:color="auto" w:sz="12" w:space="0"/>
                    <w:left w:val="single" w:color="auto" w:sz="12" w:space="0"/>
                    <w:bottom w:val="single" w:color="auto" w:sz="4" w:space="0"/>
                    <w:right w:val="single" w:color="auto" w:sz="4" w:space="0"/>
                  </w:tcBorders>
                  <w:shd w:val="clear" w:color="auto" w:fill="D7D7D7"/>
                  <w:vAlign w:val="center"/>
                </w:tcPr>
                <w:p w14:paraId="329BD19A">
                  <w:pPr>
                    <w:adjustRightInd w:val="0"/>
                    <w:snapToGrid w:val="0"/>
                    <w:spacing w:line="264" w:lineRule="auto"/>
                    <w:ind w:right="26"/>
                    <w:jc w:val="center"/>
                    <w:rPr>
                      <w:rFonts w:ascii="宋体"/>
                      <w:b/>
                      <w:bCs/>
                    </w:rPr>
                  </w:pPr>
                  <w:r>
                    <w:rPr>
                      <w:rFonts w:hint="eastAsia" w:ascii="宋体" w:hAnsi="宋体" w:cs="宋体"/>
                      <w:b/>
                      <w:bCs/>
                    </w:rPr>
                    <w:t>中标金额（万元）</w:t>
                  </w:r>
                </w:p>
              </w:tc>
              <w:tc>
                <w:tcPr>
                  <w:tcW w:w="3816" w:type="dxa"/>
                  <w:gridSpan w:val="3"/>
                  <w:tcBorders>
                    <w:top w:val="single" w:color="auto" w:sz="12" w:space="0"/>
                    <w:left w:val="single" w:color="auto" w:sz="4" w:space="0"/>
                    <w:bottom w:val="single" w:color="auto" w:sz="4" w:space="0"/>
                    <w:right w:val="single" w:color="auto" w:sz="12" w:space="0"/>
                  </w:tcBorders>
                  <w:shd w:val="clear" w:color="auto" w:fill="D7D7D7"/>
                  <w:vAlign w:val="center"/>
                </w:tcPr>
                <w:p w14:paraId="66CAC4D3">
                  <w:pPr>
                    <w:adjustRightInd w:val="0"/>
                    <w:snapToGrid w:val="0"/>
                    <w:spacing w:line="264" w:lineRule="auto"/>
                    <w:ind w:right="26"/>
                    <w:jc w:val="center"/>
                    <w:rPr>
                      <w:rFonts w:ascii="宋体"/>
                      <w:b/>
                      <w:bCs/>
                    </w:rPr>
                  </w:pPr>
                  <w:r>
                    <w:rPr>
                      <w:rFonts w:hint="eastAsia" w:ascii="宋体" w:hAnsi="宋体" w:cs="宋体"/>
                      <w:b/>
                      <w:bCs/>
                    </w:rPr>
                    <w:t>各类型招标代理服务费计算费率</w:t>
                  </w:r>
                </w:p>
              </w:tc>
            </w:tr>
            <w:tr w14:paraId="21CF94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04" w:type="dxa"/>
                  <w:vMerge w:val="continue"/>
                  <w:tcBorders>
                    <w:top w:val="single" w:color="auto" w:sz="4" w:space="0"/>
                    <w:left w:val="single" w:color="auto" w:sz="12" w:space="0"/>
                    <w:bottom w:val="single" w:color="auto" w:sz="4" w:space="0"/>
                    <w:right w:val="single" w:color="auto" w:sz="4" w:space="0"/>
                  </w:tcBorders>
                  <w:shd w:val="clear" w:color="auto" w:fill="D7D7D7"/>
                  <w:vAlign w:val="center"/>
                </w:tcPr>
                <w:p w14:paraId="1C5C7554">
                  <w:pPr>
                    <w:adjustRightInd w:val="0"/>
                    <w:snapToGrid w:val="0"/>
                    <w:spacing w:line="264" w:lineRule="auto"/>
                    <w:ind w:right="26"/>
                    <w:jc w:val="center"/>
                    <w:rPr>
                      <w:rFonts w:ascii="宋体"/>
                      <w:b/>
                      <w:bCs/>
                    </w:rPr>
                  </w:pPr>
                </w:p>
              </w:tc>
              <w:tc>
                <w:tcPr>
                  <w:tcW w:w="1172" w:type="dxa"/>
                  <w:tcBorders>
                    <w:top w:val="single" w:color="auto" w:sz="4" w:space="0"/>
                    <w:left w:val="single" w:color="auto" w:sz="4" w:space="0"/>
                    <w:bottom w:val="single" w:color="auto" w:sz="4" w:space="0"/>
                    <w:right w:val="single" w:color="auto" w:sz="4" w:space="0"/>
                  </w:tcBorders>
                  <w:shd w:val="clear" w:color="auto" w:fill="D7D7D7"/>
                  <w:vAlign w:val="center"/>
                </w:tcPr>
                <w:p w14:paraId="04C59A90">
                  <w:pPr>
                    <w:adjustRightInd w:val="0"/>
                    <w:snapToGrid w:val="0"/>
                    <w:spacing w:line="264" w:lineRule="auto"/>
                    <w:ind w:right="26"/>
                    <w:jc w:val="center"/>
                    <w:rPr>
                      <w:rFonts w:ascii="宋体"/>
                      <w:b/>
                      <w:bCs/>
                    </w:rPr>
                  </w:pPr>
                  <w:r>
                    <w:rPr>
                      <w:rFonts w:hint="eastAsia" w:ascii="宋体" w:hAnsi="宋体" w:cs="宋体"/>
                      <w:b/>
                      <w:bCs/>
                    </w:rPr>
                    <w:t>货物招标</w:t>
                  </w:r>
                </w:p>
              </w:tc>
              <w:tc>
                <w:tcPr>
                  <w:tcW w:w="1460" w:type="dxa"/>
                  <w:tcBorders>
                    <w:top w:val="single" w:color="auto" w:sz="4" w:space="0"/>
                    <w:left w:val="single" w:color="auto" w:sz="4" w:space="0"/>
                    <w:bottom w:val="single" w:color="auto" w:sz="4" w:space="0"/>
                    <w:right w:val="single" w:color="auto" w:sz="4" w:space="0"/>
                  </w:tcBorders>
                  <w:shd w:val="clear" w:color="auto" w:fill="D7D7D7"/>
                  <w:vAlign w:val="center"/>
                </w:tcPr>
                <w:p w14:paraId="054ED603">
                  <w:pPr>
                    <w:adjustRightInd w:val="0"/>
                    <w:snapToGrid w:val="0"/>
                    <w:spacing w:line="264" w:lineRule="auto"/>
                    <w:ind w:right="26"/>
                    <w:jc w:val="center"/>
                    <w:rPr>
                      <w:rFonts w:ascii="宋体"/>
                      <w:b/>
                      <w:bCs/>
                    </w:rPr>
                  </w:pPr>
                  <w:r>
                    <w:rPr>
                      <w:rFonts w:hint="eastAsia" w:ascii="宋体" w:hAnsi="宋体" w:cs="宋体"/>
                      <w:b/>
                      <w:bCs/>
                    </w:rPr>
                    <w:t>服务招标</w:t>
                  </w:r>
                </w:p>
              </w:tc>
              <w:tc>
                <w:tcPr>
                  <w:tcW w:w="1184" w:type="dxa"/>
                  <w:tcBorders>
                    <w:top w:val="single" w:color="auto" w:sz="4" w:space="0"/>
                    <w:left w:val="single" w:color="auto" w:sz="4" w:space="0"/>
                    <w:bottom w:val="single" w:color="auto" w:sz="4" w:space="0"/>
                    <w:right w:val="single" w:color="auto" w:sz="12" w:space="0"/>
                  </w:tcBorders>
                  <w:shd w:val="clear" w:color="auto" w:fill="D7D7D7"/>
                  <w:vAlign w:val="center"/>
                </w:tcPr>
                <w:p w14:paraId="6756FB5B">
                  <w:pPr>
                    <w:adjustRightInd w:val="0"/>
                    <w:snapToGrid w:val="0"/>
                    <w:spacing w:line="264" w:lineRule="auto"/>
                    <w:ind w:right="26"/>
                    <w:jc w:val="center"/>
                    <w:rPr>
                      <w:rFonts w:ascii="宋体"/>
                      <w:b/>
                      <w:bCs/>
                    </w:rPr>
                  </w:pPr>
                  <w:r>
                    <w:rPr>
                      <w:rFonts w:hint="eastAsia" w:ascii="宋体" w:hAnsi="宋体" w:cs="宋体"/>
                      <w:b/>
                      <w:bCs/>
                    </w:rPr>
                    <w:t>工程招标</w:t>
                  </w:r>
                </w:p>
              </w:tc>
            </w:tr>
            <w:tr w14:paraId="562F9F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04" w:type="dxa"/>
                  <w:tcBorders>
                    <w:top w:val="single" w:color="auto" w:sz="4" w:space="0"/>
                    <w:left w:val="single" w:color="auto" w:sz="12" w:space="0"/>
                    <w:bottom w:val="single" w:color="auto" w:sz="4" w:space="0"/>
                    <w:right w:val="single" w:color="auto" w:sz="4" w:space="0"/>
                  </w:tcBorders>
                  <w:vAlign w:val="center"/>
                </w:tcPr>
                <w:p w14:paraId="7C8B55D4">
                  <w:pPr>
                    <w:adjustRightInd w:val="0"/>
                    <w:snapToGrid w:val="0"/>
                    <w:spacing w:line="264" w:lineRule="auto"/>
                    <w:ind w:right="26"/>
                    <w:rPr>
                      <w:rFonts w:ascii="宋体"/>
                    </w:rPr>
                  </w:pPr>
                  <w:r>
                    <w:rPr>
                      <w:rFonts w:ascii="宋体" w:hAnsi="宋体" w:cs="宋体"/>
                    </w:rPr>
                    <w:t>100</w:t>
                  </w:r>
                  <w:r>
                    <w:rPr>
                      <w:rFonts w:hint="eastAsia" w:ascii="宋体" w:hAnsi="宋体" w:cs="宋体"/>
                    </w:rPr>
                    <w:t>万元以下</w:t>
                  </w:r>
                </w:p>
              </w:tc>
              <w:tc>
                <w:tcPr>
                  <w:tcW w:w="1172" w:type="dxa"/>
                  <w:tcBorders>
                    <w:top w:val="single" w:color="auto" w:sz="4" w:space="0"/>
                    <w:left w:val="single" w:color="auto" w:sz="4" w:space="0"/>
                    <w:bottom w:val="single" w:color="auto" w:sz="4" w:space="0"/>
                    <w:right w:val="single" w:color="auto" w:sz="4" w:space="0"/>
                  </w:tcBorders>
                  <w:vAlign w:val="center"/>
                </w:tcPr>
                <w:p w14:paraId="497D3E33">
                  <w:pPr>
                    <w:adjustRightInd w:val="0"/>
                    <w:snapToGrid w:val="0"/>
                    <w:spacing w:line="264" w:lineRule="auto"/>
                    <w:ind w:right="26"/>
                    <w:jc w:val="center"/>
                    <w:rPr>
                      <w:rFonts w:ascii="宋体"/>
                    </w:rPr>
                  </w:pPr>
                  <w:r>
                    <w:rPr>
                      <w:rFonts w:ascii="宋体" w:hAnsi="宋体" w:cs="宋体"/>
                    </w:rPr>
                    <w:t>1.5%</w:t>
                  </w:r>
                </w:p>
              </w:tc>
              <w:tc>
                <w:tcPr>
                  <w:tcW w:w="1460" w:type="dxa"/>
                  <w:tcBorders>
                    <w:top w:val="single" w:color="auto" w:sz="4" w:space="0"/>
                    <w:left w:val="single" w:color="auto" w:sz="4" w:space="0"/>
                    <w:bottom w:val="single" w:color="auto" w:sz="4" w:space="0"/>
                    <w:right w:val="single" w:color="auto" w:sz="4" w:space="0"/>
                  </w:tcBorders>
                  <w:vAlign w:val="center"/>
                </w:tcPr>
                <w:p w14:paraId="0BB25B4E">
                  <w:pPr>
                    <w:adjustRightInd w:val="0"/>
                    <w:snapToGrid w:val="0"/>
                    <w:spacing w:line="264" w:lineRule="auto"/>
                    <w:ind w:right="26"/>
                    <w:jc w:val="center"/>
                    <w:rPr>
                      <w:rFonts w:ascii="宋体"/>
                    </w:rPr>
                  </w:pPr>
                  <w:r>
                    <w:rPr>
                      <w:rFonts w:ascii="宋体" w:hAnsi="宋体" w:cs="宋体"/>
                    </w:rPr>
                    <w:t>1.5%</w:t>
                  </w:r>
                </w:p>
              </w:tc>
              <w:tc>
                <w:tcPr>
                  <w:tcW w:w="1184" w:type="dxa"/>
                  <w:tcBorders>
                    <w:top w:val="single" w:color="auto" w:sz="4" w:space="0"/>
                    <w:left w:val="single" w:color="auto" w:sz="4" w:space="0"/>
                    <w:bottom w:val="single" w:color="auto" w:sz="4" w:space="0"/>
                    <w:right w:val="single" w:color="auto" w:sz="12" w:space="0"/>
                  </w:tcBorders>
                  <w:vAlign w:val="center"/>
                </w:tcPr>
                <w:p w14:paraId="13179521">
                  <w:pPr>
                    <w:adjustRightInd w:val="0"/>
                    <w:snapToGrid w:val="0"/>
                    <w:spacing w:line="264" w:lineRule="auto"/>
                    <w:ind w:right="26"/>
                    <w:jc w:val="center"/>
                    <w:rPr>
                      <w:rFonts w:ascii="宋体"/>
                    </w:rPr>
                  </w:pPr>
                  <w:r>
                    <w:rPr>
                      <w:rFonts w:ascii="宋体" w:hAnsi="宋体" w:cs="宋体"/>
                    </w:rPr>
                    <w:t>1.0%</w:t>
                  </w:r>
                </w:p>
              </w:tc>
            </w:tr>
            <w:tr w14:paraId="4C4C13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2704" w:type="dxa"/>
                  <w:tcBorders>
                    <w:top w:val="single" w:color="auto" w:sz="4" w:space="0"/>
                    <w:left w:val="single" w:color="auto" w:sz="12" w:space="0"/>
                    <w:bottom w:val="single" w:color="auto" w:sz="4" w:space="0"/>
                    <w:right w:val="single" w:color="auto" w:sz="4" w:space="0"/>
                  </w:tcBorders>
                  <w:vAlign w:val="center"/>
                </w:tcPr>
                <w:p w14:paraId="40FCA017">
                  <w:pPr>
                    <w:adjustRightInd w:val="0"/>
                    <w:snapToGrid w:val="0"/>
                    <w:spacing w:line="264" w:lineRule="auto"/>
                    <w:ind w:right="26"/>
                    <w:rPr>
                      <w:rFonts w:ascii="宋体"/>
                    </w:rPr>
                  </w:pPr>
                  <w:r>
                    <w:rPr>
                      <w:rFonts w:ascii="宋体" w:hAnsi="宋体" w:cs="宋体"/>
                    </w:rPr>
                    <w:t>100</w:t>
                  </w:r>
                  <w:r>
                    <w:rPr>
                      <w:rFonts w:hint="eastAsia" w:ascii="宋体" w:hAnsi="宋体" w:cs="宋体"/>
                    </w:rPr>
                    <w:t>万元（含）</w:t>
                  </w:r>
                  <w:r>
                    <w:rPr>
                      <w:rFonts w:ascii="宋体" w:hAnsi="宋体" w:cs="宋体"/>
                    </w:rPr>
                    <w:t>-500</w:t>
                  </w:r>
                  <w:r>
                    <w:rPr>
                      <w:rFonts w:hint="eastAsia" w:ascii="宋体" w:hAnsi="宋体" w:cs="宋体"/>
                    </w:rPr>
                    <w:t>万元</w:t>
                  </w:r>
                </w:p>
              </w:tc>
              <w:tc>
                <w:tcPr>
                  <w:tcW w:w="1172" w:type="dxa"/>
                  <w:tcBorders>
                    <w:top w:val="single" w:color="auto" w:sz="4" w:space="0"/>
                    <w:left w:val="single" w:color="auto" w:sz="4" w:space="0"/>
                    <w:bottom w:val="single" w:color="auto" w:sz="4" w:space="0"/>
                    <w:right w:val="single" w:color="auto" w:sz="4" w:space="0"/>
                  </w:tcBorders>
                  <w:vAlign w:val="center"/>
                </w:tcPr>
                <w:p w14:paraId="08C775D8">
                  <w:pPr>
                    <w:adjustRightInd w:val="0"/>
                    <w:snapToGrid w:val="0"/>
                    <w:spacing w:line="264" w:lineRule="auto"/>
                    <w:ind w:right="26"/>
                    <w:jc w:val="center"/>
                    <w:rPr>
                      <w:rFonts w:ascii="宋体"/>
                    </w:rPr>
                  </w:pPr>
                  <w:r>
                    <w:rPr>
                      <w:rFonts w:ascii="宋体" w:hAnsi="宋体" w:cs="宋体"/>
                    </w:rPr>
                    <w:t>1.1%</w:t>
                  </w:r>
                </w:p>
              </w:tc>
              <w:tc>
                <w:tcPr>
                  <w:tcW w:w="1460" w:type="dxa"/>
                  <w:tcBorders>
                    <w:top w:val="single" w:color="auto" w:sz="4" w:space="0"/>
                    <w:left w:val="single" w:color="auto" w:sz="4" w:space="0"/>
                    <w:bottom w:val="single" w:color="auto" w:sz="4" w:space="0"/>
                    <w:right w:val="single" w:color="auto" w:sz="4" w:space="0"/>
                  </w:tcBorders>
                  <w:vAlign w:val="center"/>
                </w:tcPr>
                <w:p w14:paraId="157279CA">
                  <w:pPr>
                    <w:adjustRightInd w:val="0"/>
                    <w:snapToGrid w:val="0"/>
                    <w:spacing w:line="264" w:lineRule="auto"/>
                    <w:ind w:right="26"/>
                    <w:jc w:val="center"/>
                    <w:rPr>
                      <w:rFonts w:ascii="宋体"/>
                    </w:rPr>
                  </w:pPr>
                  <w:r>
                    <w:rPr>
                      <w:rFonts w:ascii="宋体" w:hAnsi="宋体" w:cs="宋体"/>
                    </w:rPr>
                    <w:t>0.8%</w:t>
                  </w:r>
                </w:p>
              </w:tc>
              <w:tc>
                <w:tcPr>
                  <w:tcW w:w="1184" w:type="dxa"/>
                  <w:tcBorders>
                    <w:top w:val="single" w:color="auto" w:sz="4" w:space="0"/>
                    <w:left w:val="single" w:color="auto" w:sz="4" w:space="0"/>
                    <w:bottom w:val="single" w:color="auto" w:sz="4" w:space="0"/>
                    <w:right w:val="single" w:color="auto" w:sz="12" w:space="0"/>
                  </w:tcBorders>
                  <w:vAlign w:val="center"/>
                </w:tcPr>
                <w:p w14:paraId="5D64C341">
                  <w:pPr>
                    <w:adjustRightInd w:val="0"/>
                    <w:snapToGrid w:val="0"/>
                    <w:spacing w:line="264" w:lineRule="auto"/>
                    <w:ind w:right="26"/>
                    <w:jc w:val="center"/>
                    <w:rPr>
                      <w:rFonts w:ascii="宋体"/>
                    </w:rPr>
                  </w:pPr>
                  <w:r>
                    <w:rPr>
                      <w:rFonts w:ascii="宋体" w:hAnsi="宋体" w:cs="宋体"/>
                    </w:rPr>
                    <w:t>0.7%</w:t>
                  </w:r>
                </w:p>
              </w:tc>
            </w:tr>
            <w:tr w14:paraId="776286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04" w:type="dxa"/>
                  <w:tcBorders>
                    <w:top w:val="single" w:color="auto" w:sz="4" w:space="0"/>
                    <w:left w:val="single" w:color="auto" w:sz="12" w:space="0"/>
                    <w:bottom w:val="single" w:color="auto" w:sz="4" w:space="0"/>
                    <w:right w:val="single" w:color="auto" w:sz="4" w:space="0"/>
                  </w:tcBorders>
                  <w:vAlign w:val="center"/>
                </w:tcPr>
                <w:p w14:paraId="13121055">
                  <w:pPr>
                    <w:adjustRightInd w:val="0"/>
                    <w:snapToGrid w:val="0"/>
                    <w:spacing w:line="264" w:lineRule="auto"/>
                    <w:ind w:right="26"/>
                    <w:rPr>
                      <w:rFonts w:ascii="宋体"/>
                    </w:rPr>
                  </w:pPr>
                  <w:r>
                    <w:rPr>
                      <w:rFonts w:ascii="宋体" w:hAnsi="宋体" w:cs="宋体"/>
                    </w:rPr>
                    <w:t>500</w:t>
                  </w:r>
                  <w:r>
                    <w:rPr>
                      <w:rFonts w:hint="eastAsia" w:ascii="宋体" w:hAnsi="宋体" w:cs="宋体"/>
                    </w:rPr>
                    <w:t>万元（含）</w:t>
                  </w:r>
                  <w:r>
                    <w:rPr>
                      <w:rFonts w:ascii="宋体" w:hAnsi="宋体" w:cs="宋体"/>
                    </w:rPr>
                    <w:t>-1000</w:t>
                  </w:r>
                  <w:r>
                    <w:rPr>
                      <w:rFonts w:hint="eastAsia" w:ascii="宋体" w:hAnsi="宋体" w:cs="宋体"/>
                    </w:rPr>
                    <w:t>万元</w:t>
                  </w:r>
                </w:p>
              </w:tc>
              <w:tc>
                <w:tcPr>
                  <w:tcW w:w="1172" w:type="dxa"/>
                  <w:tcBorders>
                    <w:top w:val="single" w:color="auto" w:sz="4" w:space="0"/>
                    <w:left w:val="single" w:color="auto" w:sz="4" w:space="0"/>
                    <w:bottom w:val="single" w:color="auto" w:sz="4" w:space="0"/>
                    <w:right w:val="single" w:color="auto" w:sz="4" w:space="0"/>
                  </w:tcBorders>
                  <w:vAlign w:val="center"/>
                </w:tcPr>
                <w:p w14:paraId="751911F8">
                  <w:pPr>
                    <w:adjustRightInd w:val="0"/>
                    <w:snapToGrid w:val="0"/>
                    <w:spacing w:line="264" w:lineRule="auto"/>
                    <w:ind w:right="26"/>
                    <w:jc w:val="center"/>
                    <w:rPr>
                      <w:rFonts w:ascii="宋体"/>
                    </w:rPr>
                  </w:pPr>
                  <w:r>
                    <w:rPr>
                      <w:rFonts w:ascii="宋体" w:hAnsi="宋体" w:cs="宋体"/>
                    </w:rPr>
                    <w:t>0.8%</w:t>
                  </w:r>
                </w:p>
              </w:tc>
              <w:tc>
                <w:tcPr>
                  <w:tcW w:w="1460" w:type="dxa"/>
                  <w:tcBorders>
                    <w:top w:val="single" w:color="auto" w:sz="4" w:space="0"/>
                    <w:left w:val="single" w:color="auto" w:sz="4" w:space="0"/>
                    <w:bottom w:val="single" w:color="auto" w:sz="4" w:space="0"/>
                    <w:right w:val="single" w:color="auto" w:sz="4" w:space="0"/>
                  </w:tcBorders>
                  <w:vAlign w:val="center"/>
                </w:tcPr>
                <w:p w14:paraId="0404F9B8">
                  <w:pPr>
                    <w:adjustRightInd w:val="0"/>
                    <w:snapToGrid w:val="0"/>
                    <w:spacing w:line="264" w:lineRule="auto"/>
                    <w:ind w:right="26"/>
                    <w:jc w:val="center"/>
                    <w:rPr>
                      <w:rFonts w:ascii="宋体"/>
                    </w:rPr>
                  </w:pPr>
                  <w:r>
                    <w:rPr>
                      <w:rFonts w:ascii="宋体" w:hAnsi="宋体" w:cs="宋体"/>
                    </w:rPr>
                    <w:t>0.45%</w:t>
                  </w:r>
                </w:p>
              </w:tc>
              <w:tc>
                <w:tcPr>
                  <w:tcW w:w="1184" w:type="dxa"/>
                  <w:tcBorders>
                    <w:top w:val="single" w:color="auto" w:sz="4" w:space="0"/>
                    <w:left w:val="single" w:color="auto" w:sz="4" w:space="0"/>
                    <w:bottom w:val="single" w:color="auto" w:sz="4" w:space="0"/>
                    <w:right w:val="single" w:color="auto" w:sz="12" w:space="0"/>
                  </w:tcBorders>
                  <w:vAlign w:val="center"/>
                </w:tcPr>
                <w:p w14:paraId="0380537D">
                  <w:pPr>
                    <w:adjustRightInd w:val="0"/>
                    <w:snapToGrid w:val="0"/>
                    <w:spacing w:line="264" w:lineRule="auto"/>
                    <w:ind w:right="26"/>
                    <w:jc w:val="center"/>
                    <w:rPr>
                      <w:rFonts w:ascii="宋体"/>
                    </w:rPr>
                  </w:pPr>
                  <w:r>
                    <w:rPr>
                      <w:rFonts w:ascii="宋体" w:hAnsi="宋体" w:cs="宋体"/>
                    </w:rPr>
                    <w:t>0.55%</w:t>
                  </w:r>
                </w:p>
              </w:tc>
            </w:tr>
            <w:tr w14:paraId="0B68A6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04" w:type="dxa"/>
                  <w:tcBorders>
                    <w:top w:val="single" w:color="auto" w:sz="4" w:space="0"/>
                    <w:left w:val="single" w:color="auto" w:sz="12" w:space="0"/>
                    <w:bottom w:val="single" w:color="auto" w:sz="4" w:space="0"/>
                    <w:right w:val="single" w:color="auto" w:sz="4" w:space="0"/>
                  </w:tcBorders>
                  <w:vAlign w:val="center"/>
                </w:tcPr>
                <w:p w14:paraId="206F8BFF">
                  <w:pPr>
                    <w:adjustRightInd w:val="0"/>
                    <w:snapToGrid w:val="0"/>
                    <w:spacing w:line="264" w:lineRule="auto"/>
                    <w:ind w:right="26"/>
                    <w:rPr>
                      <w:rFonts w:ascii="宋体"/>
                    </w:rPr>
                  </w:pPr>
                  <w:r>
                    <w:rPr>
                      <w:rFonts w:ascii="宋体" w:hAnsi="宋体" w:cs="宋体"/>
                    </w:rPr>
                    <w:t>1000</w:t>
                  </w:r>
                  <w:r>
                    <w:rPr>
                      <w:rFonts w:hint="eastAsia" w:ascii="宋体" w:hAnsi="宋体" w:cs="宋体"/>
                    </w:rPr>
                    <w:t>万元（含）</w:t>
                  </w:r>
                  <w:r>
                    <w:rPr>
                      <w:rFonts w:ascii="宋体" w:hAnsi="宋体" w:cs="宋体"/>
                    </w:rPr>
                    <w:t>-5000</w:t>
                  </w:r>
                  <w:r>
                    <w:rPr>
                      <w:rFonts w:hint="eastAsia" w:ascii="宋体" w:hAnsi="宋体" w:cs="宋体"/>
                    </w:rPr>
                    <w:t>万元</w:t>
                  </w:r>
                </w:p>
              </w:tc>
              <w:tc>
                <w:tcPr>
                  <w:tcW w:w="1172" w:type="dxa"/>
                  <w:tcBorders>
                    <w:top w:val="single" w:color="auto" w:sz="4" w:space="0"/>
                    <w:left w:val="single" w:color="auto" w:sz="4" w:space="0"/>
                    <w:bottom w:val="single" w:color="auto" w:sz="4" w:space="0"/>
                    <w:right w:val="single" w:color="auto" w:sz="4" w:space="0"/>
                  </w:tcBorders>
                  <w:vAlign w:val="center"/>
                </w:tcPr>
                <w:p w14:paraId="0440D3DE">
                  <w:pPr>
                    <w:adjustRightInd w:val="0"/>
                    <w:snapToGrid w:val="0"/>
                    <w:spacing w:line="264" w:lineRule="auto"/>
                    <w:ind w:right="26"/>
                    <w:jc w:val="center"/>
                    <w:rPr>
                      <w:rFonts w:ascii="宋体"/>
                    </w:rPr>
                  </w:pPr>
                  <w:r>
                    <w:rPr>
                      <w:rFonts w:ascii="宋体" w:hAnsi="宋体" w:cs="宋体"/>
                    </w:rPr>
                    <w:t>0.5%</w:t>
                  </w:r>
                </w:p>
              </w:tc>
              <w:tc>
                <w:tcPr>
                  <w:tcW w:w="1460" w:type="dxa"/>
                  <w:tcBorders>
                    <w:top w:val="single" w:color="auto" w:sz="4" w:space="0"/>
                    <w:left w:val="single" w:color="auto" w:sz="4" w:space="0"/>
                    <w:bottom w:val="single" w:color="auto" w:sz="4" w:space="0"/>
                    <w:right w:val="single" w:color="auto" w:sz="4" w:space="0"/>
                  </w:tcBorders>
                  <w:vAlign w:val="center"/>
                </w:tcPr>
                <w:p w14:paraId="52D924FD">
                  <w:pPr>
                    <w:adjustRightInd w:val="0"/>
                    <w:snapToGrid w:val="0"/>
                    <w:spacing w:line="264" w:lineRule="auto"/>
                    <w:ind w:right="26"/>
                    <w:jc w:val="center"/>
                    <w:rPr>
                      <w:rFonts w:ascii="宋体"/>
                    </w:rPr>
                  </w:pPr>
                  <w:r>
                    <w:rPr>
                      <w:rFonts w:ascii="宋体" w:hAnsi="宋体" w:cs="宋体"/>
                    </w:rPr>
                    <w:t>0.25%</w:t>
                  </w:r>
                </w:p>
              </w:tc>
              <w:tc>
                <w:tcPr>
                  <w:tcW w:w="1184" w:type="dxa"/>
                  <w:tcBorders>
                    <w:top w:val="single" w:color="auto" w:sz="4" w:space="0"/>
                    <w:left w:val="single" w:color="auto" w:sz="4" w:space="0"/>
                    <w:bottom w:val="single" w:color="auto" w:sz="4" w:space="0"/>
                    <w:right w:val="single" w:color="auto" w:sz="12" w:space="0"/>
                  </w:tcBorders>
                  <w:vAlign w:val="center"/>
                </w:tcPr>
                <w:p w14:paraId="61481B5F">
                  <w:pPr>
                    <w:adjustRightInd w:val="0"/>
                    <w:snapToGrid w:val="0"/>
                    <w:spacing w:line="264" w:lineRule="auto"/>
                    <w:ind w:right="26"/>
                    <w:jc w:val="center"/>
                    <w:rPr>
                      <w:rFonts w:ascii="宋体"/>
                    </w:rPr>
                  </w:pPr>
                  <w:r>
                    <w:rPr>
                      <w:rFonts w:ascii="宋体" w:hAnsi="宋体" w:cs="宋体"/>
                    </w:rPr>
                    <w:t>0.35%</w:t>
                  </w:r>
                </w:p>
              </w:tc>
            </w:tr>
            <w:tr w14:paraId="27AC86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04" w:type="dxa"/>
                  <w:tcBorders>
                    <w:top w:val="single" w:color="auto" w:sz="4" w:space="0"/>
                    <w:left w:val="single" w:color="auto" w:sz="12" w:space="0"/>
                    <w:bottom w:val="single" w:color="auto" w:sz="4" w:space="0"/>
                    <w:right w:val="single" w:color="auto" w:sz="4" w:space="0"/>
                  </w:tcBorders>
                  <w:vAlign w:val="center"/>
                </w:tcPr>
                <w:p w14:paraId="5DD0DE9B">
                  <w:pPr>
                    <w:adjustRightInd w:val="0"/>
                    <w:snapToGrid w:val="0"/>
                    <w:spacing w:line="264" w:lineRule="auto"/>
                    <w:ind w:right="26"/>
                    <w:rPr>
                      <w:rFonts w:ascii="宋体"/>
                    </w:rPr>
                  </w:pPr>
                  <w:r>
                    <w:rPr>
                      <w:rFonts w:ascii="宋体" w:hAnsi="宋体" w:cs="宋体"/>
                    </w:rPr>
                    <w:t>5000</w:t>
                  </w:r>
                  <w:r>
                    <w:rPr>
                      <w:rFonts w:hint="eastAsia" w:ascii="宋体" w:hAnsi="宋体" w:cs="宋体"/>
                    </w:rPr>
                    <w:t>万元（含）</w:t>
                  </w:r>
                  <w:r>
                    <w:rPr>
                      <w:rFonts w:ascii="宋体" w:hAnsi="宋体" w:cs="宋体"/>
                    </w:rPr>
                    <w:t>-1</w:t>
                  </w:r>
                  <w:r>
                    <w:rPr>
                      <w:rFonts w:hint="eastAsia" w:ascii="宋体" w:hAnsi="宋体" w:cs="宋体"/>
                    </w:rPr>
                    <w:t>亿元</w:t>
                  </w:r>
                </w:p>
              </w:tc>
              <w:tc>
                <w:tcPr>
                  <w:tcW w:w="1172" w:type="dxa"/>
                  <w:tcBorders>
                    <w:top w:val="single" w:color="auto" w:sz="4" w:space="0"/>
                    <w:left w:val="single" w:color="auto" w:sz="4" w:space="0"/>
                    <w:bottom w:val="single" w:color="auto" w:sz="4" w:space="0"/>
                    <w:right w:val="single" w:color="auto" w:sz="4" w:space="0"/>
                  </w:tcBorders>
                  <w:vAlign w:val="center"/>
                </w:tcPr>
                <w:p w14:paraId="63E5068D">
                  <w:pPr>
                    <w:adjustRightInd w:val="0"/>
                    <w:snapToGrid w:val="0"/>
                    <w:spacing w:line="264" w:lineRule="auto"/>
                    <w:ind w:right="26"/>
                    <w:jc w:val="center"/>
                    <w:rPr>
                      <w:rFonts w:ascii="宋体"/>
                    </w:rPr>
                  </w:pPr>
                  <w:r>
                    <w:rPr>
                      <w:rFonts w:ascii="宋体" w:hAnsi="宋体" w:cs="宋体"/>
                    </w:rPr>
                    <w:t>0.25%</w:t>
                  </w:r>
                </w:p>
              </w:tc>
              <w:tc>
                <w:tcPr>
                  <w:tcW w:w="1460" w:type="dxa"/>
                  <w:tcBorders>
                    <w:top w:val="single" w:color="auto" w:sz="4" w:space="0"/>
                    <w:left w:val="single" w:color="auto" w:sz="4" w:space="0"/>
                    <w:bottom w:val="single" w:color="auto" w:sz="4" w:space="0"/>
                    <w:right w:val="single" w:color="auto" w:sz="4" w:space="0"/>
                  </w:tcBorders>
                  <w:vAlign w:val="center"/>
                </w:tcPr>
                <w:p w14:paraId="5E97A4E1">
                  <w:pPr>
                    <w:adjustRightInd w:val="0"/>
                    <w:snapToGrid w:val="0"/>
                    <w:spacing w:line="264" w:lineRule="auto"/>
                    <w:ind w:right="26"/>
                    <w:jc w:val="center"/>
                    <w:rPr>
                      <w:rFonts w:ascii="宋体"/>
                    </w:rPr>
                  </w:pPr>
                  <w:r>
                    <w:rPr>
                      <w:rFonts w:ascii="宋体" w:hAnsi="宋体" w:cs="宋体"/>
                    </w:rPr>
                    <w:t>0.1%</w:t>
                  </w:r>
                </w:p>
              </w:tc>
              <w:tc>
                <w:tcPr>
                  <w:tcW w:w="1184" w:type="dxa"/>
                  <w:tcBorders>
                    <w:top w:val="single" w:color="auto" w:sz="4" w:space="0"/>
                    <w:left w:val="single" w:color="auto" w:sz="4" w:space="0"/>
                    <w:bottom w:val="single" w:color="auto" w:sz="4" w:space="0"/>
                    <w:right w:val="single" w:color="auto" w:sz="12" w:space="0"/>
                  </w:tcBorders>
                  <w:vAlign w:val="center"/>
                </w:tcPr>
                <w:p w14:paraId="1B69B444">
                  <w:pPr>
                    <w:adjustRightInd w:val="0"/>
                    <w:snapToGrid w:val="0"/>
                    <w:spacing w:line="264" w:lineRule="auto"/>
                    <w:ind w:right="26"/>
                    <w:jc w:val="center"/>
                    <w:rPr>
                      <w:rFonts w:ascii="宋体"/>
                    </w:rPr>
                  </w:pPr>
                  <w:r>
                    <w:rPr>
                      <w:rFonts w:ascii="宋体" w:hAnsi="宋体" w:cs="宋体"/>
                    </w:rPr>
                    <w:t>0.2%</w:t>
                  </w:r>
                </w:p>
              </w:tc>
            </w:tr>
            <w:tr w14:paraId="7A3FAF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04" w:type="dxa"/>
                  <w:tcBorders>
                    <w:top w:val="single" w:color="auto" w:sz="4" w:space="0"/>
                    <w:left w:val="single" w:color="auto" w:sz="12" w:space="0"/>
                    <w:bottom w:val="single" w:color="auto" w:sz="4" w:space="0"/>
                    <w:right w:val="single" w:color="auto" w:sz="4" w:space="0"/>
                  </w:tcBorders>
                  <w:vAlign w:val="center"/>
                </w:tcPr>
                <w:p w14:paraId="4EA84911">
                  <w:pPr>
                    <w:adjustRightInd w:val="0"/>
                    <w:snapToGrid w:val="0"/>
                    <w:spacing w:line="264" w:lineRule="auto"/>
                    <w:ind w:right="26"/>
                    <w:rPr>
                      <w:rFonts w:ascii="宋体"/>
                    </w:rPr>
                  </w:pPr>
                  <w:r>
                    <w:rPr>
                      <w:rFonts w:ascii="宋体" w:hAnsi="宋体" w:cs="宋体"/>
                    </w:rPr>
                    <w:t>1</w:t>
                  </w:r>
                  <w:r>
                    <w:rPr>
                      <w:rFonts w:hint="eastAsia" w:ascii="宋体" w:hAnsi="宋体" w:cs="宋体"/>
                    </w:rPr>
                    <w:t>亿元（含）</w:t>
                  </w:r>
                  <w:r>
                    <w:rPr>
                      <w:rFonts w:ascii="宋体" w:hAnsi="宋体" w:cs="宋体"/>
                    </w:rPr>
                    <w:t>-5</w:t>
                  </w:r>
                  <w:r>
                    <w:rPr>
                      <w:rFonts w:hint="eastAsia" w:ascii="宋体" w:hAnsi="宋体" w:cs="宋体"/>
                    </w:rPr>
                    <w:t>亿元</w:t>
                  </w:r>
                </w:p>
              </w:tc>
              <w:tc>
                <w:tcPr>
                  <w:tcW w:w="1172" w:type="dxa"/>
                  <w:tcBorders>
                    <w:top w:val="single" w:color="auto" w:sz="4" w:space="0"/>
                    <w:left w:val="single" w:color="auto" w:sz="4" w:space="0"/>
                    <w:bottom w:val="single" w:color="auto" w:sz="4" w:space="0"/>
                    <w:right w:val="single" w:color="auto" w:sz="4" w:space="0"/>
                  </w:tcBorders>
                  <w:vAlign w:val="center"/>
                </w:tcPr>
                <w:p w14:paraId="4A6BCE78">
                  <w:pPr>
                    <w:adjustRightInd w:val="0"/>
                    <w:snapToGrid w:val="0"/>
                    <w:spacing w:line="264" w:lineRule="auto"/>
                    <w:ind w:right="26"/>
                    <w:jc w:val="center"/>
                    <w:rPr>
                      <w:rFonts w:ascii="宋体"/>
                    </w:rPr>
                  </w:pPr>
                  <w:r>
                    <w:rPr>
                      <w:rFonts w:ascii="宋体" w:hAnsi="宋体" w:cs="宋体"/>
                    </w:rPr>
                    <w:t>0.05%</w:t>
                  </w:r>
                </w:p>
              </w:tc>
              <w:tc>
                <w:tcPr>
                  <w:tcW w:w="1460" w:type="dxa"/>
                  <w:tcBorders>
                    <w:top w:val="single" w:color="auto" w:sz="4" w:space="0"/>
                    <w:left w:val="single" w:color="auto" w:sz="4" w:space="0"/>
                    <w:bottom w:val="single" w:color="auto" w:sz="4" w:space="0"/>
                    <w:right w:val="single" w:color="auto" w:sz="4" w:space="0"/>
                  </w:tcBorders>
                  <w:vAlign w:val="center"/>
                </w:tcPr>
                <w:p w14:paraId="205FFF81">
                  <w:pPr>
                    <w:adjustRightInd w:val="0"/>
                    <w:snapToGrid w:val="0"/>
                    <w:spacing w:line="264" w:lineRule="auto"/>
                    <w:ind w:right="26"/>
                    <w:jc w:val="center"/>
                    <w:rPr>
                      <w:rFonts w:ascii="宋体"/>
                    </w:rPr>
                  </w:pPr>
                  <w:r>
                    <w:rPr>
                      <w:rFonts w:ascii="宋体" w:hAnsi="宋体" w:cs="宋体"/>
                    </w:rPr>
                    <w:t>0.05%</w:t>
                  </w:r>
                </w:p>
              </w:tc>
              <w:tc>
                <w:tcPr>
                  <w:tcW w:w="1184" w:type="dxa"/>
                  <w:tcBorders>
                    <w:top w:val="single" w:color="auto" w:sz="4" w:space="0"/>
                    <w:left w:val="single" w:color="auto" w:sz="4" w:space="0"/>
                    <w:bottom w:val="single" w:color="auto" w:sz="4" w:space="0"/>
                    <w:right w:val="single" w:color="auto" w:sz="12" w:space="0"/>
                  </w:tcBorders>
                  <w:vAlign w:val="center"/>
                </w:tcPr>
                <w:p w14:paraId="083C7531">
                  <w:pPr>
                    <w:adjustRightInd w:val="0"/>
                    <w:snapToGrid w:val="0"/>
                    <w:spacing w:line="264" w:lineRule="auto"/>
                    <w:ind w:right="26"/>
                    <w:jc w:val="center"/>
                    <w:rPr>
                      <w:rFonts w:ascii="宋体"/>
                    </w:rPr>
                  </w:pPr>
                  <w:r>
                    <w:rPr>
                      <w:rFonts w:ascii="宋体" w:hAnsi="宋体" w:cs="宋体"/>
                    </w:rPr>
                    <w:t>0.05%</w:t>
                  </w:r>
                </w:p>
              </w:tc>
            </w:tr>
            <w:tr w14:paraId="0A4637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04" w:type="dxa"/>
                  <w:tcBorders>
                    <w:top w:val="single" w:color="auto" w:sz="4" w:space="0"/>
                    <w:left w:val="single" w:color="auto" w:sz="12" w:space="0"/>
                    <w:bottom w:val="single" w:color="auto" w:sz="4" w:space="0"/>
                    <w:right w:val="single" w:color="auto" w:sz="4" w:space="0"/>
                  </w:tcBorders>
                  <w:vAlign w:val="center"/>
                </w:tcPr>
                <w:p w14:paraId="244940A3">
                  <w:pPr>
                    <w:adjustRightInd w:val="0"/>
                    <w:snapToGrid w:val="0"/>
                    <w:spacing w:line="264" w:lineRule="auto"/>
                    <w:ind w:right="26"/>
                    <w:rPr>
                      <w:rFonts w:ascii="宋体"/>
                    </w:rPr>
                  </w:pPr>
                  <w:r>
                    <w:rPr>
                      <w:rFonts w:ascii="宋体" w:hAnsi="宋体" w:cs="宋体"/>
                    </w:rPr>
                    <w:t>5</w:t>
                  </w:r>
                  <w:r>
                    <w:rPr>
                      <w:rFonts w:hint="eastAsia" w:ascii="宋体" w:hAnsi="宋体" w:cs="宋体"/>
                    </w:rPr>
                    <w:t>亿元（含）</w:t>
                  </w:r>
                  <w:r>
                    <w:rPr>
                      <w:rFonts w:ascii="宋体" w:hAnsi="宋体" w:cs="宋体"/>
                    </w:rPr>
                    <w:t>-10</w:t>
                  </w:r>
                  <w:r>
                    <w:rPr>
                      <w:rFonts w:hint="eastAsia" w:ascii="宋体" w:hAnsi="宋体" w:cs="宋体"/>
                    </w:rPr>
                    <w:t>亿元</w:t>
                  </w:r>
                </w:p>
              </w:tc>
              <w:tc>
                <w:tcPr>
                  <w:tcW w:w="1172" w:type="dxa"/>
                  <w:tcBorders>
                    <w:top w:val="single" w:color="auto" w:sz="4" w:space="0"/>
                    <w:left w:val="single" w:color="auto" w:sz="4" w:space="0"/>
                    <w:bottom w:val="single" w:color="auto" w:sz="4" w:space="0"/>
                    <w:right w:val="single" w:color="auto" w:sz="4" w:space="0"/>
                  </w:tcBorders>
                  <w:vAlign w:val="center"/>
                </w:tcPr>
                <w:p w14:paraId="7ED19F21">
                  <w:pPr>
                    <w:adjustRightInd w:val="0"/>
                    <w:snapToGrid w:val="0"/>
                    <w:spacing w:line="264" w:lineRule="auto"/>
                    <w:ind w:right="26"/>
                    <w:jc w:val="center"/>
                    <w:rPr>
                      <w:rFonts w:ascii="宋体"/>
                    </w:rPr>
                  </w:pPr>
                  <w:r>
                    <w:rPr>
                      <w:rFonts w:ascii="宋体" w:hAnsi="宋体" w:cs="宋体"/>
                    </w:rPr>
                    <w:t>0.035%</w:t>
                  </w:r>
                </w:p>
              </w:tc>
              <w:tc>
                <w:tcPr>
                  <w:tcW w:w="1460" w:type="dxa"/>
                  <w:tcBorders>
                    <w:top w:val="single" w:color="auto" w:sz="4" w:space="0"/>
                    <w:left w:val="single" w:color="auto" w:sz="4" w:space="0"/>
                    <w:bottom w:val="single" w:color="auto" w:sz="4" w:space="0"/>
                    <w:right w:val="single" w:color="auto" w:sz="4" w:space="0"/>
                  </w:tcBorders>
                  <w:vAlign w:val="center"/>
                </w:tcPr>
                <w:p w14:paraId="3520E145">
                  <w:pPr>
                    <w:adjustRightInd w:val="0"/>
                    <w:snapToGrid w:val="0"/>
                    <w:spacing w:line="264" w:lineRule="auto"/>
                    <w:ind w:right="26"/>
                    <w:jc w:val="center"/>
                    <w:rPr>
                      <w:rFonts w:ascii="宋体"/>
                    </w:rPr>
                  </w:pPr>
                  <w:r>
                    <w:rPr>
                      <w:rFonts w:ascii="宋体" w:hAnsi="宋体" w:cs="宋体"/>
                    </w:rPr>
                    <w:t>0.035%</w:t>
                  </w:r>
                </w:p>
              </w:tc>
              <w:tc>
                <w:tcPr>
                  <w:tcW w:w="1184" w:type="dxa"/>
                  <w:tcBorders>
                    <w:top w:val="single" w:color="auto" w:sz="4" w:space="0"/>
                    <w:left w:val="single" w:color="auto" w:sz="4" w:space="0"/>
                    <w:bottom w:val="single" w:color="auto" w:sz="4" w:space="0"/>
                    <w:right w:val="single" w:color="auto" w:sz="12" w:space="0"/>
                  </w:tcBorders>
                  <w:vAlign w:val="center"/>
                </w:tcPr>
                <w:p w14:paraId="2840F820">
                  <w:pPr>
                    <w:adjustRightInd w:val="0"/>
                    <w:snapToGrid w:val="0"/>
                    <w:spacing w:line="264" w:lineRule="auto"/>
                    <w:ind w:right="26"/>
                    <w:jc w:val="center"/>
                    <w:rPr>
                      <w:rFonts w:ascii="宋体"/>
                    </w:rPr>
                  </w:pPr>
                  <w:r>
                    <w:rPr>
                      <w:rFonts w:ascii="宋体" w:hAnsi="宋体" w:cs="宋体"/>
                    </w:rPr>
                    <w:t>0.035%</w:t>
                  </w:r>
                </w:p>
              </w:tc>
            </w:tr>
            <w:tr w14:paraId="2930A3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04" w:type="dxa"/>
                  <w:tcBorders>
                    <w:top w:val="single" w:color="auto" w:sz="4" w:space="0"/>
                    <w:left w:val="single" w:color="auto" w:sz="12" w:space="0"/>
                    <w:bottom w:val="single" w:color="auto" w:sz="4" w:space="0"/>
                    <w:right w:val="single" w:color="auto" w:sz="4" w:space="0"/>
                  </w:tcBorders>
                  <w:vAlign w:val="center"/>
                </w:tcPr>
                <w:p w14:paraId="0656E85F">
                  <w:pPr>
                    <w:adjustRightInd w:val="0"/>
                    <w:snapToGrid w:val="0"/>
                    <w:spacing w:line="264" w:lineRule="auto"/>
                    <w:ind w:right="26"/>
                    <w:rPr>
                      <w:rFonts w:ascii="宋体"/>
                    </w:rPr>
                  </w:pPr>
                  <w:r>
                    <w:rPr>
                      <w:rFonts w:ascii="宋体" w:hAnsi="宋体" w:cs="宋体"/>
                    </w:rPr>
                    <w:t>10</w:t>
                  </w:r>
                  <w:r>
                    <w:rPr>
                      <w:rFonts w:hint="eastAsia" w:ascii="宋体" w:hAnsi="宋体" w:cs="宋体"/>
                    </w:rPr>
                    <w:t>亿元（含）</w:t>
                  </w:r>
                  <w:r>
                    <w:rPr>
                      <w:rFonts w:ascii="宋体" w:hAnsi="宋体" w:cs="宋体"/>
                    </w:rPr>
                    <w:t>-50</w:t>
                  </w:r>
                  <w:r>
                    <w:rPr>
                      <w:rFonts w:hint="eastAsia" w:ascii="宋体" w:hAnsi="宋体" w:cs="宋体"/>
                    </w:rPr>
                    <w:t>亿元</w:t>
                  </w:r>
                </w:p>
              </w:tc>
              <w:tc>
                <w:tcPr>
                  <w:tcW w:w="1172" w:type="dxa"/>
                  <w:tcBorders>
                    <w:top w:val="single" w:color="auto" w:sz="4" w:space="0"/>
                    <w:left w:val="single" w:color="auto" w:sz="4" w:space="0"/>
                    <w:bottom w:val="single" w:color="auto" w:sz="4" w:space="0"/>
                    <w:right w:val="single" w:color="auto" w:sz="4" w:space="0"/>
                  </w:tcBorders>
                  <w:vAlign w:val="center"/>
                </w:tcPr>
                <w:p w14:paraId="66567C32">
                  <w:pPr>
                    <w:adjustRightInd w:val="0"/>
                    <w:snapToGrid w:val="0"/>
                    <w:spacing w:line="264" w:lineRule="auto"/>
                    <w:ind w:right="26"/>
                    <w:jc w:val="center"/>
                    <w:rPr>
                      <w:rFonts w:ascii="宋体"/>
                    </w:rPr>
                  </w:pPr>
                  <w:r>
                    <w:rPr>
                      <w:rFonts w:ascii="宋体" w:hAnsi="宋体" w:cs="宋体"/>
                    </w:rPr>
                    <w:t>0.008%</w:t>
                  </w:r>
                </w:p>
              </w:tc>
              <w:tc>
                <w:tcPr>
                  <w:tcW w:w="1460" w:type="dxa"/>
                  <w:tcBorders>
                    <w:top w:val="single" w:color="auto" w:sz="4" w:space="0"/>
                    <w:left w:val="single" w:color="auto" w:sz="4" w:space="0"/>
                    <w:bottom w:val="single" w:color="auto" w:sz="4" w:space="0"/>
                    <w:right w:val="single" w:color="auto" w:sz="4" w:space="0"/>
                  </w:tcBorders>
                  <w:vAlign w:val="center"/>
                </w:tcPr>
                <w:p w14:paraId="41211E7B">
                  <w:pPr>
                    <w:adjustRightInd w:val="0"/>
                    <w:snapToGrid w:val="0"/>
                    <w:spacing w:line="264" w:lineRule="auto"/>
                    <w:ind w:right="26"/>
                    <w:jc w:val="center"/>
                    <w:rPr>
                      <w:rFonts w:ascii="宋体"/>
                    </w:rPr>
                  </w:pPr>
                  <w:r>
                    <w:rPr>
                      <w:rFonts w:ascii="宋体" w:hAnsi="宋体" w:cs="宋体"/>
                    </w:rPr>
                    <w:t>0.008%</w:t>
                  </w:r>
                </w:p>
              </w:tc>
              <w:tc>
                <w:tcPr>
                  <w:tcW w:w="1184" w:type="dxa"/>
                  <w:tcBorders>
                    <w:top w:val="single" w:color="auto" w:sz="4" w:space="0"/>
                    <w:left w:val="single" w:color="auto" w:sz="4" w:space="0"/>
                    <w:bottom w:val="single" w:color="auto" w:sz="4" w:space="0"/>
                    <w:right w:val="single" w:color="auto" w:sz="12" w:space="0"/>
                  </w:tcBorders>
                  <w:vAlign w:val="center"/>
                </w:tcPr>
                <w:p w14:paraId="03A2E697">
                  <w:pPr>
                    <w:adjustRightInd w:val="0"/>
                    <w:snapToGrid w:val="0"/>
                    <w:spacing w:line="264" w:lineRule="auto"/>
                    <w:ind w:right="26"/>
                    <w:jc w:val="center"/>
                    <w:rPr>
                      <w:rFonts w:ascii="宋体"/>
                    </w:rPr>
                  </w:pPr>
                  <w:r>
                    <w:rPr>
                      <w:rFonts w:ascii="宋体" w:hAnsi="宋体" w:cs="宋体"/>
                    </w:rPr>
                    <w:t>0.008%</w:t>
                  </w:r>
                </w:p>
              </w:tc>
            </w:tr>
            <w:tr w14:paraId="784DC1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04" w:type="dxa"/>
                  <w:tcBorders>
                    <w:top w:val="single" w:color="auto" w:sz="4" w:space="0"/>
                    <w:left w:val="single" w:color="auto" w:sz="12" w:space="0"/>
                    <w:bottom w:val="single" w:color="auto" w:sz="4" w:space="0"/>
                    <w:right w:val="single" w:color="auto" w:sz="4" w:space="0"/>
                  </w:tcBorders>
                  <w:vAlign w:val="center"/>
                </w:tcPr>
                <w:p w14:paraId="324DF702">
                  <w:pPr>
                    <w:adjustRightInd w:val="0"/>
                    <w:snapToGrid w:val="0"/>
                    <w:spacing w:line="264" w:lineRule="auto"/>
                    <w:ind w:right="26"/>
                    <w:rPr>
                      <w:rFonts w:ascii="宋体"/>
                    </w:rPr>
                  </w:pPr>
                  <w:r>
                    <w:rPr>
                      <w:rFonts w:ascii="宋体" w:hAnsi="宋体" w:cs="宋体"/>
                    </w:rPr>
                    <w:t>50</w:t>
                  </w:r>
                  <w:r>
                    <w:rPr>
                      <w:rFonts w:hint="eastAsia" w:ascii="宋体" w:hAnsi="宋体" w:cs="宋体"/>
                    </w:rPr>
                    <w:t>亿元（含）</w:t>
                  </w:r>
                  <w:r>
                    <w:rPr>
                      <w:rFonts w:ascii="宋体" w:hAnsi="宋体" w:cs="宋体"/>
                    </w:rPr>
                    <w:t>-100</w:t>
                  </w:r>
                  <w:r>
                    <w:rPr>
                      <w:rFonts w:hint="eastAsia" w:ascii="宋体" w:hAnsi="宋体" w:cs="宋体"/>
                    </w:rPr>
                    <w:t>亿元</w:t>
                  </w:r>
                </w:p>
              </w:tc>
              <w:tc>
                <w:tcPr>
                  <w:tcW w:w="1172" w:type="dxa"/>
                  <w:tcBorders>
                    <w:top w:val="single" w:color="auto" w:sz="4" w:space="0"/>
                    <w:left w:val="single" w:color="auto" w:sz="4" w:space="0"/>
                    <w:bottom w:val="single" w:color="auto" w:sz="4" w:space="0"/>
                    <w:right w:val="single" w:color="auto" w:sz="4" w:space="0"/>
                  </w:tcBorders>
                  <w:vAlign w:val="center"/>
                </w:tcPr>
                <w:p w14:paraId="55944970">
                  <w:pPr>
                    <w:adjustRightInd w:val="0"/>
                    <w:snapToGrid w:val="0"/>
                    <w:spacing w:line="264" w:lineRule="auto"/>
                    <w:ind w:right="26"/>
                    <w:jc w:val="center"/>
                    <w:rPr>
                      <w:rFonts w:ascii="宋体"/>
                    </w:rPr>
                  </w:pPr>
                  <w:r>
                    <w:rPr>
                      <w:rFonts w:ascii="宋体" w:hAnsi="宋体" w:cs="宋体"/>
                    </w:rPr>
                    <w:t>0.006%</w:t>
                  </w:r>
                </w:p>
              </w:tc>
              <w:tc>
                <w:tcPr>
                  <w:tcW w:w="1460" w:type="dxa"/>
                  <w:tcBorders>
                    <w:top w:val="single" w:color="auto" w:sz="4" w:space="0"/>
                    <w:left w:val="single" w:color="auto" w:sz="4" w:space="0"/>
                    <w:bottom w:val="single" w:color="auto" w:sz="4" w:space="0"/>
                    <w:right w:val="single" w:color="auto" w:sz="4" w:space="0"/>
                  </w:tcBorders>
                  <w:vAlign w:val="center"/>
                </w:tcPr>
                <w:p w14:paraId="08839FC3">
                  <w:pPr>
                    <w:adjustRightInd w:val="0"/>
                    <w:snapToGrid w:val="0"/>
                    <w:spacing w:line="264" w:lineRule="auto"/>
                    <w:ind w:right="26"/>
                    <w:jc w:val="center"/>
                    <w:rPr>
                      <w:rFonts w:ascii="宋体"/>
                    </w:rPr>
                  </w:pPr>
                  <w:r>
                    <w:rPr>
                      <w:rFonts w:ascii="宋体" w:hAnsi="宋体" w:cs="宋体"/>
                    </w:rPr>
                    <w:t>0.006%</w:t>
                  </w:r>
                </w:p>
              </w:tc>
              <w:tc>
                <w:tcPr>
                  <w:tcW w:w="1184" w:type="dxa"/>
                  <w:tcBorders>
                    <w:top w:val="single" w:color="auto" w:sz="4" w:space="0"/>
                    <w:left w:val="single" w:color="auto" w:sz="4" w:space="0"/>
                    <w:bottom w:val="single" w:color="auto" w:sz="4" w:space="0"/>
                    <w:right w:val="single" w:color="auto" w:sz="12" w:space="0"/>
                  </w:tcBorders>
                  <w:vAlign w:val="center"/>
                </w:tcPr>
                <w:p w14:paraId="288DECAA">
                  <w:pPr>
                    <w:adjustRightInd w:val="0"/>
                    <w:snapToGrid w:val="0"/>
                    <w:spacing w:line="264" w:lineRule="auto"/>
                    <w:ind w:right="26"/>
                    <w:jc w:val="center"/>
                    <w:rPr>
                      <w:rFonts w:ascii="宋体"/>
                    </w:rPr>
                  </w:pPr>
                  <w:r>
                    <w:rPr>
                      <w:rFonts w:ascii="宋体" w:hAnsi="宋体" w:cs="宋体"/>
                    </w:rPr>
                    <w:t>0.006%</w:t>
                  </w:r>
                </w:p>
              </w:tc>
            </w:tr>
            <w:tr w14:paraId="78F787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04" w:type="dxa"/>
                  <w:tcBorders>
                    <w:top w:val="single" w:color="auto" w:sz="4" w:space="0"/>
                    <w:left w:val="single" w:color="auto" w:sz="12" w:space="0"/>
                    <w:bottom w:val="single" w:color="auto" w:sz="12" w:space="0"/>
                    <w:right w:val="single" w:color="auto" w:sz="4" w:space="0"/>
                  </w:tcBorders>
                  <w:vAlign w:val="center"/>
                </w:tcPr>
                <w:p w14:paraId="4C7C93F4">
                  <w:pPr>
                    <w:adjustRightInd w:val="0"/>
                    <w:snapToGrid w:val="0"/>
                    <w:spacing w:line="264" w:lineRule="auto"/>
                    <w:ind w:right="26"/>
                    <w:rPr>
                      <w:rFonts w:ascii="宋体"/>
                    </w:rPr>
                  </w:pPr>
                  <w:r>
                    <w:rPr>
                      <w:rFonts w:ascii="宋体" w:hAnsi="宋体" w:cs="宋体"/>
                    </w:rPr>
                    <w:t>100</w:t>
                  </w:r>
                  <w:r>
                    <w:rPr>
                      <w:rFonts w:hint="eastAsia" w:ascii="宋体" w:hAnsi="宋体" w:cs="宋体"/>
                    </w:rPr>
                    <w:t>亿元（含）以上</w:t>
                  </w:r>
                </w:p>
              </w:tc>
              <w:tc>
                <w:tcPr>
                  <w:tcW w:w="1172" w:type="dxa"/>
                  <w:tcBorders>
                    <w:top w:val="single" w:color="auto" w:sz="4" w:space="0"/>
                    <w:left w:val="single" w:color="auto" w:sz="4" w:space="0"/>
                    <w:bottom w:val="single" w:color="auto" w:sz="12" w:space="0"/>
                    <w:right w:val="single" w:color="auto" w:sz="4" w:space="0"/>
                  </w:tcBorders>
                  <w:vAlign w:val="center"/>
                </w:tcPr>
                <w:p w14:paraId="4A4C1A7C">
                  <w:pPr>
                    <w:adjustRightInd w:val="0"/>
                    <w:snapToGrid w:val="0"/>
                    <w:spacing w:line="264" w:lineRule="auto"/>
                    <w:ind w:right="26"/>
                    <w:jc w:val="center"/>
                    <w:rPr>
                      <w:rFonts w:ascii="宋体"/>
                    </w:rPr>
                  </w:pPr>
                  <w:r>
                    <w:rPr>
                      <w:rFonts w:ascii="宋体" w:hAnsi="宋体" w:cs="宋体"/>
                    </w:rPr>
                    <w:t>0.004%</w:t>
                  </w:r>
                </w:p>
              </w:tc>
              <w:tc>
                <w:tcPr>
                  <w:tcW w:w="1460" w:type="dxa"/>
                  <w:tcBorders>
                    <w:top w:val="single" w:color="auto" w:sz="4" w:space="0"/>
                    <w:left w:val="single" w:color="auto" w:sz="4" w:space="0"/>
                    <w:bottom w:val="single" w:color="auto" w:sz="12" w:space="0"/>
                    <w:right w:val="single" w:color="auto" w:sz="4" w:space="0"/>
                  </w:tcBorders>
                  <w:vAlign w:val="center"/>
                </w:tcPr>
                <w:p w14:paraId="2C388BB7">
                  <w:pPr>
                    <w:adjustRightInd w:val="0"/>
                    <w:snapToGrid w:val="0"/>
                    <w:spacing w:line="264" w:lineRule="auto"/>
                    <w:ind w:right="26"/>
                    <w:jc w:val="center"/>
                    <w:rPr>
                      <w:rFonts w:ascii="宋体"/>
                    </w:rPr>
                  </w:pPr>
                  <w:r>
                    <w:rPr>
                      <w:rFonts w:ascii="宋体" w:hAnsi="宋体" w:cs="宋体"/>
                    </w:rPr>
                    <w:t>0.004%</w:t>
                  </w:r>
                </w:p>
              </w:tc>
              <w:tc>
                <w:tcPr>
                  <w:tcW w:w="1184" w:type="dxa"/>
                  <w:tcBorders>
                    <w:top w:val="single" w:color="auto" w:sz="4" w:space="0"/>
                    <w:left w:val="single" w:color="auto" w:sz="4" w:space="0"/>
                    <w:bottom w:val="single" w:color="auto" w:sz="12" w:space="0"/>
                    <w:right w:val="single" w:color="auto" w:sz="12" w:space="0"/>
                  </w:tcBorders>
                  <w:vAlign w:val="center"/>
                </w:tcPr>
                <w:p w14:paraId="7984CEB2">
                  <w:pPr>
                    <w:adjustRightInd w:val="0"/>
                    <w:snapToGrid w:val="0"/>
                    <w:spacing w:line="264" w:lineRule="auto"/>
                    <w:ind w:right="26"/>
                    <w:jc w:val="center"/>
                    <w:rPr>
                      <w:rFonts w:ascii="宋体"/>
                    </w:rPr>
                  </w:pPr>
                  <w:r>
                    <w:rPr>
                      <w:rFonts w:ascii="宋体" w:hAnsi="宋体" w:cs="宋体"/>
                    </w:rPr>
                    <w:t>0.004%</w:t>
                  </w:r>
                </w:p>
              </w:tc>
            </w:tr>
          </w:tbl>
          <w:p w14:paraId="20B2486A">
            <w:pPr>
              <w:adjustRightInd w:val="0"/>
              <w:snapToGrid w:val="0"/>
              <w:spacing w:line="264" w:lineRule="auto"/>
              <w:ind w:right="26"/>
              <w:rPr>
                <w:rFonts w:ascii="宋体"/>
                <w:b/>
                <w:bCs/>
              </w:rPr>
            </w:pPr>
            <w:r>
              <w:rPr>
                <w:rFonts w:hint="eastAsia" w:ascii="宋体" w:hAnsi="宋体" w:cs="宋体"/>
                <w:b/>
                <w:bCs/>
              </w:rPr>
              <w:t>注：</w:t>
            </w:r>
          </w:p>
          <w:p w14:paraId="3E5DEFA3">
            <w:pPr>
              <w:adjustRightInd w:val="0"/>
              <w:snapToGrid w:val="0"/>
              <w:spacing w:line="264" w:lineRule="auto"/>
              <w:ind w:right="26" w:firstLine="480" w:firstLineChars="200"/>
              <w:rPr>
                <w:rFonts w:ascii="宋体"/>
              </w:rPr>
            </w:pPr>
            <w:r>
              <w:rPr>
                <w:rFonts w:ascii="宋体" w:hAnsi="宋体" w:cs="宋体"/>
              </w:rPr>
              <w:t>1</w:t>
            </w:r>
            <w:r>
              <w:rPr>
                <w:rFonts w:hint="eastAsia" w:ascii="宋体" w:hAnsi="宋体" w:cs="宋体"/>
              </w:rPr>
              <w:t>、招标代理服务收费按差额定率累进法计算；</w:t>
            </w:r>
          </w:p>
          <w:p w14:paraId="09F152C6">
            <w:pPr>
              <w:adjustRightInd w:val="0"/>
              <w:snapToGrid w:val="0"/>
              <w:spacing w:line="264" w:lineRule="auto"/>
              <w:ind w:right="26" w:firstLine="480" w:firstLineChars="200"/>
              <w:rPr>
                <w:rFonts w:ascii="宋体"/>
                <w:highlight w:val="none"/>
              </w:rPr>
            </w:pPr>
            <w:r>
              <w:rPr>
                <w:rFonts w:ascii="宋体" w:hAnsi="宋体" w:cs="宋体"/>
                <w:highlight w:val="none"/>
              </w:rPr>
              <w:t>2</w:t>
            </w:r>
            <w:r>
              <w:rPr>
                <w:rFonts w:hint="eastAsia" w:ascii="宋体" w:hAnsi="宋体" w:cs="宋体"/>
                <w:highlight w:val="none"/>
              </w:rPr>
              <w:t>、本次招标为服务招标，招标代理（中标）服务费按服务招标计费标准收费。</w:t>
            </w:r>
          </w:p>
          <w:p w14:paraId="5524B8A2">
            <w:pPr>
              <w:adjustRightInd w:val="0"/>
              <w:snapToGrid w:val="0"/>
              <w:spacing w:line="264" w:lineRule="auto"/>
              <w:ind w:right="26" w:firstLine="480" w:firstLineChars="200"/>
              <w:rPr>
                <w:rFonts w:ascii="宋体"/>
              </w:rPr>
            </w:pPr>
            <w:r>
              <w:rPr>
                <w:rFonts w:ascii="宋体" w:hAnsi="宋体" w:cs="宋体"/>
              </w:rPr>
              <w:t>3</w:t>
            </w:r>
            <w:r>
              <w:rPr>
                <w:rFonts w:hint="eastAsia" w:ascii="宋体" w:hAnsi="宋体" w:cs="宋体"/>
              </w:rPr>
              <w:t>、招标代理服务费缴纳至：</w:t>
            </w:r>
          </w:p>
          <w:p w14:paraId="421EAA9C">
            <w:pPr>
              <w:adjustRightInd w:val="0"/>
              <w:snapToGrid w:val="0"/>
              <w:spacing w:line="264" w:lineRule="auto"/>
              <w:ind w:right="26" w:firstLine="480" w:firstLineChars="200"/>
              <w:rPr>
                <w:rFonts w:ascii="宋体"/>
              </w:rPr>
            </w:pPr>
            <w:r>
              <w:rPr>
                <w:rFonts w:hint="eastAsia" w:ascii="宋体" w:hAnsi="宋体" w:cs="宋体"/>
              </w:rPr>
              <w:t>开户行：中国农业银行股份有限公司深圳东湖支行</w:t>
            </w:r>
          </w:p>
          <w:p w14:paraId="0A588323">
            <w:pPr>
              <w:adjustRightInd w:val="0"/>
              <w:snapToGrid w:val="0"/>
              <w:spacing w:line="264" w:lineRule="auto"/>
              <w:ind w:right="26" w:firstLine="480" w:firstLineChars="200"/>
              <w:rPr>
                <w:rFonts w:ascii="宋体"/>
              </w:rPr>
            </w:pPr>
            <w:r>
              <w:rPr>
                <w:rFonts w:hint="eastAsia" w:ascii="宋体" w:hAnsi="宋体" w:cs="宋体"/>
              </w:rPr>
              <w:t>帐户名称：深圳市东海国际招标有限公司</w:t>
            </w:r>
          </w:p>
          <w:p w14:paraId="66ADEB13">
            <w:pPr>
              <w:adjustRightInd w:val="0"/>
              <w:snapToGrid w:val="0"/>
              <w:spacing w:line="264" w:lineRule="auto"/>
              <w:ind w:right="26" w:firstLine="480" w:firstLineChars="200"/>
              <w:rPr>
                <w:rFonts w:ascii="宋体"/>
              </w:rPr>
            </w:pPr>
            <w:r>
              <w:rPr>
                <w:rFonts w:hint="eastAsia" w:ascii="宋体" w:hAnsi="宋体" w:cs="宋体"/>
              </w:rPr>
              <w:t>帐号：</w:t>
            </w:r>
            <w:r>
              <w:rPr>
                <w:rFonts w:ascii="宋体" w:hAnsi="宋体" w:cs="宋体"/>
              </w:rPr>
              <w:t>4100 1800 0400 2656 1</w:t>
            </w:r>
          </w:p>
        </w:tc>
      </w:tr>
    </w:tbl>
    <w:p w14:paraId="18CFE812">
      <w:pPr>
        <w:rPr>
          <w:b/>
        </w:rPr>
      </w:pPr>
      <w:r>
        <w:rPr>
          <w:rFonts w:hint="eastAsia"/>
          <w:szCs w:val="21"/>
        </w:rPr>
        <w:t>备注：本表为通用条款相关内容的补充和明确，如与通用条款相冲突的以本表为准。</w:t>
      </w:r>
    </w:p>
    <w:p w14:paraId="5EC34D38">
      <w:pPr>
        <w:rPr>
          <w:b/>
        </w:rPr>
      </w:pPr>
    </w:p>
    <w:p w14:paraId="7F2508C9">
      <w:pPr>
        <w:rPr>
          <w:b/>
        </w:rPr>
      </w:pPr>
    </w:p>
    <w:p w14:paraId="51D1F9AD">
      <w:pPr>
        <w:pStyle w:val="5"/>
        <w:spacing w:before="120" w:beforeLines="50" w:after="120" w:afterLines="50"/>
        <w:rPr>
          <w:sz w:val="28"/>
          <w:szCs w:val="28"/>
        </w:rPr>
      </w:pPr>
      <w:bookmarkStart w:id="25" w:name="_Toc128884461"/>
      <w:r>
        <w:rPr>
          <w:rFonts w:hint="eastAsia"/>
          <w:sz w:val="28"/>
          <w:szCs w:val="28"/>
        </w:rPr>
        <w:br w:type="page"/>
      </w:r>
      <w:r>
        <w:rPr>
          <w:rFonts w:hint="eastAsia"/>
          <w:sz w:val="28"/>
          <w:szCs w:val="28"/>
        </w:rPr>
        <w:t>二、实质性条款</w:t>
      </w:r>
    </w:p>
    <w:tbl>
      <w:tblPr>
        <w:tblStyle w:val="20"/>
        <w:tblW w:w="81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7483"/>
      </w:tblGrid>
      <w:tr w14:paraId="5A887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5" w:type="dxa"/>
            <w:shd w:val="clear" w:color="auto" w:fill="DCE6F2" w:themeFill="accent1" w:themeFillTint="32"/>
            <w:vAlign w:val="center"/>
          </w:tcPr>
          <w:p w14:paraId="774CEBD3">
            <w:pPr>
              <w:adjustRightInd w:val="0"/>
              <w:snapToGrid w:val="0"/>
              <w:spacing w:line="360" w:lineRule="exact"/>
              <w:jc w:val="center"/>
              <w:rPr>
                <w:rFonts w:eastAsiaTheme="minorEastAsia"/>
                <w:sz w:val="22"/>
                <w:szCs w:val="22"/>
              </w:rPr>
            </w:pPr>
            <w:r>
              <w:rPr>
                <w:rFonts w:eastAsiaTheme="minorEastAsia"/>
                <w:sz w:val="22"/>
                <w:szCs w:val="22"/>
              </w:rPr>
              <w:t>序号</w:t>
            </w:r>
          </w:p>
        </w:tc>
        <w:tc>
          <w:tcPr>
            <w:tcW w:w="7483" w:type="dxa"/>
            <w:shd w:val="clear" w:color="auto" w:fill="DCE6F2" w:themeFill="accent1" w:themeFillTint="32"/>
            <w:vAlign w:val="center"/>
          </w:tcPr>
          <w:p w14:paraId="64795F24">
            <w:pPr>
              <w:adjustRightInd w:val="0"/>
              <w:snapToGrid w:val="0"/>
              <w:spacing w:line="360" w:lineRule="exact"/>
              <w:jc w:val="center"/>
              <w:rPr>
                <w:rFonts w:eastAsiaTheme="minorEastAsia"/>
                <w:b/>
                <w:sz w:val="22"/>
                <w:szCs w:val="22"/>
              </w:rPr>
            </w:pPr>
            <w:r>
              <w:rPr>
                <w:rFonts w:eastAsiaTheme="minorEastAsia"/>
                <w:b/>
                <w:sz w:val="22"/>
                <w:szCs w:val="22"/>
              </w:rPr>
              <w:t>实质性条款具体内容</w:t>
            </w:r>
          </w:p>
        </w:tc>
      </w:tr>
      <w:tr w14:paraId="7D215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5" w:type="dxa"/>
            <w:vAlign w:val="center"/>
          </w:tcPr>
          <w:p w14:paraId="00D0328B">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w:t>
            </w:r>
          </w:p>
        </w:tc>
        <w:tc>
          <w:tcPr>
            <w:tcW w:w="7483" w:type="dxa"/>
            <w:vAlign w:val="top"/>
          </w:tcPr>
          <w:p w14:paraId="65690A3A">
            <w:pPr>
              <w:keepNext w:val="0"/>
              <w:keepLines w:val="0"/>
              <w:pageBreakBefore w:val="0"/>
              <w:widowControl/>
              <w:kinsoku/>
              <w:wordWrap/>
              <w:overflowPunct/>
              <w:topLinePunct w:val="0"/>
              <w:autoSpaceDE/>
              <w:autoSpaceDN/>
              <w:bidi w:val="0"/>
              <w:spacing w:line="360" w:lineRule="exact"/>
              <w:jc w:val="left"/>
              <w:textAlignment w:val="auto"/>
              <w:rPr>
                <w:rFonts w:hint="eastAsia" w:ascii="宋体" w:hAnsi="宋体" w:eastAsia="宋体"/>
                <w:color w:val="000000"/>
                <w:sz w:val="22"/>
                <w:szCs w:val="22"/>
              </w:rPr>
            </w:pPr>
            <w:r>
              <w:rPr>
                <w:rFonts w:hint="default" w:ascii="宋体" w:hAnsi="宋体" w:eastAsia="宋体" w:cs="宋体"/>
                <w:sz w:val="22"/>
                <w:szCs w:val="22"/>
                <w:lang w:val="en-US" w:eastAsia="zh-CN"/>
              </w:rPr>
              <w:t>完全满足本项目</w:t>
            </w:r>
            <w:r>
              <w:rPr>
                <w:rFonts w:ascii="宋体" w:hAnsi="宋体" w:eastAsia="宋体" w:cs="Segoe UI Symbol"/>
                <w:b/>
                <w:sz w:val="22"/>
                <w:szCs w:val="22"/>
              </w:rPr>
              <w:t>★</w:t>
            </w:r>
            <w:r>
              <w:rPr>
                <w:rFonts w:hint="default" w:ascii="宋体" w:hAnsi="宋体" w:eastAsia="宋体" w:cs="宋体"/>
                <w:sz w:val="22"/>
                <w:szCs w:val="22"/>
                <w:lang w:val="en-US" w:eastAsia="zh-CN"/>
              </w:rPr>
              <w:t>标记条款的要求。</w:t>
            </w:r>
          </w:p>
        </w:tc>
      </w:tr>
    </w:tbl>
    <w:p w14:paraId="366ADE3A">
      <w:pPr>
        <w:pStyle w:val="3"/>
        <w:spacing w:line="360" w:lineRule="exact"/>
        <w:rPr>
          <w:rFonts w:ascii="宋体" w:hAnsi="宋体" w:eastAsia="宋体"/>
          <w:b/>
          <w:sz w:val="22"/>
          <w:szCs w:val="22"/>
        </w:rPr>
      </w:pPr>
      <w:r>
        <w:rPr>
          <w:rFonts w:ascii="宋体" w:hAnsi="宋体" w:eastAsia="宋体"/>
          <w:b/>
          <w:sz w:val="22"/>
          <w:szCs w:val="22"/>
        </w:rPr>
        <w:t>注：实质性服务条款（以</w:t>
      </w:r>
      <w:r>
        <w:rPr>
          <w:rFonts w:ascii="宋体" w:hAnsi="宋体" w:eastAsia="宋体" w:cs="Segoe UI Symbol"/>
          <w:b/>
          <w:sz w:val="22"/>
          <w:szCs w:val="22"/>
        </w:rPr>
        <w:t>★</w:t>
      </w:r>
      <w:r>
        <w:rPr>
          <w:rFonts w:ascii="宋体" w:hAnsi="宋体" w:eastAsia="宋体"/>
          <w:b/>
          <w:sz w:val="22"/>
          <w:szCs w:val="22"/>
        </w:rPr>
        <w:t>号标注）为实质性要求（即投标无效条款），上表所列内容为不可负偏离条款，负偏离将视为未实质性满足招标文件要求作投标无效处理。</w:t>
      </w:r>
    </w:p>
    <w:bookmarkEnd w:id="25"/>
    <w:p w14:paraId="0646E5DA">
      <w:pPr>
        <w:pStyle w:val="5"/>
        <w:spacing w:before="120" w:beforeLines="50" w:after="120" w:afterLines="50"/>
        <w:rPr>
          <w:rFonts w:hint="eastAsia" w:eastAsia="宋体"/>
          <w:sz w:val="28"/>
          <w:szCs w:val="28"/>
        </w:rPr>
      </w:pPr>
      <w:r>
        <w:rPr>
          <w:rFonts w:hint="eastAsia" w:eastAsia="宋体"/>
          <w:sz w:val="28"/>
          <w:szCs w:val="28"/>
        </w:rPr>
        <w:t>三、项目概况</w:t>
      </w:r>
    </w:p>
    <w:p w14:paraId="4DAA32EA">
      <w:pPr>
        <w:keepNext w:val="0"/>
        <w:keepLines w:val="0"/>
        <w:pageBreakBefore w:val="0"/>
        <w:widowControl/>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为进一步推进</w:t>
      </w:r>
      <w:r>
        <w:rPr>
          <w:rFonts w:hint="eastAsia" w:ascii="宋体" w:hAnsi="宋体" w:eastAsia="宋体" w:cs="宋体"/>
          <w:color w:val="auto"/>
          <w:sz w:val="22"/>
          <w:szCs w:val="22"/>
          <w:lang w:eastAsia="zh-CN"/>
        </w:rPr>
        <w:t>深圳市</w:t>
      </w:r>
      <w:r>
        <w:rPr>
          <w:rFonts w:hint="eastAsia" w:ascii="宋体" w:hAnsi="宋体" w:eastAsia="宋体" w:cs="宋体"/>
          <w:color w:val="auto"/>
          <w:sz w:val="22"/>
          <w:szCs w:val="22"/>
        </w:rPr>
        <w:t>公立医疗机构药品采购改革，规范药品采购行为，完善价格形成机制，健全供应保障体系，推动药品集中采购，维护各方权益，理顺药品价格形成体系，有效降低药品采购成本，深化</w:t>
      </w:r>
      <w:r>
        <w:rPr>
          <w:rFonts w:hint="eastAsia" w:ascii="宋体" w:hAnsi="宋体" w:eastAsia="宋体" w:cs="宋体"/>
          <w:color w:val="auto"/>
          <w:sz w:val="22"/>
          <w:szCs w:val="22"/>
          <w:lang w:eastAsia="zh-CN"/>
        </w:rPr>
        <w:t>深圳</w:t>
      </w:r>
      <w:r>
        <w:rPr>
          <w:rFonts w:hint="eastAsia" w:ascii="宋体" w:hAnsi="宋体" w:eastAsia="宋体" w:cs="宋体"/>
          <w:color w:val="auto"/>
          <w:sz w:val="22"/>
          <w:szCs w:val="22"/>
        </w:rPr>
        <w:t>市医药购销领域体制改革，根据《</w:t>
      </w:r>
      <w:bookmarkStart w:id="26" w:name="OLE_LINK5"/>
      <w:r>
        <w:rPr>
          <w:rFonts w:hint="eastAsia" w:ascii="宋体" w:hAnsi="宋体" w:eastAsia="宋体" w:cs="宋体"/>
          <w:color w:val="auto"/>
          <w:sz w:val="22"/>
          <w:szCs w:val="22"/>
        </w:rPr>
        <w:t>中共中央国务院关于深化医疗保障制度改革的意见</w:t>
      </w:r>
      <w:bookmarkEnd w:id="26"/>
      <w:r>
        <w:rPr>
          <w:rFonts w:hint="eastAsia" w:ascii="宋体" w:hAnsi="宋体" w:eastAsia="宋体" w:cs="宋体"/>
          <w:color w:val="auto"/>
          <w:sz w:val="22"/>
          <w:szCs w:val="22"/>
        </w:rPr>
        <w:t>》、《国务院办公厅关于推动药品集中带量采购工作常态化制度化开展的意见》（国办发〔2021〕2号）、《广东省医疗保障局关于做好药品和医用耗材采购工作的指导意见》（粤医保规〔2020〕2号）、《深圳市公立医疗机构药品采购管理办法》（深医保规〔2021〕7号，以下简称《管理办法》）等政策法规和财务管理相关制度，需要按政府采购有关规定及程序确定深圳公立医疗机构药品采购</w:t>
      </w:r>
      <w:r>
        <w:rPr>
          <w:rFonts w:hint="eastAsia" w:ascii="宋体" w:hAnsi="宋体" w:eastAsia="宋体" w:cs="宋体"/>
          <w:color w:val="auto"/>
          <w:sz w:val="22"/>
          <w:szCs w:val="22"/>
          <w:lang w:eastAsia="zh-CN"/>
        </w:rPr>
        <w:t>服务</w:t>
      </w:r>
      <w:r>
        <w:rPr>
          <w:rFonts w:hint="eastAsia" w:ascii="宋体" w:hAnsi="宋体" w:eastAsia="宋体" w:cs="宋体"/>
          <w:color w:val="auto"/>
          <w:sz w:val="22"/>
          <w:szCs w:val="22"/>
        </w:rPr>
        <w:t>承办机构（下称承办机构）。承办机构为医疗机构、药品生产企业、配送企业、行业监管部门、纪检监察机关等提供药品采购交易综合服务，包括本市药品采购交易信息化</w:t>
      </w:r>
      <w:r>
        <w:rPr>
          <w:rFonts w:hint="eastAsia" w:ascii="宋体" w:hAnsi="宋体" w:eastAsia="宋体" w:cs="宋体"/>
          <w:color w:val="auto"/>
          <w:sz w:val="22"/>
          <w:szCs w:val="22"/>
          <w:lang w:val="en-US" w:eastAsia="zh-CN"/>
        </w:rPr>
        <w:t>系统</w:t>
      </w:r>
      <w:r>
        <w:rPr>
          <w:rFonts w:hint="eastAsia" w:ascii="宋体" w:hAnsi="宋体" w:eastAsia="宋体" w:cs="宋体"/>
          <w:color w:val="auto"/>
          <w:sz w:val="22"/>
          <w:szCs w:val="22"/>
        </w:rPr>
        <w:t>升级改造、运行、维护，以及药品招标、采购、交易</w:t>
      </w:r>
      <w:r>
        <w:rPr>
          <w:rFonts w:hint="eastAsia" w:ascii="宋体" w:hAnsi="宋体" w:eastAsia="宋体" w:cs="宋体"/>
          <w:color w:val="auto"/>
          <w:sz w:val="22"/>
          <w:szCs w:val="22"/>
          <w:highlight w:val="none"/>
        </w:rPr>
        <w:t>、结算等</w:t>
      </w:r>
      <w:r>
        <w:rPr>
          <w:rFonts w:hint="eastAsia" w:ascii="宋体" w:hAnsi="宋体" w:eastAsia="宋体" w:cs="宋体"/>
          <w:color w:val="auto"/>
          <w:sz w:val="22"/>
          <w:szCs w:val="22"/>
        </w:rPr>
        <w:t>相关服务，并对交易活动的监管提供支持服务。实现药品“招采合一、量价挂钩、公开交易”，践行以人民健康为中心的立场，推动解决药品价格虚高的问题，形成竞争充分、质量可靠、价格合理、服务优良、便捷高效、规范有序的药品供应保障体系，切实让人民群众获得更优质实惠的医药服务。</w:t>
      </w:r>
    </w:p>
    <w:p w14:paraId="67DD316E">
      <w:pPr>
        <w:pStyle w:val="5"/>
        <w:spacing w:before="120" w:beforeLines="50" w:after="120" w:afterLines="50"/>
        <w:rPr>
          <w:rFonts w:eastAsia="宋体"/>
          <w:sz w:val="28"/>
          <w:szCs w:val="28"/>
        </w:rPr>
      </w:pPr>
      <w:r>
        <w:rPr>
          <w:rFonts w:hint="eastAsia" w:eastAsia="宋体"/>
          <w:sz w:val="28"/>
          <w:szCs w:val="28"/>
          <w:lang w:eastAsia="zh-CN"/>
        </w:rPr>
        <w:t>四、</w:t>
      </w:r>
      <w:r>
        <w:rPr>
          <w:rFonts w:hint="eastAsia" w:eastAsia="宋体"/>
          <w:sz w:val="28"/>
          <w:szCs w:val="28"/>
        </w:rPr>
        <w:t>服务要求</w:t>
      </w:r>
    </w:p>
    <w:p w14:paraId="6A4BC103">
      <w:pPr>
        <w:pStyle w:val="7"/>
        <w:pageBreakBefore w:val="0"/>
        <w:tabs>
          <w:tab w:val="left" w:pos="765"/>
        </w:tabs>
        <w:kinsoku/>
        <w:wordWrap/>
        <w:overflowPunct/>
        <w:topLinePunct w:val="0"/>
        <w:autoSpaceDE/>
        <w:autoSpaceDN/>
        <w:bidi w:val="0"/>
        <w:spacing w:before="0" w:after="0" w:line="360" w:lineRule="auto"/>
        <w:ind w:left="0" w:leftChars="0" w:firstLine="442" w:firstLineChars="200"/>
        <w:jc w:val="center"/>
        <w:rPr>
          <w:rFonts w:hint="eastAsia" w:ascii="宋体" w:hAnsi="宋体" w:eastAsia="宋体" w:cs="宋体"/>
          <w:bCs w:val="0"/>
          <w:color w:val="auto"/>
          <w:sz w:val="22"/>
          <w:szCs w:val="22"/>
        </w:rPr>
      </w:pPr>
      <w:r>
        <w:rPr>
          <w:rFonts w:hint="eastAsia" w:ascii="宋体" w:hAnsi="宋体" w:eastAsia="宋体" w:cs="宋体"/>
          <w:bCs w:val="0"/>
          <w:color w:val="auto"/>
          <w:sz w:val="22"/>
          <w:szCs w:val="22"/>
          <w:lang w:eastAsia="zh-CN"/>
        </w:rPr>
        <w:t>（一）</w:t>
      </w:r>
      <w:r>
        <w:rPr>
          <w:rFonts w:hint="eastAsia" w:ascii="宋体" w:hAnsi="宋体" w:eastAsia="宋体" w:cs="宋体"/>
          <w:bCs w:val="0"/>
          <w:color w:val="auto"/>
          <w:sz w:val="22"/>
          <w:szCs w:val="22"/>
        </w:rPr>
        <w:t>总体服务要求</w:t>
      </w:r>
    </w:p>
    <w:p w14:paraId="71BA4805">
      <w:pPr>
        <w:keepNext w:val="0"/>
        <w:keepLines w:val="0"/>
        <w:pageBreakBefore w:val="0"/>
        <w:kinsoku/>
        <w:wordWrap/>
        <w:overflowPunct/>
        <w:topLinePunct w:val="0"/>
        <w:autoSpaceDE/>
        <w:autoSpaceDN/>
        <w:bidi w:val="0"/>
        <w:spacing w:line="360" w:lineRule="auto"/>
        <w:ind w:firstLine="440" w:firstLineChars="200"/>
        <w:jc w:val="both"/>
        <w:rPr>
          <w:rFonts w:hint="eastAsia" w:ascii="宋体" w:hAnsi="宋体" w:eastAsia="宋体" w:cs="宋体"/>
          <w:color w:val="auto"/>
          <w:sz w:val="22"/>
          <w:szCs w:val="22"/>
        </w:rPr>
      </w:pPr>
      <w:r>
        <w:rPr>
          <w:rFonts w:hint="eastAsia" w:ascii="宋体" w:hAnsi="宋体" w:eastAsia="宋体" w:cs="宋体"/>
          <w:color w:val="auto"/>
          <w:sz w:val="22"/>
          <w:szCs w:val="22"/>
        </w:rPr>
        <w:t>为确保</w:t>
      </w:r>
      <w:r>
        <w:rPr>
          <w:rFonts w:hint="eastAsia" w:ascii="宋体" w:hAnsi="宋体" w:eastAsia="宋体" w:cs="宋体"/>
          <w:color w:val="auto"/>
          <w:sz w:val="22"/>
          <w:szCs w:val="22"/>
          <w:lang w:eastAsia="zh-CN"/>
        </w:rPr>
        <w:t>深圳</w:t>
      </w:r>
      <w:r>
        <w:rPr>
          <w:rFonts w:hint="eastAsia" w:ascii="宋体" w:hAnsi="宋体" w:eastAsia="宋体" w:cs="宋体"/>
          <w:color w:val="auto"/>
          <w:sz w:val="22"/>
          <w:szCs w:val="22"/>
        </w:rPr>
        <w:t>市药品采购工作平稳有序，承办机构在服务周期内需承担相关服务工作。</w:t>
      </w:r>
    </w:p>
    <w:p w14:paraId="5F4DAA69">
      <w:pPr>
        <w:keepNext w:val="0"/>
        <w:keepLines w:val="0"/>
        <w:pageBreakBefore w:val="0"/>
        <w:kinsoku/>
        <w:wordWrap/>
        <w:overflowPunct/>
        <w:topLinePunct w:val="0"/>
        <w:autoSpaceDE/>
        <w:autoSpaceDN/>
        <w:bidi w:val="0"/>
        <w:spacing w:line="360" w:lineRule="auto"/>
        <w:ind w:firstLine="440" w:firstLineChars="200"/>
        <w:jc w:val="both"/>
        <w:rPr>
          <w:rFonts w:hint="eastAsia" w:ascii="宋体" w:hAnsi="宋体" w:eastAsia="宋体" w:cs="宋体"/>
          <w:color w:val="auto"/>
          <w:sz w:val="22"/>
          <w:szCs w:val="22"/>
        </w:rPr>
      </w:pPr>
      <w:r>
        <w:rPr>
          <w:rFonts w:hint="eastAsia" w:ascii="宋体" w:hAnsi="宋体" w:eastAsia="宋体" w:cs="宋体"/>
          <w:color w:val="auto"/>
          <w:sz w:val="22"/>
          <w:szCs w:val="22"/>
        </w:rPr>
        <w:t>投标人在自身原有药品采购交易信息化</w:t>
      </w:r>
      <w:r>
        <w:rPr>
          <w:rFonts w:hint="eastAsia" w:ascii="宋体" w:hAnsi="宋体" w:eastAsia="宋体" w:cs="宋体"/>
          <w:color w:val="auto"/>
          <w:sz w:val="22"/>
          <w:szCs w:val="22"/>
          <w:lang w:val="en-US" w:eastAsia="zh-CN"/>
        </w:rPr>
        <w:t>系统</w:t>
      </w:r>
      <w:r>
        <w:rPr>
          <w:rFonts w:hint="eastAsia" w:ascii="宋体" w:hAnsi="宋体" w:eastAsia="宋体" w:cs="宋体"/>
          <w:color w:val="auto"/>
          <w:sz w:val="22"/>
          <w:szCs w:val="22"/>
        </w:rPr>
        <w:t>基础上，通过升级改造</w:t>
      </w:r>
      <w:r>
        <w:rPr>
          <w:rFonts w:hint="eastAsia" w:ascii="宋体" w:hAnsi="宋体" w:eastAsia="宋体" w:cs="宋体"/>
          <w:color w:val="auto"/>
          <w:sz w:val="22"/>
          <w:szCs w:val="22"/>
          <w:lang w:eastAsia="zh-CN"/>
        </w:rPr>
        <w:t>、运营维护</w:t>
      </w:r>
      <w:r>
        <w:rPr>
          <w:rFonts w:hint="eastAsia" w:ascii="宋体" w:hAnsi="宋体" w:eastAsia="宋体" w:cs="宋体"/>
          <w:color w:val="auto"/>
          <w:sz w:val="22"/>
          <w:szCs w:val="22"/>
        </w:rPr>
        <w:t>药品采购交易信息化</w:t>
      </w:r>
      <w:r>
        <w:rPr>
          <w:rFonts w:hint="eastAsia" w:ascii="宋体" w:hAnsi="宋体" w:eastAsia="宋体" w:cs="宋体"/>
          <w:color w:val="auto"/>
          <w:sz w:val="22"/>
          <w:szCs w:val="22"/>
          <w:lang w:val="en-US" w:eastAsia="zh-CN"/>
        </w:rPr>
        <w:t>系统</w:t>
      </w: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rPr>
        <w:t>营造公正透明、便捷高效的采购交易环境，促进医药行业高质量发展，推动医保、医疗、医药联动改革系统集成，为构建全国统一开放的药品公共采购市场进行先行示范。具体如下：</w:t>
      </w:r>
    </w:p>
    <w:p w14:paraId="366D046F">
      <w:pPr>
        <w:keepNext w:val="0"/>
        <w:keepLines w:val="0"/>
        <w:pageBreakBefore w:val="0"/>
        <w:kinsoku/>
        <w:wordWrap/>
        <w:overflowPunct/>
        <w:topLinePunct w:val="0"/>
        <w:autoSpaceDE/>
        <w:autoSpaceDN/>
        <w:bidi w:val="0"/>
        <w:spacing w:line="360" w:lineRule="auto"/>
        <w:ind w:firstLine="440" w:firstLineChars="200"/>
        <w:jc w:val="both"/>
        <w:rPr>
          <w:rFonts w:hint="eastAsia" w:ascii="宋体" w:hAnsi="宋体" w:eastAsia="宋体" w:cs="宋体"/>
          <w:color w:val="auto"/>
          <w:sz w:val="22"/>
          <w:szCs w:val="22"/>
        </w:rPr>
      </w:pPr>
      <w:r>
        <w:rPr>
          <w:rFonts w:hint="eastAsia" w:ascii="宋体" w:hAnsi="宋体" w:eastAsia="宋体" w:cs="宋体"/>
          <w:color w:val="auto"/>
          <w:sz w:val="22"/>
          <w:szCs w:val="22"/>
        </w:rPr>
        <w:t>1.执行国家、广东省和本市药品采购有关政策规定及相关职能部门的工作部署，为本市公立医疗机构提供具有公益性的药品采购交易服务；</w:t>
      </w:r>
    </w:p>
    <w:p w14:paraId="04D05CB9">
      <w:pPr>
        <w:keepNext w:val="0"/>
        <w:keepLines w:val="0"/>
        <w:pageBreakBefore w:val="0"/>
        <w:kinsoku/>
        <w:wordWrap/>
        <w:overflowPunct/>
        <w:topLinePunct w:val="0"/>
        <w:autoSpaceDE/>
        <w:autoSpaceDN/>
        <w:bidi w:val="0"/>
        <w:spacing w:line="360" w:lineRule="auto"/>
        <w:ind w:firstLine="440" w:firstLineChars="200"/>
        <w:jc w:val="both"/>
        <w:rPr>
          <w:rFonts w:hint="eastAsia" w:ascii="宋体" w:hAnsi="宋体" w:eastAsia="宋体" w:cs="宋体"/>
          <w:b w:val="0"/>
          <w:color w:val="auto"/>
          <w:sz w:val="22"/>
          <w:szCs w:val="22"/>
        </w:rPr>
      </w:pPr>
      <w:r>
        <w:rPr>
          <w:rFonts w:hint="eastAsia" w:ascii="宋体" w:hAnsi="宋体" w:eastAsia="宋体" w:cs="宋体"/>
          <w:color w:val="auto"/>
          <w:sz w:val="22"/>
          <w:szCs w:val="22"/>
        </w:rPr>
        <w:t>2.</w:t>
      </w:r>
      <w:r>
        <w:rPr>
          <w:rFonts w:hint="eastAsia" w:ascii="宋体" w:hAnsi="宋体" w:eastAsia="宋体" w:cs="宋体"/>
          <w:b w:val="0"/>
          <w:color w:val="auto"/>
          <w:sz w:val="22"/>
          <w:szCs w:val="22"/>
        </w:rPr>
        <w:t>建立健全药品采购交易服务工作制度，细化业务流程规范，完善资料存档、数据保密以及风险防控等机制；</w:t>
      </w:r>
    </w:p>
    <w:p w14:paraId="36552962">
      <w:pPr>
        <w:keepNext w:val="0"/>
        <w:keepLines w:val="0"/>
        <w:pageBreakBefore w:val="0"/>
        <w:kinsoku/>
        <w:wordWrap/>
        <w:overflowPunct/>
        <w:topLinePunct w:val="0"/>
        <w:autoSpaceDE/>
        <w:autoSpaceDN/>
        <w:bidi w:val="0"/>
        <w:spacing w:line="360" w:lineRule="auto"/>
        <w:ind w:firstLine="440" w:firstLineChars="200"/>
        <w:jc w:val="both"/>
        <w:rPr>
          <w:rFonts w:hint="eastAsia" w:ascii="宋体" w:hAnsi="宋体" w:eastAsia="宋体" w:cs="宋体"/>
          <w:color w:val="auto"/>
          <w:sz w:val="22"/>
          <w:szCs w:val="22"/>
        </w:rPr>
      </w:pPr>
      <w:r>
        <w:rPr>
          <w:rFonts w:hint="eastAsia" w:ascii="宋体" w:hAnsi="宋体" w:eastAsia="宋体" w:cs="宋体"/>
          <w:b w:val="0"/>
          <w:color w:val="auto"/>
          <w:sz w:val="22"/>
          <w:szCs w:val="22"/>
          <w:lang w:val="en-US" w:eastAsia="zh-CN"/>
        </w:rPr>
        <w:t>3.</w:t>
      </w:r>
      <w:r>
        <w:rPr>
          <w:rFonts w:hint="eastAsia" w:ascii="宋体" w:hAnsi="宋体" w:eastAsia="宋体" w:cs="宋体"/>
          <w:color w:val="auto"/>
          <w:sz w:val="22"/>
          <w:szCs w:val="22"/>
        </w:rPr>
        <w:t>运营维护集招标、采购、</w:t>
      </w:r>
      <w:r>
        <w:rPr>
          <w:rFonts w:hint="eastAsia" w:ascii="宋体" w:hAnsi="宋体" w:eastAsia="宋体" w:cs="宋体"/>
          <w:color w:val="auto"/>
          <w:sz w:val="22"/>
          <w:szCs w:val="22"/>
          <w:highlight w:val="none"/>
        </w:rPr>
        <w:t>交易、结算、</w:t>
      </w:r>
      <w:r>
        <w:rPr>
          <w:rFonts w:hint="eastAsia" w:ascii="宋体" w:hAnsi="宋体" w:eastAsia="宋体" w:cs="宋体"/>
          <w:color w:val="auto"/>
          <w:sz w:val="22"/>
          <w:szCs w:val="22"/>
          <w:highlight w:val="none"/>
          <w:lang w:eastAsia="zh-CN"/>
        </w:rPr>
        <w:t>监</w:t>
      </w:r>
      <w:r>
        <w:rPr>
          <w:rFonts w:hint="eastAsia" w:ascii="宋体" w:hAnsi="宋体" w:eastAsia="宋体" w:cs="宋体"/>
          <w:color w:val="auto"/>
          <w:sz w:val="22"/>
          <w:szCs w:val="22"/>
          <w:lang w:eastAsia="zh-CN"/>
        </w:rPr>
        <w:t>测</w:t>
      </w:r>
      <w:r>
        <w:rPr>
          <w:rFonts w:hint="eastAsia" w:ascii="宋体" w:hAnsi="宋体" w:eastAsia="宋体" w:cs="宋体"/>
          <w:color w:val="auto"/>
          <w:sz w:val="22"/>
          <w:szCs w:val="22"/>
        </w:rPr>
        <w:t>一体化</w:t>
      </w:r>
      <w:r>
        <w:rPr>
          <w:rFonts w:hint="eastAsia" w:ascii="宋体" w:hAnsi="宋体" w:eastAsia="宋体" w:cs="宋体"/>
          <w:color w:val="auto"/>
          <w:sz w:val="22"/>
          <w:szCs w:val="22"/>
          <w:lang w:eastAsia="zh-CN"/>
        </w:rPr>
        <w:t>的</w:t>
      </w:r>
      <w:r>
        <w:rPr>
          <w:rFonts w:hint="eastAsia" w:ascii="宋体" w:hAnsi="宋体" w:eastAsia="宋体" w:cs="宋体"/>
          <w:color w:val="auto"/>
          <w:sz w:val="22"/>
          <w:szCs w:val="22"/>
        </w:rPr>
        <w:t>深圳市药品采购交易信息化</w:t>
      </w:r>
      <w:r>
        <w:rPr>
          <w:rFonts w:hint="eastAsia" w:ascii="宋体" w:hAnsi="宋体" w:eastAsia="宋体" w:cs="宋体"/>
          <w:color w:val="auto"/>
          <w:sz w:val="22"/>
          <w:szCs w:val="22"/>
          <w:lang w:val="en-US" w:eastAsia="zh-CN"/>
        </w:rPr>
        <w:t>系统</w:t>
      </w:r>
      <w:r>
        <w:rPr>
          <w:rFonts w:hint="eastAsia" w:ascii="宋体" w:hAnsi="宋体" w:eastAsia="宋体" w:cs="宋体"/>
          <w:color w:val="auto"/>
          <w:sz w:val="22"/>
          <w:szCs w:val="22"/>
        </w:rPr>
        <w:t>，保障平台网络</w:t>
      </w:r>
      <w:r>
        <w:rPr>
          <w:rFonts w:hint="eastAsia" w:ascii="宋体" w:hAnsi="宋体" w:eastAsia="宋体" w:cs="宋体"/>
          <w:color w:val="auto"/>
          <w:sz w:val="22"/>
          <w:szCs w:val="22"/>
          <w:lang w:eastAsia="zh-CN"/>
        </w:rPr>
        <w:t>和</w:t>
      </w:r>
      <w:r>
        <w:rPr>
          <w:rFonts w:hint="eastAsia" w:ascii="宋体" w:hAnsi="宋体" w:eastAsia="宋体" w:cs="宋体"/>
          <w:color w:val="auto"/>
          <w:sz w:val="22"/>
          <w:szCs w:val="22"/>
        </w:rPr>
        <w:t>信息安全，并配合对接相关部门信息系统及</w:t>
      </w:r>
      <w:r>
        <w:rPr>
          <w:rFonts w:hint="eastAsia" w:ascii="宋体" w:hAnsi="宋体" w:eastAsia="宋体" w:cs="宋体"/>
          <w:color w:val="auto"/>
          <w:kern w:val="0"/>
          <w:sz w:val="22"/>
          <w:szCs w:val="22"/>
        </w:rPr>
        <w:t>上级部门监管信息系统</w:t>
      </w:r>
      <w:r>
        <w:rPr>
          <w:rFonts w:hint="eastAsia" w:ascii="宋体" w:hAnsi="宋体" w:eastAsia="宋体" w:cs="宋体"/>
          <w:color w:val="auto"/>
          <w:sz w:val="22"/>
          <w:szCs w:val="22"/>
        </w:rPr>
        <w:t>；</w:t>
      </w:r>
    </w:p>
    <w:p w14:paraId="20A7737A">
      <w:pPr>
        <w:keepNext w:val="0"/>
        <w:keepLines w:val="0"/>
        <w:pageBreakBefore w:val="0"/>
        <w:kinsoku/>
        <w:wordWrap/>
        <w:overflowPunct/>
        <w:topLinePunct w:val="0"/>
        <w:autoSpaceDE/>
        <w:autoSpaceDN/>
        <w:bidi w:val="0"/>
        <w:spacing w:line="360" w:lineRule="auto"/>
        <w:ind w:firstLine="440" w:firstLineChars="200"/>
        <w:jc w:val="both"/>
        <w:rPr>
          <w:rFonts w:hint="eastAsia" w:ascii="宋体" w:hAnsi="宋体" w:eastAsia="宋体" w:cs="宋体"/>
          <w:color w:val="auto"/>
          <w:sz w:val="22"/>
          <w:szCs w:val="22"/>
          <w:lang w:eastAsia="zh-CN"/>
        </w:rPr>
      </w:pPr>
      <w:r>
        <w:rPr>
          <w:rFonts w:hint="eastAsia" w:ascii="宋体" w:hAnsi="宋体" w:eastAsia="宋体" w:cs="宋体"/>
          <w:color w:val="auto"/>
          <w:sz w:val="22"/>
          <w:szCs w:val="22"/>
        </w:rPr>
        <w:t>4.提供直接挂网采购、限价挂网采购、带量采购和备案采购等采购模式</w:t>
      </w:r>
      <w:r>
        <w:rPr>
          <w:rFonts w:hint="eastAsia" w:ascii="宋体" w:hAnsi="宋体" w:eastAsia="宋体" w:cs="宋体"/>
          <w:color w:val="auto"/>
          <w:sz w:val="22"/>
          <w:szCs w:val="22"/>
          <w:lang w:eastAsia="zh-CN"/>
        </w:rPr>
        <w:t>，</w:t>
      </w:r>
      <w:r>
        <w:rPr>
          <w:rFonts w:hint="eastAsia" w:ascii="宋体" w:hAnsi="宋体" w:eastAsia="宋体" w:cs="宋体"/>
          <w:b w:val="0"/>
          <w:color w:val="auto"/>
          <w:sz w:val="22"/>
          <w:szCs w:val="22"/>
        </w:rPr>
        <w:t>负责平台挂网产品的信息维护、价格管理、分</w:t>
      </w:r>
      <w:r>
        <w:rPr>
          <w:rFonts w:hint="eastAsia" w:ascii="宋体" w:hAnsi="宋体" w:eastAsia="宋体" w:cs="宋体"/>
          <w:b w:val="0"/>
          <w:color w:val="auto"/>
          <w:sz w:val="22"/>
          <w:szCs w:val="22"/>
          <w:highlight w:val="none"/>
        </w:rPr>
        <w:t>类采购、交易配送、货款结算等</w:t>
      </w:r>
      <w:r>
        <w:rPr>
          <w:rFonts w:hint="eastAsia" w:ascii="宋体" w:hAnsi="宋体" w:eastAsia="宋体" w:cs="宋体"/>
          <w:b w:val="0"/>
          <w:color w:val="auto"/>
          <w:sz w:val="22"/>
          <w:szCs w:val="22"/>
        </w:rPr>
        <w:t>工作</w:t>
      </w:r>
      <w:r>
        <w:rPr>
          <w:rFonts w:hint="eastAsia" w:ascii="宋体" w:hAnsi="宋体" w:eastAsia="宋体" w:cs="宋体"/>
          <w:color w:val="auto"/>
          <w:sz w:val="22"/>
          <w:szCs w:val="22"/>
          <w:lang w:eastAsia="zh-CN"/>
        </w:rPr>
        <w:t>；</w:t>
      </w:r>
    </w:p>
    <w:p w14:paraId="3754FD42">
      <w:pPr>
        <w:pStyle w:val="2"/>
        <w:keepNext w:val="0"/>
        <w:keepLines w:val="0"/>
        <w:pageBreakBefore w:val="0"/>
        <w:widowControl w:val="0"/>
        <w:kinsoku/>
        <w:wordWrap/>
        <w:overflowPunct/>
        <w:topLinePunct w:val="0"/>
        <w:autoSpaceDE/>
        <w:autoSpaceDN/>
        <w:bidi w:val="0"/>
        <w:adjustRightInd w:val="0"/>
        <w:snapToGrid w:val="0"/>
        <w:spacing w:after="0" w:line="360" w:lineRule="auto"/>
        <w:ind w:firstLine="440" w:firstLineChars="200"/>
        <w:jc w:val="both"/>
        <w:textAlignment w:val="baseline"/>
        <w:rPr>
          <w:rFonts w:hint="eastAsia" w:ascii="宋体" w:hAnsi="宋体" w:eastAsia="宋体" w:cs="宋体"/>
          <w:b w:val="0"/>
          <w:bCs w:val="0"/>
          <w:color w:val="auto"/>
          <w:sz w:val="22"/>
          <w:szCs w:val="22"/>
        </w:rPr>
      </w:pPr>
      <w:r>
        <w:rPr>
          <w:rFonts w:hint="eastAsia" w:ascii="宋体" w:hAnsi="宋体" w:eastAsia="宋体" w:cs="宋体"/>
          <w:b w:val="0"/>
          <w:bCs w:val="0"/>
          <w:color w:val="auto"/>
          <w:sz w:val="22"/>
          <w:szCs w:val="22"/>
          <w:lang w:val="en-US" w:eastAsia="zh-CN"/>
        </w:rPr>
        <w:t>5.</w:t>
      </w:r>
      <w:r>
        <w:rPr>
          <w:rFonts w:hint="eastAsia" w:ascii="宋体" w:hAnsi="宋体" w:eastAsia="宋体" w:cs="宋体"/>
          <w:b w:val="0"/>
          <w:bCs w:val="0"/>
          <w:color w:val="auto"/>
          <w:sz w:val="22"/>
          <w:szCs w:val="22"/>
        </w:rPr>
        <w:t>负责制订药品招标采购</w:t>
      </w:r>
      <w:r>
        <w:rPr>
          <w:rFonts w:hint="eastAsia" w:ascii="宋体" w:hAnsi="宋体" w:eastAsia="宋体" w:cs="宋体"/>
          <w:b w:val="0"/>
          <w:bCs w:val="0"/>
          <w:color w:val="auto"/>
          <w:sz w:val="22"/>
          <w:szCs w:val="22"/>
          <w:lang w:eastAsia="zh-CN"/>
        </w:rPr>
        <w:t>文件、采购</w:t>
      </w:r>
      <w:r>
        <w:rPr>
          <w:rFonts w:hint="eastAsia" w:ascii="宋体" w:hAnsi="宋体" w:eastAsia="宋体" w:cs="宋体"/>
          <w:b w:val="0"/>
          <w:bCs w:val="0"/>
          <w:color w:val="auto"/>
          <w:sz w:val="22"/>
          <w:szCs w:val="22"/>
        </w:rPr>
        <w:t>方案并</w:t>
      </w:r>
      <w:r>
        <w:rPr>
          <w:rFonts w:hint="eastAsia" w:ascii="宋体" w:hAnsi="宋体" w:eastAsia="宋体" w:cs="宋体"/>
          <w:b w:val="0"/>
          <w:bCs w:val="0"/>
          <w:color w:val="auto"/>
          <w:sz w:val="22"/>
          <w:szCs w:val="22"/>
          <w:lang w:eastAsia="zh-CN"/>
        </w:rPr>
        <w:t>具体</w:t>
      </w:r>
      <w:r>
        <w:rPr>
          <w:rFonts w:hint="eastAsia" w:ascii="宋体" w:hAnsi="宋体" w:eastAsia="宋体" w:cs="宋体"/>
          <w:b w:val="0"/>
          <w:bCs w:val="0"/>
          <w:color w:val="auto"/>
          <w:sz w:val="22"/>
          <w:szCs w:val="22"/>
        </w:rPr>
        <w:t>实施，向采购交易各方提供业务咨询、信息及技术支持等服务；</w:t>
      </w:r>
    </w:p>
    <w:p w14:paraId="382BEB7C">
      <w:pPr>
        <w:keepNext w:val="0"/>
        <w:keepLines w:val="0"/>
        <w:pageBreakBefore w:val="0"/>
        <w:kinsoku/>
        <w:wordWrap/>
        <w:overflowPunct/>
        <w:topLinePunct w:val="0"/>
        <w:autoSpaceDE/>
        <w:autoSpaceDN/>
        <w:bidi w:val="0"/>
        <w:spacing w:line="360" w:lineRule="auto"/>
        <w:ind w:firstLine="440" w:firstLineChars="200"/>
        <w:jc w:val="both"/>
        <w:rPr>
          <w:rFonts w:hint="eastAsia" w:ascii="宋体" w:hAnsi="宋体" w:eastAsia="宋体" w:cs="宋体"/>
          <w:color w:val="auto"/>
          <w:sz w:val="22"/>
          <w:szCs w:val="22"/>
          <w:lang w:eastAsia="zh-CN"/>
        </w:rPr>
      </w:pPr>
      <w:r>
        <w:rPr>
          <w:rFonts w:hint="eastAsia" w:ascii="宋体" w:hAnsi="宋体" w:eastAsia="宋体" w:cs="宋体"/>
          <w:color w:val="auto"/>
          <w:sz w:val="22"/>
          <w:szCs w:val="22"/>
          <w:lang w:val="en-US" w:eastAsia="zh-CN"/>
        </w:rPr>
        <w:t>6</w:t>
      </w:r>
      <w:r>
        <w:rPr>
          <w:rFonts w:hint="eastAsia" w:ascii="宋体" w:hAnsi="宋体" w:eastAsia="宋体" w:cs="宋体"/>
          <w:color w:val="auto"/>
          <w:sz w:val="22"/>
          <w:szCs w:val="22"/>
        </w:rPr>
        <w:t>.贯彻执行国家药品标准化编码和规则，提供药品采购、交易、配送、结算等环节动态监测预警、统计分析等服务，并定期向相关职能部门报告</w:t>
      </w:r>
      <w:r>
        <w:rPr>
          <w:rFonts w:hint="eastAsia" w:ascii="宋体" w:hAnsi="宋体" w:eastAsia="宋体" w:cs="宋体"/>
          <w:color w:val="auto"/>
          <w:sz w:val="22"/>
          <w:szCs w:val="22"/>
          <w:lang w:eastAsia="zh-CN"/>
        </w:rPr>
        <w:t>；</w:t>
      </w:r>
    </w:p>
    <w:p w14:paraId="6C4DA616">
      <w:pPr>
        <w:keepNext w:val="0"/>
        <w:keepLines w:val="0"/>
        <w:pageBreakBefore w:val="0"/>
        <w:kinsoku/>
        <w:wordWrap/>
        <w:overflowPunct/>
        <w:topLinePunct w:val="0"/>
        <w:autoSpaceDE/>
        <w:autoSpaceDN/>
        <w:bidi w:val="0"/>
        <w:spacing w:line="360" w:lineRule="auto"/>
        <w:ind w:firstLine="440" w:firstLineChars="200"/>
        <w:jc w:val="both"/>
        <w:rPr>
          <w:rFonts w:hint="eastAsia" w:ascii="宋体" w:hAnsi="宋体" w:eastAsia="宋体" w:cs="宋体"/>
          <w:color w:val="auto"/>
          <w:sz w:val="22"/>
          <w:szCs w:val="22"/>
          <w:lang w:eastAsia="zh-CN"/>
        </w:rPr>
      </w:pPr>
      <w:r>
        <w:rPr>
          <w:rFonts w:hint="eastAsia" w:ascii="宋体" w:hAnsi="宋体" w:eastAsia="宋体" w:cs="宋体"/>
          <w:color w:val="auto"/>
          <w:sz w:val="22"/>
          <w:szCs w:val="22"/>
          <w:lang w:val="en-US" w:eastAsia="zh-CN"/>
        </w:rPr>
        <w:t>7</w:t>
      </w:r>
      <w:r>
        <w:rPr>
          <w:rFonts w:hint="eastAsia" w:ascii="宋体" w:hAnsi="宋体" w:eastAsia="宋体" w:cs="宋体"/>
          <w:color w:val="auto"/>
          <w:sz w:val="22"/>
          <w:szCs w:val="22"/>
        </w:rPr>
        <w:t>.</w:t>
      </w:r>
      <w:r>
        <w:rPr>
          <w:rFonts w:hint="eastAsia" w:ascii="宋体" w:hAnsi="宋体" w:eastAsia="宋体" w:cs="宋体"/>
          <w:color w:val="auto"/>
          <w:sz w:val="22"/>
          <w:szCs w:val="22"/>
          <w:lang w:eastAsia="zh-CN"/>
        </w:rPr>
        <w:t>落实</w:t>
      </w:r>
      <w:r>
        <w:rPr>
          <w:rFonts w:hint="eastAsia" w:ascii="宋体" w:hAnsi="宋体" w:eastAsia="宋体" w:cs="宋体"/>
          <w:color w:val="auto"/>
          <w:sz w:val="22"/>
          <w:szCs w:val="22"/>
        </w:rPr>
        <w:t>医药价格和招采信用评价制度</w:t>
      </w:r>
      <w:r>
        <w:rPr>
          <w:rFonts w:hint="eastAsia" w:ascii="宋体" w:hAnsi="宋体" w:eastAsia="宋体" w:cs="宋体"/>
          <w:color w:val="auto"/>
          <w:sz w:val="22"/>
          <w:szCs w:val="22"/>
          <w:lang w:eastAsia="zh-CN"/>
        </w:rPr>
        <w:t>，建立医药企业分级评价管理制度；</w:t>
      </w:r>
    </w:p>
    <w:p w14:paraId="018F9474">
      <w:pPr>
        <w:keepNext w:val="0"/>
        <w:keepLines w:val="0"/>
        <w:pageBreakBefore w:val="0"/>
        <w:kinsoku/>
        <w:wordWrap/>
        <w:overflowPunct/>
        <w:topLinePunct w:val="0"/>
        <w:autoSpaceDE/>
        <w:autoSpaceDN/>
        <w:bidi w:val="0"/>
        <w:spacing w:line="360" w:lineRule="auto"/>
        <w:ind w:firstLine="440" w:firstLineChars="200"/>
        <w:jc w:val="both"/>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8</w:t>
      </w:r>
      <w:r>
        <w:rPr>
          <w:rFonts w:hint="eastAsia" w:ascii="宋体" w:hAnsi="宋体" w:eastAsia="宋体" w:cs="宋体"/>
          <w:color w:val="auto"/>
          <w:sz w:val="22"/>
          <w:szCs w:val="22"/>
        </w:rPr>
        <w:t>.按</w:t>
      </w:r>
      <w:r>
        <w:rPr>
          <w:rFonts w:hint="eastAsia" w:ascii="宋体" w:hAnsi="宋体" w:eastAsia="宋体" w:cs="宋体"/>
          <w:color w:val="auto"/>
          <w:sz w:val="22"/>
          <w:szCs w:val="22"/>
          <w:highlight w:val="none"/>
        </w:rPr>
        <w:t>规定受理并及时调查、</w:t>
      </w:r>
      <w:r>
        <w:rPr>
          <w:rFonts w:hint="eastAsia" w:ascii="宋体" w:hAnsi="宋体" w:eastAsia="宋体" w:cs="宋体"/>
          <w:color w:val="auto"/>
          <w:sz w:val="22"/>
          <w:szCs w:val="22"/>
          <w:highlight w:val="none"/>
          <w:lang w:eastAsia="zh-CN"/>
        </w:rPr>
        <w:t>处置医药企业在</w:t>
      </w:r>
      <w:r>
        <w:rPr>
          <w:rFonts w:hint="eastAsia" w:ascii="宋体" w:hAnsi="宋体" w:eastAsia="宋体" w:cs="宋体"/>
          <w:color w:val="auto"/>
          <w:sz w:val="22"/>
          <w:szCs w:val="22"/>
          <w:highlight w:val="none"/>
        </w:rPr>
        <w:t>药品</w:t>
      </w:r>
      <w:r>
        <w:rPr>
          <w:rFonts w:hint="eastAsia" w:ascii="宋体" w:hAnsi="宋体" w:eastAsia="宋体" w:cs="宋体"/>
          <w:color w:val="auto"/>
          <w:sz w:val="22"/>
          <w:szCs w:val="22"/>
          <w:highlight w:val="none"/>
          <w:lang w:eastAsia="zh-CN"/>
        </w:rPr>
        <w:t>挂网</w:t>
      </w:r>
      <w:r>
        <w:rPr>
          <w:rFonts w:hint="eastAsia" w:ascii="宋体" w:hAnsi="宋体" w:eastAsia="宋体" w:cs="宋体"/>
          <w:color w:val="auto"/>
          <w:sz w:val="22"/>
          <w:szCs w:val="22"/>
          <w:highlight w:val="none"/>
        </w:rPr>
        <w:t>、</w:t>
      </w:r>
      <w:r>
        <w:rPr>
          <w:rFonts w:hint="eastAsia" w:ascii="宋体" w:hAnsi="宋体" w:eastAsia="宋体" w:cs="宋体"/>
          <w:color w:val="auto"/>
          <w:sz w:val="22"/>
          <w:szCs w:val="22"/>
          <w:highlight w:val="none"/>
          <w:lang w:eastAsia="zh-CN"/>
        </w:rPr>
        <w:t>采购、</w:t>
      </w:r>
      <w:r>
        <w:rPr>
          <w:rFonts w:hint="eastAsia" w:ascii="宋体" w:hAnsi="宋体" w:eastAsia="宋体" w:cs="宋体"/>
          <w:color w:val="auto"/>
          <w:sz w:val="22"/>
          <w:szCs w:val="22"/>
          <w:highlight w:val="none"/>
        </w:rPr>
        <w:t>交易、</w:t>
      </w:r>
      <w:r>
        <w:rPr>
          <w:rFonts w:hint="eastAsia" w:ascii="宋体" w:hAnsi="宋体" w:eastAsia="宋体" w:cs="宋体"/>
          <w:color w:val="auto"/>
          <w:sz w:val="22"/>
          <w:szCs w:val="22"/>
          <w:highlight w:val="none"/>
          <w:lang w:eastAsia="zh-CN"/>
        </w:rPr>
        <w:t>配送、</w:t>
      </w:r>
      <w:r>
        <w:rPr>
          <w:rFonts w:hint="eastAsia" w:ascii="宋体" w:hAnsi="宋体" w:eastAsia="宋体" w:cs="宋体"/>
          <w:color w:val="auto"/>
          <w:sz w:val="22"/>
          <w:szCs w:val="22"/>
          <w:highlight w:val="none"/>
        </w:rPr>
        <w:t>结算</w:t>
      </w:r>
      <w:r>
        <w:rPr>
          <w:rFonts w:hint="eastAsia" w:ascii="宋体" w:hAnsi="宋体" w:eastAsia="宋体" w:cs="宋体"/>
          <w:color w:val="auto"/>
          <w:sz w:val="22"/>
          <w:szCs w:val="22"/>
          <w:highlight w:val="none"/>
          <w:lang w:eastAsia="zh-CN"/>
        </w:rPr>
        <w:t>等过程中的申</w:t>
      </w:r>
      <w:r>
        <w:rPr>
          <w:rFonts w:hint="eastAsia" w:ascii="宋体" w:hAnsi="宋体" w:eastAsia="宋体" w:cs="宋体"/>
          <w:color w:val="auto"/>
          <w:sz w:val="22"/>
          <w:szCs w:val="22"/>
          <w:lang w:eastAsia="zh-CN"/>
        </w:rPr>
        <w:t>投诉和举报</w:t>
      </w:r>
      <w:r>
        <w:rPr>
          <w:rFonts w:hint="eastAsia" w:ascii="宋体" w:hAnsi="宋体" w:eastAsia="宋体" w:cs="宋体"/>
          <w:color w:val="auto"/>
          <w:sz w:val="22"/>
          <w:szCs w:val="22"/>
        </w:rPr>
        <w:t>；</w:t>
      </w:r>
    </w:p>
    <w:p w14:paraId="63593625">
      <w:pPr>
        <w:keepNext w:val="0"/>
        <w:keepLines w:val="0"/>
        <w:pageBreakBefore w:val="0"/>
        <w:kinsoku/>
        <w:wordWrap/>
        <w:overflowPunct/>
        <w:topLinePunct w:val="0"/>
        <w:autoSpaceDE/>
        <w:autoSpaceDN/>
        <w:bidi w:val="0"/>
        <w:spacing w:line="360" w:lineRule="auto"/>
        <w:ind w:firstLine="440" w:firstLineChars="200"/>
        <w:jc w:val="both"/>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9</w:t>
      </w:r>
      <w:r>
        <w:rPr>
          <w:rFonts w:hint="eastAsia" w:ascii="宋体" w:hAnsi="宋体" w:eastAsia="宋体" w:cs="宋体"/>
          <w:color w:val="auto"/>
          <w:sz w:val="22"/>
          <w:szCs w:val="22"/>
        </w:rPr>
        <w:t>.按要求</w:t>
      </w:r>
      <w:r>
        <w:rPr>
          <w:rFonts w:hint="eastAsia" w:ascii="宋体" w:hAnsi="宋体" w:eastAsia="宋体" w:cs="宋体"/>
          <w:color w:val="auto"/>
          <w:sz w:val="22"/>
          <w:szCs w:val="22"/>
          <w:lang w:eastAsia="zh-CN"/>
        </w:rPr>
        <w:t>报送药品招标采购</w:t>
      </w:r>
      <w:r>
        <w:rPr>
          <w:rFonts w:hint="eastAsia" w:ascii="宋体" w:hAnsi="宋体" w:eastAsia="宋体" w:cs="宋体"/>
          <w:color w:val="auto"/>
          <w:sz w:val="22"/>
          <w:szCs w:val="22"/>
        </w:rPr>
        <w:t>相关数据</w:t>
      </w: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rPr>
        <w:t>资料信息</w:t>
      </w:r>
      <w:r>
        <w:rPr>
          <w:rFonts w:hint="eastAsia" w:ascii="宋体" w:hAnsi="宋体" w:eastAsia="宋体" w:cs="宋体"/>
          <w:color w:val="auto"/>
          <w:sz w:val="22"/>
          <w:szCs w:val="22"/>
          <w:lang w:eastAsia="zh-CN"/>
        </w:rPr>
        <w:t>等</w:t>
      </w:r>
      <w:r>
        <w:rPr>
          <w:rFonts w:hint="eastAsia" w:ascii="宋体" w:hAnsi="宋体" w:eastAsia="宋体" w:cs="宋体"/>
          <w:color w:val="auto"/>
          <w:sz w:val="22"/>
          <w:szCs w:val="22"/>
        </w:rPr>
        <w:t>，</w:t>
      </w:r>
      <w:r>
        <w:rPr>
          <w:rFonts w:hint="eastAsia" w:ascii="宋体" w:hAnsi="宋体" w:eastAsia="宋体" w:cs="宋体"/>
          <w:color w:val="auto"/>
          <w:sz w:val="22"/>
          <w:szCs w:val="22"/>
          <w:lang w:eastAsia="zh-CN"/>
        </w:rPr>
        <w:t>并确保信息的及时性、完整性及准确性，</w:t>
      </w:r>
      <w:r>
        <w:rPr>
          <w:rFonts w:hint="eastAsia" w:ascii="宋体" w:hAnsi="宋体" w:eastAsia="宋体" w:cs="宋体"/>
          <w:color w:val="auto"/>
          <w:sz w:val="22"/>
          <w:szCs w:val="22"/>
        </w:rPr>
        <w:t>接受医疗保障部门及相关职能部门的监管，配合审计、审查等工作；</w:t>
      </w:r>
    </w:p>
    <w:p w14:paraId="6DAD2C5C">
      <w:pPr>
        <w:keepNext w:val="0"/>
        <w:keepLines w:val="0"/>
        <w:pageBreakBefore w:val="0"/>
        <w:numPr>
          <w:ilvl w:val="255"/>
          <w:numId w:val="0"/>
        </w:numPr>
        <w:kinsoku/>
        <w:wordWrap/>
        <w:overflowPunct/>
        <w:topLinePunct w:val="0"/>
        <w:autoSpaceDE/>
        <w:autoSpaceDN/>
        <w:bidi w:val="0"/>
        <w:spacing w:line="360" w:lineRule="auto"/>
        <w:ind w:firstLine="440" w:firstLineChars="200"/>
        <w:jc w:val="both"/>
        <w:rPr>
          <w:rFonts w:hint="eastAsia" w:ascii="宋体" w:hAnsi="宋体" w:eastAsia="宋体" w:cs="宋体"/>
          <w:color w:val="auto"/>
          <w:sz w:val="22"/>
          <w:szCs w:val="22"/>
        </w:rPr>
      </w:pPr>
      <w:r>
        <w:rPr>
          <w:rFonts w:hint="eastAsia" w:ascii="宋体" w:hAnsi="宋体" w:eastAsia="宋体" w:cs="宋体"/>
          <w:color w:val="auto"/>
          <w:sz w:val="22"/>
          <w:szCs w:val="22"/>
        </w:rPr>
        <w:t>1</w:t>
      </w:r>
      <w:r>
        <w:rPr>
          <w:rFonts w:hint="eastAsia" w:ascii="宋体" w:hAnsi="宋体" w:eastAsia="宋体" w:cs="宋体"/>
          <w:color w:val="auto"/>
          <w:sz w:val="22"/>
          <w:szCs w:val="22"/>
          <w:lang w:val="en-US" w:eastAsia="zh-CN"/>
        </w:rPr>
        <w:t>0</w:t>
      </w:r>
      <w:r>
        <w:rPr>
          <w:rFonts w:hint="eastAsia" w:ascii="宋体" w:hAnsi="宋体" w:eastAsia="宋体" w:cs="宋体"/>
          <w:color w:val="auto"/>
          <w:sz w:val="22"/>
          <w:szCs w:val="22"/>
        </w:rPr>
        <w:t>.配合落实相关职能部门要求的其他工作。</w:t>
      </w:r>
    </w:p>
    <w:p w14:paraId="43B8DA64">
      <w:pPr>
        <w:pageBreakBefore w:val="0"/>
        <w:kinsoku/>
        <w:wordWrap/>
        <w:overflowPunct/>
        <w:topLinePunct w:val="0"/>
        <w:autoSpaceDE/>
        <w:autoSpaceDN/>
        <w:bidi w:val="0"/>
        <w:spacing w:line="360" w:lineRule="auto"/>
        <w:ind w:left="0" w:leftChars="0" w:firstLine="442" w:firstLineChars="200"/>
        <w:jc w:val="center"/>
        <w:rPr>
          <w:rFonts w:hint="eastAsia" w:ascii="宋体" w:hAnsi="宋体" w:eastAsia="宋体" w:cs="宋体"/>
          <w:b/>
          <w:color w:val="auto"/>
          <w:sz w:val="22"/>
          <w:szCs w:val="22"/>
        </w:rPr>
      </w:pPr>
      <w:r>
        <w:rPr>
          <w:rFonts w:hint="eastAsia" w:ascii="宋体" w:hAnsi="宋体" w:eastAsia="宋体" w:cs="宋体"/>
          <w:b/>
          <w:color w:val="auto"/>
          <w:sz w:val="22"/>
          <w:szCs w:val="22"/>
          <w:lang w:eastAsia="zh-CN"/>
        </w:rPr>
        <w:t>（二）</w:t>
      </w:r>
      <w:r>
        <w:rPr>
          <w:rFonts w:hint="eastAsia" w:ascii="宋体" w:hAnsi="宋体" w:eastAsia="宋体" w:cs="宋体"/>
          <w:b/>
          <w:color w:val="auto"/>
          <w:sz w:val="22"/>
          <w:szCs w:val="22"/>
        </w:rPr>
        <w:t>药品采购交易信息化</w:t>
      </w:r>
      <w:r>
        <w:rPr>
          <w:rFonts w:hint="eastAsia" w:ascii="宋体" w:hAnsi="宋体" w:eastAsia="宋体" w:cs="宋体"/>
          <w:b/>
          <w:color w:val="auto"/>
          <w:sz w:val="22"/>
          <w:szCs w:val="22"/>
          <w:lang w:val="en-US" w:eastAsia="zh-CN"/>
        </w:rPr>
        <w:t>系统</w:t>
      </w:r>
      <w:r>
        <w:rPr>
          <w:rFonts w:hint="eastAsia" w:ascii="宋体" w:hAnsi="宋体" w:eastAsia="宋体" w:cs="宋体"/>
          <w:b/>
          <w:color w:val="auto"/>
          <w:sz w:val="22"/>
          <w:szCs w:val="22"/>
        </w:rPr>
        <w:t>要求</w:t>
      </w:r>
    </w:p>
    <w:p w14:paraId="79143DA2">
      <w:pPr>
        <w:keepNext w:val="0"/>
        <w:keepLines w:val="0"/>
        <w:pageBreakBefore w:val="0"/>
        <w:widowControl/>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投标人应根据本章节的要求提供</w:t>
      </w:r>
      <w:r>
        <w:rPr>
          <w:rFonts w:hint="eastAsia" w:ascii="宋体" w:hAnsi="宋体" w:eastAsia="宋体" w:cs="宋体"/>
          <w:color w:val="auto"/>
          <w:sz w:val="22"/>
          <w:szCs w:val="22"/>
          <w:highlight w:val="none"/>
        </w:rPr>
        <w:t>系统软件设计方案，包</w:t>
      </w:r>
      <w:r>
        <w:rPr>
          <w:rFonts w:hint="eastAsia" w:ascii="宋体" w:hAnsi="宋体" w:eastAsia="宋体" w:cs="宋体"/>
          <w:color w:val="auto"/>
          <w:sz w:val="22"/>
          <w:szCs w:val="22"/>
        </w:rPr>
        <w:t>括系统总体架构、各功能模块的详细文字、图示说明。</w:t>
      </w:r>
    </w:p>
    <w:p w14:paraId="46ECF5F5">
      <w:pPr>
        <w:keepNext w:val="0"/>
        <w:keepLines w:val="0"/>
        <w:pageBreakBefore w:val="0"/>
        <w:widowControl/>
        <w:kinsoku/>
        <w:wordWrap/>
        <w:overflowPunct/>
        <w:topLinePunct w:val="0"/>
        <w:autoSpaceDE/>
        <w:autoSpaceDN/>
        <w:bidi w:val="0"/>
        <w:adjustRightInd/>
        <w:snapToGrid/>
        <w:spacing w:line="360" w:lineRule="auto"/>
        <w:ind w:firstLine="442" w:firstLineChars="200"/>
        <w:jc w:val="both"/>
        <w:textAlignment w:val="auto"/>
        <w:rPr>
          <w:rFonts w:hint="eastAsia" w:ascii="宋体" w:hAnsi="宋体" w:eastAsia="宋体" w:cs="宋体"/>
          <w:b/>
          <w:bCs/>
          <w:color w:val="auto"/>
          <w:sz w:val="22"/>
          <w:szCs w:val="22"/>
        </w:rPr>
      </w:pPr>
      <w:r>
        <w:rPr>
          <w:rFonts w:hint="eastAsia" w:ascii="宋体" w:hAnsi="宋体" w:eastAsia="宋体" w:cs="宋体"/>
          <w:b/>
          <w:bCs/>
          <w:color w:val="auto"/>
          <w:sz w:val="22"/>
          <w:szCs w:val="22"/>
        </w:rPr>
        <w:t>一、平台系统目标</w:t>
      </w:r>
    </w:p>
    <w:p w14:paraId="1EED1542">
      <w:pPr>
        <w:keepNext w:val="0"/>
        <w:keepLines w:val="0"/>
        <w:pageBreakBefore w:val="0"/>
        <w:widowControl/>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深圳药品</w:t>
      </w:r>
      <w:r>
        <w:rPr>
          <w:rFonts w:hint="eastAsia" w:ascii="宋体" w:hAnsi="宋体" w:eastAsia="宋体" w:cs="宋体"/>
          <w:color w:val="auto"/>
          <w:sz w:val="22"/>
          <w:szCs w:val="22"/>
          <w:lang w:eastAsia="zh-CN"/>
        </w:rPr>
        <w:t>采购</w:t>
      </w:r>
      <w:r>
        <w:rPr>
          <w:rFonts w:hint="eastAsia" w:ascii="宋体" w:hAnsi="宋体" w:eastAsia="宋体" w:cs="宋体"/>
          <w:color w:val="auto"/>
          <w:sz w:val="22"/>
          <w:szCs w:val="22"/>
        </w:rPr>
        <w:t>平台业务目标是实现深圳市药品招采、交易</w:t>
      </w:r>
      <w:r>
        <w:rPr>
          <w:rFonts w:hint="eastAsia" w:ascii="宋体" w:hAnsi="宋体" w:eastAsia="宋体" w:cs="宋体"/>
          <w:color w:val="auto"/>
          <w:sz w:val="22"/>
          <w:szCs w:val="22"/>
          <w:highlight w:val="none"/>
        </w:rPr>
        <w:t>、配送、结算和</w:t>
      </w:r>
      <w:r>
        <w:rPr>
          <w:rFonts w:hint="eastAsia" w:ascii="宋体" w:hAnsi="宋体" w:eastAsia="宋体" w:cs="宋体"/>
          <w:color w:val="auto"/>
          <w:sz w:val="22"/>
          <w:szCs w:val="22"/>
        </w:rPr>
        <w:t>监督管理，实现药品信息储存分析、分类釆购、合同管理、订单交易、配送管理</w:t>
      </w:r>
      <w:r>
        <w:rPr>
          <w:rFonts w:hint="eastAsia" w:ascii="宋体" w:hAnsi="宋体" w:eastAsia="宋体" w:cs="宋体"/>
          <w:color w:val="auto"/>
          <w:sz w:val="22"/>
          <w:szCs w:val="22"/>
          <w:highlight w:val="none"/>
        </w:rPr>
        <w:t>、结算支付、药品不</w:t>
      </w:r>
      <w:r>
        <w:rPr>
          <w:rFonts w:hint="eastAsia" w:ascii="宋体" w:hAnsi="宋体" w:eastAsia="宋体" w:cs="宋体"/>
          <w:color w:val="auto"/>
          <w:sz w:val="22"/>
          <w:szCs w:val="22"/>
        </w:rPr>
        <w:t>良反应信息收集、企业信用评定、采购交易全流程监测分析等需求服务功能。</w:t>
      </w:r>
    </w:p>
    <w:p w14:paraId="08CC0ECC">
      <w:pPr>
        <w:keepNext w:val="0"/>
        <w:keepLines w:val="0"/>
        <w:pageBreakBefore w:val="0"/>
        <w:widowControl/>
        <w:kinsoku/>
        <w:wordWrap/>
        <w:overflowPunct/>
        <w:topLinePunct w:val="0"/>
        <w:autoSpaceDE/>
        <w:autoSpaceDN/>
        <w:bidi w:val="0"/>
        <w:adjustRightInd/>
        <w:snapToGrid/>
        <w:spacing w:line="360" w:lineRule="auto"/>
        <w:ind w:firstLine="442" w:firstLineChars="200"/>
        <w:jc w:val="both"/>
        <w:textAlignment w:val="auto"/>
        <w:rPr>
          <w:rFonts w:hint="eastAsia" w:ascii="宋体" w:hAnsi="宋体" w:eastAsia="宋体" w:cs="宋体"/>
          <w:b/>
          <w:bCs/>
          <w:color w:val="auto"/>
          <w:sz w:val="22"/>
          <w:szCs w:val="22"/>
        </w:rPr>
      </w:pPr>
      <w:r>
        <w:rPr>
          <w:rFonts w:hint="eastAsia" w:ascii="宋体" w:hAnsi="宋体" w:eastAsia="宋体" w:cs="宋体"/>
          <w:b/>
          <w:bCs/>
          <w:color w:val="auto"/>
          <w:sz w:val="22"/>
          <w:szCs w:val="22"/>
        </w:rPr>
        <w:t>二、系统功能需求</w:t>
      </w:r>
    </w:p>
    <w:p w14:paraId="2065ED97">
      <w:pPr>
        <w:keepNext w:val="0"/>
        <w:keepLines w:val="0"/>
        <w:pageBreakBefore w:val="0"/>
        <w:widowControl/>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采购人在招标文件中只列出了初步需求，并不是最终系统功能，投标人应根据自己对采购人业务需求的理解和自己以往的建设经验提供完整的设计方案，提出规范的、详尽和完善的功能需求，包括本招标需求。投标人应根据市委市政府及上级领导的要求，在项目实施时对用户进行详细的调研以明确用户的需求。</w:t>
      </w:r>
    </w:p>
    <w:p w14:paraId="1C635860">
      <w:pPr>
        <w:keepNext w:val="0"/>
        <w:keepLines w:val="0"/>
        <w:pageBreakBefore w:val="0"/>
        <w:widowControl/>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深圳药品采购平台的业务需求包括1</w:t>
      </w:r>
      <w:r>
        <w:rPr>
          <w:rFonts w:hint="eastAsia" w:ascii="宋体" w:hAnsi="宋体" w:eastAsia="宋体" w:cs="宋体"/>
          <w:color w:val="auto"/>
          <w:sz w:val="22"/>
          <w:szCs w:val="22"/>
          <w:lang w:val="en-US" w:eastAsia="zh-CN"/>
        </w:rPr>
        <w:t>8</w:t>
      </w:r>
      <w:r>
        <w:rPr>
          <w:rFonts w:hint="eastAsia" w:ascii="宋体" w:hAnsi="宋体" w:eastAsia="宋体" w:cs="宋体"/>
          <w:color w:val="auto"/>
          <w:sz w:val="22"/>
          <w:szCs w:val="22"/>
        </w:rPr>
        <w:t>大子系统，分别为：一、基础管理</w:t>
      </w:r>
      <w:r>
        <w:rPr>
          <w:rFonts w:hint="eastAsia" w:ascii="宋体" w:hAnsi="宋体" w:eastAsia="宋体" w:cs="宋体"/>
          <w:color w:val="auto"/>
          <w:sz w:val="22"/>
          <w:szCs w:val="22"/>
          <w:lang w:val="en-US" w:eastAsia="zh-CN"/>
        </w:rPr>
        <w:t>子</w:t>
      </w:r>
      <w:r>
        <w:rPr>
          <w:rFonts w:hint="eastAsia" w:ascii="宋体" w:hAnsi="宋体" w:eastAsia="宋体" w:cs="宋体"/>
          <w:color w:val="auto"/>
          <w:sz w:val="22"/>
          <w:szCs w:val="22"/>
        </w:rPr>
        <w:t>系统；二、用户管理</w:t>
      </w:r>
      <w:r>
        <w:rPr>
          <w:rFonts w:hint="eastAsia" w:ascii="宋体" w:hAnsi="宋体" w:eastAsia="宋体" w:cs="宋体"/>
          <w:color w:val="auto"/>
          <w:sz w:val="22"/>
          <w:szCs w:val="22"/>
          <w:lang w:val="en-US" w:eastAsia="zh-CN"/>
        </w:rPr>
        <w:t>子</w:t>
      </w:r>
      <w:r>
        <w:rPr>
          <w:rFonts w:hint="eastAsia" w:ascii="宋体" w:hAnsi="宋体" w:eastAsia="宋体" w:cs="宋体"/>
          <w:color w:val="auto"/>
          <w:sz w:val="22"/>
          <w:szCs w:val="22"/>
        </w:rPr>
        <w:t>系统、三、招标管理</w:t>
      </w:r>
      <w:r>
        <w:rPr>
          <w:rFonts w:hint="eastAsia" w:ascii="宋体" w:hAnsi="宋体" w:eastAsia="宋体" w:cs="宋体"/>
          <w:color w:val="auto"/>
          <w:sz w:val="22"/>
          <w:szCs w:val="22"/>
          <w:lang w:val="en-US" w:eastAsia="zh-CN"/>
        </w:rPr>
        <w:t>子</w:t>
      </w:r>
      <w:r>
        <w:rPr>
          <w:rFonts w:hint="eastAsia" w:ascii="宋体" w:hAnsi="宋体" w:eastAsia="宋体" w:cs="宋体"/>
          <w:color w:val="auto"/>
          <w:sz w:val="22"/>
          <w:szCs w:val="22"/>
        </w:rPr>
        <w:t>系统；四、在线交易管理</w:t>
      </w:r>
      <w:r>
        <w:rPr>
          <w:rFonts w:hint="eastAsia" w:ascii="宋体" w:hAnsi="宋体" w:eastAsia="宋体" w:cs="宋体"/>
          <w:color w:val="auto"/>
          <w:sz w:val="22"/>
          <w:szCs w:val="22"/>
          <w:lang w:val="en-US" w:eastAsia="zh-CN"/>
        </w:rPr>
        <w:t>子</w:t>
      </w:r>
      <w:r>
        <w:rPr>
          <w:rFonts w:hint="eastAsia" w:ascii="宋体" w:hAnsi="宋体" w:eastAsia="宋体" w:cs="宋体"/>
          <w:color w:val="auto"/>
          <w:sz w:val="22"/>
          <w:szCs w:val="22"/>
        </w:rPr>
        <w:t>系统；</w:t>
      </w:r>
      <w:r>
        <w:rPr>
          <w:rFonts w:hint="eastAsia" w:ascii="宋体" w:hAnsi="宋体" w:eastAsia="宋体" w:cs="宋体"/>
          <w:color w:val="auto"/>
          <w:sz w:val="22"/>
          <w:szCs w:val="22"/>
          <w:lang w:eastAsia="zh-CN"/>
        </w:rPr>
        <w:t>五</w:t>
      </w:r>
      <w:r>
        <w:rPr>
          <w:rFonts w:hint="eastAsia" w:ascii="宋体" w:hAnsi="宋体" w:eastAsia="宋体" w:cs="宋体"/>
          <w:color w:val="auto"/>
          <w:sz w:val="22"/>
          <w:szCs w:val="22"/>
        </w:rPr>
        <w:t>、申投诉管理</w:t>
      </w:r>
      <w:r>
        <w:rPr>
          <w:rFonts w:hint="eastAsia" w:ascii="宋体" w:hAnsi="宋体" w:eastAsia="宋体" w:cs="宋体"/>
          <w:color w:val="auto"/>
          <w:sz w:val="22"/>
          <w:szCs w:val="22"/>
          <w:lang w:val="en-US" w:eastAsia="zh-CN"/>
        </w:rPr>
        <w:t>子</w:t>
      </w:r>
      <w:r>
        <w:rPr>
          <w:rFonts w:hint="eastAsia" w:ascii="宋体" w:hAnsi="宋体" w:eastAsia="宋体" w:cs="宋体"/>
          <w:color w:val="auto"/>
          <w:sz w:val="22"/>
          <w:szCs w:val="22"/>
        </w:rPr>
        <w:t>系统；</w:t>
      </w:r>
      <w:r>
        <w:rPr>
          <w:rFonts w:hint="eastAsia" w:ascii="宋体" w:hAnsi="宋体" w:eastAsia="宋体" w:cs="宋体"/>
          <w:color w:val="auto"/>
          <w:sz w:val="22"/>
          <w:szCs w:val="22"/>
          <w:lang w:eastAsia="zh-CN"/>
        </w:rPr>
        <w:t>六</w:t>
      </w:r>
      <w:r>
        <w:rPr>
          <w:rFonts w:hint="eastAsia" w:ascii="宋体" w:hAnsi="宋体" w:eastAsia="宋体" w:cs="宋体"/>
          <w:color w:val="auto"/>
          <w:sz w:val="22"/>
          <w:szCs w:val="22"/>
        </w:rPr>
        <w:t>、</w:t>
      </w:r>
      <w:r>
        <w:rPr>
          <w:rFonts w:hint="eastAsia" w:ascii="宋体" w:hAnsi="宋体" w:eastAsia="宋体" w:cs="宋体"/>
          <w:color w:val="auto"/>
          <w:sz w:val="22"/>
          <w:szCs w:val="22"/>
          <w:lang w:val="en-US" w:eastAsia="zh-CN"/>
        </w:rPr>
        <w:t>医药价格和招采</w:t>
      </w:r>
      <w:r>
        <w:rPr>
          <w:rFonts w:hint="eastAsia" w:ascii="宋体" w:hAnsi="宋体" w:eastAsia="宋体" w:cs="宋体"/>
          <w:color w:val="auto"/>
          <w:sz w:val="22"/>
          <w:szCs w:val="22"/>
        </w:rPr>
        <w:t>信用评价管理</w:t>
      </w:r>
      <w:r>
        <w:rPr>
          <w:rFonts w:hint="eastAsia" w:ascii="宋体" w:hAnsi="宋体" w:eastAsia="宋体" w:cs="宋体"/>
          <w:color w:val="auto"/>
          <w:sz w:val="22"/>
          <w:szCs w:val="22"/>
          <w:lang w:val="en-US" w:eastAsia="zh-CN"/>
        </w:rPr>
        <w:t>子</w:t>
      </w:r>
      <w:r>
        <w:rPr>
          <w:rFonts w:hint="eastAsia" w:ascii="宋体" w:hAnsi="宋体" w:eastAsia="宋体" w:cs="宋体"/>
          <w:color w:val="auto"/>
          <w:sz w:val="22"/>
          <w:szCs w:val="22"/>
        </w:rPr>
        <w:t>系统</w:t>
      </w:r>
      <w:r>
        <w:rPr>
          <w:rFonts w:hint="eastAsia" w:ascii="宋体" w:hAnsi="宋体" w:eastAsia="宋体" w:cs="宋体"/>
          <w:color w:val="auto"/>
          <w:sz w:val="22"/>
          <w:szCs w:val="22"/>
          <w:highlight w:val="none"/>
        </w:rPr>
        <w:t>；</w:t>
      </w:r>
      <w:r>
        <w:rPr>
          <w:rFonts w:hint="eastAsia" w:ascii="宋体" w:hAnsi="宋体" w:eastAsia="宋体" w:cs="宋体"/>
          <w:color w:val="auto"/>
          <w:sz w:val="22"/>
          <w:szCs w:val="22"/>
          <w:highlight w:val="none"/>
          <w:lang w:eastAsia="zh-CN"/>
        </w:rPr>
        <w:t>七</w:t>
      </w:r>
      <w:r>
        <w:rPr>
          <w:rFonts w:hint="eastAsia" w:ascii="宋体" w:hAnsi="宋体" w:eastAsia="宋体" w:cs="宋体"/>
          <w:color w:val="auto"/>
          <w:sz w:val="22"/>
          <w:szCs w:val="22"/>
          <w:highlight w:val="none"/>
        </w:rPr>
        <w:t>、药品不良反应信息收集</w:t>
      </w:r>
      <w:r>
        <w:rPr>
          <w:rFonts w:hint="eastAsia" w:ascii="宋体" w:hAnsi="宋体" w:eastAsia="宋体" w:cs="宋体"/>
          <w:color w:val="auto"/>
          <w:sz w:val="22"/>
          <w:szCs w:val="22"/>
          <w:highlight w:val="none"/>
          <w:lang w:val="en-US" w:eastAsia="zh-CN"/>
        </w:rPr>
        <w:t>子</w:t>
      </w:r>
      <w:r>
        <w:rPr>
          <w:rFonts w:hint="eastAsia" w:ascii="宋体" w:hAnsi="宋体" w:eastAsia="宋体" w:cs="宋体"/>
          <w:color w:val="auto"/>
          <w:sz w:val="22"/>
          <w:szCs w:val="22"/>
          <w:highlight w:val="none"/>
        </w:rPr>
        <w:t>系统；</w:t>
      </w:r>
      <w:r>
        <w:rPr>
          <w:rFonts w:hint="eastAsia" w:ascii="宋体" w:hAnsi="宋体" w:eastAsia="宋体" w:cs="宋体"/>
          <w:color w:val="auto"/>
          <w:sz w:val="22"/>
          <w:szCs w:val="22"/>
          <w:highlight w:val="none"/>
          <w:lang w:eastAsia="zh-CN"/>
        </w:rPr>
        <w:t>八</w:t>
      </w:r>
      <w:r>
        <w:rPr>
          <w:rFonts w:hint="eastAsia" w:ascii="宋体" w:hAnsi="宋体" w:eastAsia="宋体" w:cs="宋体"/>
          <w:color w:val="auto"/>
          <w:sz w:val="22"/>
          <w:szCs w:val="22"/>
          <w:highlight w:val="none"/>
        </w:rPr>
        <w:t>、两票制管理</w:t>
      </w:r>
      <w:r>
        <w:rPr>
          <w:rFonts w:hint="eastAsia" w:ascii="宋体" w:hAnsi="宋体" w:eastAsia="宋体" w:cs="宋体"/>
          <w:color w:val="auto"/>
          <w:sz w:val="22"/>
          <w:szCs w:val="22"/>
          <w:highlight w:val="none"/>
          <w:lang w:val="en-US" w:eastAsia="zh-CN"/>
        </w:rPr>
        <w:t>子</w:t>
      </w:r>
      <w:r>
        <w:rPr>
          <w:rFonts w:hint="eastAsia" w:ascii="宋体" w:hAnsi="宋体" w:eastAsia="宋体" w:cs="宋体"/>
          <w:color w:val="auto"/>
          <w:sz w:val="22"/>
          <w:szCs w:val="22"/>
          <w:highlight w:val="none"/>
        </w:rPr>
        <w:t>系统；</w:t>
      </w:r>
      <w:r>
        <w:rPr>
          <w:rFonts w:hint="eastAsia" w:ascii="宋体" w:hAnsi="宋体" w:eastAsia="宋体" w:cs="宋体"/>
          <w:color w:val="auto"/>
          <w:sz w:val="22"/>
          <w:szCs w:val="22"/>
          <w:highlight w:val="none"/>
          <w:lang w:eastAsia="zh-CN"/>
        </w:rPr>
        <w:t>九</w:t>
      </w:r>
      <w:r>
        <w:rPr>
          <w:rFonts w:hint="eastAsia" w:ascii="宋体" w:hAnsi="宋体" w:eastAsia="宋体" w:cs="宋体"/>
          <w:color w:val="auto"/>
          <w:sz w:val="22"/>
          <w:szCs w:val="22"/>
          <w:highlight w:val="none"/>
        </w:rPr>
        <w:t>、公共服务管理</w:t>
      </w:r>
      <w:r>
        <w:rPr>
          <w:rFonts w:hint="eastAsia" w:ascii="宋体" w:hAnsi="宋体" w:eastAsia="宋体" w:cs="宋体"/>
          <w:color w:val="auto"/>
          <w:sz w:val="22"/>
          <w:szCs w:val="22"/>
          <w:highlight w:val="none"/>
          <w:lang w:val="en-US" w:eastAsia="zh-CN"/>
        </w:rPr>
        <w:t>子</w:t>
      </w:r>
      <w:r>
        <w:rPr>
          <w:rFonts w:hint="eastAsia" w:ascii="宋体" w:hAnsi="宋体" w:eastAsia="宋体" w:cs="宋体"/>
          <w:color w:val="auto"/>
          <w:sz w:val="22"/>
          <w:szCs w:val="22"/>
          <w:highlight w:val="none"/>
        </w:rPr>
        <w:t>系统；十、微信服务</w:t>
      </w:r>
      <w:r>
        <w:rPr>
          <w:rFonts w:hint="eastAsia" w:ascii="宋体" w:hAnsi="宋体" w:eastAsia="宋体" w:cs="宋体"/>
          <w:color w:val="auto"/>
          <w:sz w:val="22"/>
          <w:szCs w:val="22"/>
        </w:rPr>
        <w:t>公众号、十</w:t>
      </w:r>
      <w:r>
        <w:rPr>
          <w:rFonts w:hint="eastAsia" w:ascii="宋体" w:hAnsi="宋体" w:eastAsia="宋体" w:cs="宋体"/>
          <w:color w:val="auto"/>
          <w:sz w:val="22"/>
          <w:szCs w:val="22"/>
          <w:lang w:eastAsia="zh-CN"/>
        </w:rPr>
        <w:t>一</w:t>
      </w:r>
      <w:r>
        <w:rPr>
          <w:rFonts w:hint="eastAsia" w:ascii="宋体" w:hAnsi="宋体" w:eastAsia="宋体" w:cs="宋体"/>
          <w:color w:val="auto"/>
          <w:sz w:val="22"/>
          <w:szCs w:val="22"/>
        </w:rPr>
        <w:t>、微信小程序；十</w:t>
      </w:r>
      <w:r>
        <w:rPr>
          <w:rFonts w:hint="eastAsia" w:ascii="宋体" w:hAnsi="宋体" w:eastAsia="宋体" w:cs="宋体"/>
          <w:color w:val="auto"/>
          <w:sz w:val="22"/>
          <w:szCs w:val="22"/>
          <w:lang w:eastAsia="zh-CN"/>
        </w:rPr>
        <w:t>二</w:t>
      </w:r>
      <w:r>
        <w:rPr>
          <w:rFonts w:hint="eastAsia" w:ascii="宋体" w:hAnsi="宋体" w:eastAsia="宋体" w:cs="宋体"/>
          <w:color w:val="auto"/>
          <w:sz w:val="22"/>
          <w:szCs w:val="22"/>
        </w:rPr>
        <w:t>、</w:t>
      </w:r>
      <w:r>
        <w:rPr>
          <w:rFonts w:hint="eastAsia" w:ascii="宋体" w:hAnsi="宋体" w:eastAsia="宋体" w:cs="宋体"/>
          <w:color w:val="auto"/>
          <w:sz w:val="22"/>
          <w:szCs w:val="22"/>
          <w:lang w:eastAsia="zh-Hans"/>
        </w:rPr>
        <w:t>数据共享协同监管</w:t>
      </w:r>
      <w:r>
        <w:rPr>
          <w:rFonts w:hint="eastAsia" w:ascii="宋体" w:hAnsi="宋体" w:eastAsia="宋体" w:cs="宋体"/>
          <w:color w:val="auto"/>
          <w:sz w:val="22"/>
          <w:szCs w:val="22"/>
          <w:lang w:val="en-US" w:eastAsia="zh-CN"/>
        </w:rPr>
        <w:t>子系统</w:t>
      </w:r>
      <w:r>
        <w:rPr>
          <w:rFonts w:hint="eastAsia" w:ascii="宋体" w:hAnsi="宋体" w:eastAsia="宋体" w:cs="宋体"/>
          <w:color w:val="auto"/>
          <w:sz w:val="22"/>
          <w:szCs w:val="22"/>
        </w:rPr>
        <w:t>；</w:t>
      </w:r>
      <w:bookmarkStart w:id="27" w:name="OLE_LINK3"/>
      <w:r>
        <w:rPr>
          <w:rFonts w:hint="eastAsia" w:ascii="宋体" w:hAnsi="宋体" w:eastAsia="宋体" w:cs="宋体"/>
          <w:color w:val="auto"/>
          <w:sz w:val="22"/>
          <w:szCs w:val="22"/>
        </w:rPr>
        <w:t>十</w:t>
      </w:r>
      <w:r>
        <w:rPr>
          <w:rFonts w:hint="eastAsia" w:ascii="宋体" w:hAnsi="宋体" w:eastAsia="宋体" w:cs="宋体"/>
          <w:color w:val="auto"/>
          <w:sz w:val="22"/>
          <w:szCs w:val="22"/>
          <w:lang w:eastAsia="zh-CN"/>
        </w:rPr>
        <w:t>三</w:t>
      </w:r>
      <w:r>
        <w:rPr>
          <w:rFonts w:hint="eastAsia" w:ascii="宋体" w:hAnsi="宋体" w:eastAsia="宋体" w:cs="宋体"/>
          <w:color w:val="auto"/>
          <w:sz w:val="22"/>
          <w:szCs w:val="22"/>
        </w:rPr>
        <w:t>、</w:t>
      </w:r>
      <w:r>
        <w:rPr>
          <w:rFonts w:hint="eastAsia" w:ascii="宋体" w:hAnsi="宋体" w:eastAsia="宋体" w:cs="宋体"/>
          <w:color w:val="auto"/>
          <w:sz w:val="22"/>
          <w:szCs w:val="22"/>
          <w:lang w:val="en-US" w:eastAsia="zh-CN"/>
        </w:rPr>
        <w:t>带量采购监管分析子系统；十四、短缺药监管分析子系统；十五、药品价格监管分析子系统；十六、督办管理子系统；十七、供应配送管理子系统；十八、国采可替代药品监管分析子系统</w:t>
      </w:r>
      <w:r>
        <w:rPr>
          <w:rFonts w:hint="eastAsia" w:ascii="宋体" w:hAnsi="宋体" w:eastAsia="宋体" w:cs="宋体"/>
          <w:color w:val="auto"/>
          <w:sz w:val="22"/>
          <w:szCs w:val="22"/>
        </w:rPr>
        <w:t>。</w:t>
      </w:r>
      <w:bookmarkEnd w:id="27"/>
    </w:p>
    <w:p w14:paraId="3155FDAC">
      <w:pPr>
        <w:pageBreakBefore w:val="0"/>
        <w:kinsoku/>
        <w:wordWrap/>
        <w:overflowPunct/>
        <w:topLinePunct w:val="0"/>
        <w:autoSpaceDE/>
        <w:autoSpaceDN/>
        <w:bidi w:val="0"/>
        <w:spacing w:line="360" w:lineRule="auto"/>
        <w:ind w:left="0" w:leftChars="0" w:firstLine="442" w:firstLineChars="200"/>
        <w:jc w:val="center"/>
        <w:rPr>
          <w:rFonts w:hint="eastAsia" w:ascii="宋体" w:hAnsi="宋体" w:eastAsia="宋体" w:cs="宋体"/>
          <w:b/>
          <w:color w:val="auto"/>
          <w:sz w:val="22"/>
          <w:szCs w:val="22"/>
          <w:lang w:eastAsia="zh-CN"/>
        </w:rPr>
      </w:pPr>
      <w:r>
        <w:rPr>
          <w:rFonts w:hint="eastAsia" w:ascii="宋体" w:hAnsi="宋体" w:eastAsia="宋体" w:cs="宋体"/>
          <w:b/>
          <w:color w:val="auto"/>
          <w:sz w:val="22"/>
          <w:szCs w:val="22"/>
          <w:lang w:eastAsia="zh-CN"/>
        </w:rPr>
        <w:t>（三）</w:t>
      </w:r>
      <w:r>
        <w:rPr>
          <w:rFonts w:hint="eastAsia" w:ascii="宋体" w:hAnsi="宋体" w:eastAsia="宋体" w:cs="宋体"/>
          <w:b/>
          <w:color w:val="auto"/>
          <w:sz w:val="22"/>
          <w:szCs w:val="22"/>
        </w:rPr>
        <w:t>平台</w:t>
      </w:r>
      <w:r>
        <w:rPr>
          <w:rFonts w:hint="eastAsia" w:ascii="宋体" w:hAnsi="宋体" w:eastAsia="宋体" w:cs="宋体"/>
          <w:b/>
          <w:color w:val="auto"/>
          <w:sz w:val="22"/>
          <w:szCs w:val="22"/>
          <w:lang w:eastAsia="zh-CN"/>
        </w:rPr>
        <w:t>各子</w:t>
      </w:r>
      <w:r>
        <w:rPr>
          <w:rFonts w:hint="eastAsia" w:ascii="宋体" w:hAnsi="宋体" w:eastAsia="宋体" w:cs="宋体"/>
          <w:b/>
          <w:color w:val="auto"/>
          <w:sz w:val="22"/>
          <w:szCs w:val="22"/>
          <w:lang w:val="en-US" w:eastAsia="zh-CN"/>
        </w:rPr>
        <w:t>系统</w:t>
      </w:r>
      <w:r>
        <w:rPr>
          <w:rFonts w:hint="eastAsia" w:ascii="宋体" w:hAnsi="宋体" w:eastAsia="宋体" w:cs="宋体"/>
          <w:b/>
          <w:color w:val="auto"/>
          <w:sz w:val="22"/>
          <w:szCs w:val="22"/>
        </w:rPr>
        <w:t>功能需求</w:t>
      </w:r>
      <w:r>
        <w:rPr>
          <w:rFonts w:hint="eastAsia" w:ascii="宋体" w:hAnsi="宋体" w:eastAsia="宋体" w:cs="宋体"/>
          <w:b/>
          <w:color w:val="auto"/>
          <w:sz w:val="22"/>
          <w:szCs w:val="22"/>
          <w:lang w:eastAsia="zh-CN"/>
        </w:rPr>
        <w:t>和运营服务</w:t>
      </w:r>
    </w:p>
    <w:p w14:paraId="3F45486E">
      <w:pPr>
        <w:pStyle w:val="7"/>
        <w:pageBreakBefore w:val="0"/>
        <w:widowControl/>
        <w:kinsoku/>
        <w:wordWrap/>
        <w:overflowPunct/>
        <w:topLinePunct w:val="0"/>
        <w:autoSpaceDE/>
        <w:autoSpaceDN/>
        <w:bidi w:val="0"/>
        <w:adjustRightInd/>
        <w:spacing w:before="0" w:after="0" w:line="360" w:lineRule="auto"/>
        <w:ind w:left="0" w:leftChars="0" w:firstLine="442" w:firstLineChars="200"/>
        <w:jc w:val="both"/>
        <w:textAlignment w:val="auto"/>
        <w:rPr>
          <w:rFonts w:hint="eastAsia" w:ascii="宋体" w:hAnsi="宋体" w:eastAsia="宋体" w:cs="宋体"/>
          <w:b/>
          <w:bCs/>
          <w:color w:val="auto"/>
          <w:sz w:val="22"/>
          <w:szCs w:val="22"/>
        </w:rPr>
      </w:pPr>
      <w:r>
        <w:rPr>
          <w:rFonts w:hint="eastAsia" w:ascii="宋体" w:hAnsi="宋体" w:eastAsia="宋体" w:cs="宋体"/>
          <w:b/>
          <w:bCs/>
          <w:color w:val="auto"/>
          <w:sz w:val="22"/>
          <w:szCs w:val="22"/>
          <w:lang w:eastAsia="zh-CN"/>
        </w:rPr>
        <w:t>第一节</w:t>
      </w:r>
      <w:r>
        <w:rPr>
          <w:rFonts w:hint="eastAsia" w:ascii="宋体" w:hAnsi="宋体" w:eastAsia="宋体" w:cs="宋体"/>
          <w:b/>
          <w:bCs/>
          <w:color w:val="auto"/>
          <w:sz w:val="22"/>
          <w:szCs w:val="22"/>
          <w:lang w:val="en-US" w:eastAsia="zh-CN"/>
        </w:rPr>
        <w:t xml:space="preserve"> 平台各子系统功能需求</w:t>
      </w:r>
    </w:p>
    <w:p w14:paraId="50080029">
      <w:pPr>
        <w:pStyle w:val="7"/>
        <w:pageBreakBefore w:val="0"/>
        <w:widowControl/>
        <w:kinsoku/>
        <w:wordWrap/>
        <w:overflowPunct/>
        <w:topLinePunct w:val="0"/>
        <w:autoSpaceDE/>
        <w:autoSpaceDN/>
        <w:bidi w:val="0"/>
        <w:adjustRightInd/>
        <w:spacing w:before="0" w:after="0" w:line="360" w:lineRule="auto"/>
        <w:ind w:left="0" w:leftChars="0" w:firstLine="442" w:firstLineChars="200"/>
        <w:jc w:val="both"/>
        <w:textAlignment w:val="auto"/>
        <w:rPr>
          <w:rFonts w:hint="eastAsia" w:ascii="宋体" w:hAnsi="宋体" w:eastAsia="宋体" w:cs="宋体"/>
          <w:color w:val="auto"/>
          <w:sz w:val="22"/>
          <w:szCs w:val="22"/>
        </w:rPr>
      </w:pPr>
      <w:r>
        <w:rPr>
          <w:rFonts w:hint="eastAsia" w:ascii="宋体" w:hAnsi="宋体" w:eastAsia="宋体" w:cs="宋体"/>
          <w:b/>
          <w:bCs/>
          <w:color w:val="auto"/>
          <w:sz w:val="22"/>
          <w:szCs w:val="22"/>
        </w:rPr>
        <w:t>一、</w:t>
      </w:r>
      <w:bookmarkStart w:id="28" w:name="OLE_LINK4"/>
      <w:r>
        <w:rPr>
          <w:rFonts w:hint="eastAsia" w:ascii="宋体" w:hAnsi="宋体" w:eastAsia="宋体" w:cs="宋体"/>
          <w:b/>
          <w:bCs/>
          <w:color w:val="auto"/>
          <w:sz w:val="22"/>
          <w:szCs w:val="22"/>
        </w:rPr>
        <w:t>基础管理子系统</w:t>
      </w:r>
      <w:bookmarkEnd w:id="28"/>
    </w:p>
    <w:p w14:paraId="7EE15C3E">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根据深圳药品</w:t>
      </w:r>
      <w:r>
        <w:rPr>
          <w:rFonts w:hint="eastAsia" w:ascii="宋体" w:hAnsi="宋体" w:eastAsia="宋体" w:cs="宋体"/>
          <w:color w:val="auto"/>
          <w:sz w:val="22"/>
          <w:szCs w:val="22"/>
          <w:highlight w:val="none"/>
          <w:lang w:eastAsia="zh-CN"/>
        </w:rPr>
        <w:t>采购平台建设项目需求分析，</w:t>
      </w:r>
      <w:r>
        <w:rPr>
          <w:rFonts w:hint="eastAsia" w:ascii="宋体" w:hAnsi="宋体" w:eastAsia="宋体" w:cs="宋体"/>
          <w:color w:val="auto"/>
          <w:kern w:val="0"/>
          <w:sz w:val="22"/>
          <w:szCs w:val="22"/>
          <w:highlight w:val="none"/>
          <w:lang w:val="en-US" w:eastAsia="zh-CN" w:bidi="ar"/>
        </w:rPr>
        <w:t>按照省医保部门工作部署，依托招采子系统资质数据库</w:t>
      </w:r>
      <w:r>
        <w:rPr>
          <w:rFonts w:hint="eastAsia" w:ascii="宋体" w:hAnsi="宋体" w:eastAsia="宋体" w:cs="宋体"/>
          <w:color w:val="auto"/>
          <w:sz w:val="22"/>
          <w:szCs w:val="22"/>
          <w:highlight w:val="none"/>
          <w:lang w:eastAsia="zh-CN"/>
        </w:rPr>
        <w:t>建立深圳地区统一的医疗机构库、药品数据库、企业信息库、编码库、价格库等数据信息库，</w:t>
      </w:r>
      <w:r>
        <w:rPr>
          <w:rFonts w:hint="eastAsia" w:ascii="宋体" w:hAnsi="宋体" w:eastAsia="宋体" w:cs="宋体"/>
          <w:color w:val="auto"/>
          <w:sz w:val="22"/>
          <w:szCs w:val="22"/>
          <w:lang w:eastAsia="zh-CN"/>
        </w:rPr>
        <w:t>支持相关基础信息动态维护、审核，并同步更新给招标采购、药品交易等业务子系统。</w:t>
      </w:r>
    </w:p>
    <w:p w14:paraId="7129053F">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eastAsia="zh-CN"/>
        </w:rPr>
        <w:t>1、</w:t>
      </w:r>
      <w:r>
        <w:rPr>
          <w:rFonts w:hint="eastAsia" w:ascii="宋体" w:hAnsi="宋体" w:eastAsia="宋体" w:cs="宋体"/>
          <w:color w:val="auto"/>
          <w:sz w:val="22"/>
          <w:szCs w:val="22"/>
          <w:lang w:val="en-US" w:eastAsia="zh-CN"/>
        </w:rPr>
        <w:t>基础信息同步运用</w:t>
      </w:r>
    </w:p>
    <w:p w14:paraId="2B1BE426">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w:t>
      </w:r>
      <w:r>
        <w:rPr>
          <w:rFonts w:hint="eastAsia" w:ascii="宋体" w:hAnsi="宋体" w:eastAsia="宋体" w:cs="宋体"/>
          <w:color w:val="auto"/>
          <w:sz w:val="22"/>
          <w:szCs w:val="22"/>
          <w:lang w:val="en-US" w:eastAsia="zh-CN"/>
        </w:rPr>
        <w:t>同步运用招采子系统药品</w:t>
      </w:r>
      <w:r>
        <w:rPr>
          <w:rFonts w:hint="eastAsia" w:ascii="宋体" w:hAnsi="宋体" w:eastAsia="宋体" w:cs="宋体"/>
          <w:color w:val="auto"/>
          <w:sz w:val="22"/>
          <w:szCs w:val="22"/>
          <w:lang w:eastAsia="zh-CN"/>
        </w:rPr>
        <w:t>上市持有人、经营企业、医疗机构、零售药店等机构信息及药品信息，内容包括但不限于企业基本信息、相关资质信息（营业执照、生产许可证、经营许可证、医疗机构执业许可证）等，</w:t>
      </w:r>
      <w:r>
        <w:rPr>
          <w:rFonts w:hint="eastAsia" w:ascii="宋体" w:hAnsi="宋体" w:eastAsia="宋体" w:cs="宋体"/>
          <w:color w:val="auto"/>
          <w:kern w:val="0"/>
          <w:sz w:val="22"/>
          <w:szCs w:val="22"/>
          <w:lang w:val="en-US" w:eastAsia="zh-CN" w:bidi="ar"/>
        </w:rPr>
        <w:t>药品基本信息包括但不限于通用名、商品名、规格、剂型、转换比、包材、包装、属性、国家医保药品代码、药品批件、标准化药品信息、药品说明书等</w:t>
      </w:r>
      <w:r>
        <w:rPr>
          <w:rFonts w:hint="eastAsia" w:ascii="宋体" w:hAnsi="宋体" w:eastAsia="宋体" w:cs="宋体"/>
          <w:color w:val="auto"/>
          <w:sz w:val="22"/>
          <w:szCs w:val="22"/>
          <w:lang w:eastAsia="zh-CN"/>
        </w:rPr>
        <w:t>；</w:t>
      </w:r>
    </w:p>
    <w:p w14:paraId="2018DFCE">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（2）支持自动同步更新给招标采购、药品交易等业务子系统。</w:t>
      </w:r>
    </w:p>
    <w:p w14:paraId="0C598F5C">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val="en-US" w:eastAsia="zh-CN"/>
        </w:rPr>
        <w:t>2</w:t>
      </w:r>
      <w:r>
        <w:rPr>
          <w:rFonts w:hint="eastAsia" w:ascii="宋体" w:hAnsi="宋体" w:eastAsia="宋体" w:cs="宋体"/>
          <w:color w:val="auto"/>
          <w:sz w:val="22"/>
          <w:szCs w:val="22"/>
          <w:lang w:eastAsia="zh-CN"/>
        </w:rPr>
        <w:t>、药品数据收集与治理</w:t>
      </w:r>
    </w:p>
    <w:p w14:paraId="65089A4B">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提供对药品采购全流程数据收集、治理、应用建模、统计分析功能：</w:t>
      </w:r>
    </w:p>
    <w:p w14:paraId="5E7397B8">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（1）支持运用ETL技术收集整合，利用药品智能标准化系统和智能匹配系统，结合药品特征库和药品标准编码，对数据进行抽取、清洗、标准、分类、匹配等数据深加工，为大数据智能分析提供基础数据支撑；</w:t>
      </w:r>
    </w:p>
    <w:p w14:paraId="7C83DCF9">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（2）支持基于自然语言处理NLP技术对全国上市药品信息标注标识词和区分词，支持对多来源的药品数据特征识别比对实现标准化；</w:t>
      </w:r>
    </w:p>
    <w:p w14:paraId="4A421564">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lang w:eastAsia="zh-CN"/>
        </w:rPr>
        <w:t>（3）支持建立药品标准编码库，通过大数据治理后的标准数据关联各类国家药品标准编码，包括但不限于YPID编码、医保药品分类与代码、药品本位码、社会保险药品分类与代</w:t>
      </w:r>
      <w:r>
        <w:rPr>
          <w:rFonts w:hint="eastAsia" w:ascii="宋体" w:hAnsi="宋体" w:eastAsia="宋体" w:cs="宋体"/>
          <w:color w:val="auto"/>
          <w:sz w:val="22"/>
          <w:szCs w:val="22"/>
          <w:highlight w:val="none"/>
          <w:lang w:eastAsia="zh-CN"/>
        </w:rPr>
        <w:t>码、药品批准文号以及分析用原创药品标准规范编码等。</w:t>
      </w:r>
    </w:p>
    <w:p w14:paraId="3AA0C4FC">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val="en-US" w:eastAsia="zh-CN"/>
        </w:rPr>
        <w:t>3</w:t>
      </w:r>
      <w:r>
        <w:rPr>
          <w:rFonts w:hint="eastAsia" w:ascii="宋体" w:hAnsi="宋体" w:eastAsia="宋体" w:cs="宋体"/>
          <w:color w:val="auto"/>
          <w:sz w:val="22"/>
          <w:szCs w:val="22"/>
          <w:lang w:eastAsia="zh-CN"/>
        </w:rPr>
        <w:t>、药品目录数据库管理</w:t>
      </w:r>
    </w:p>
    <w:p w14:paraId="057FED07">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支持通过标准编码关联药品目录库，包括但不限于医保目录、国家谈判药目录、基本药物目录、集采药品目录、非中选药品目录、采购项目目录、药理分类目录、医保药品分类与代码分类目录、抗菌药品目录、中国上市药品目录集、特殊药品目录、急(抢)救药目录、妇儿专科非专利药目录、短缺药物目录、慢病药品目录、抗肿瘤药目录、罕见病药目录、原研药和仿制药目录、重点监控药品目录、不良记录药品目录等。</w:t>
      </w:r>
    </w:p>
    <w:p w14:paraId="582BC0A9">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val="en-US" w:eastAsia="zh-CN"/>
        </w:rPr>
        <w:t>4</w:t>
      </w:r>
      <w:r>
        <w:rPr>
          <w:rFonts w:hint="eastAsia" w:ascii="宋体" w:hAnsi="宋体" w:eastAsia="宋体" w:cs="宋体"/>
          <w:color w:val="auto"/>
          <w:sz w:val="22"/>
          <w:szCs w:val="22"/>
          <w:lang w:eastAsia="zh-CN"/>
        </w:rPr>
        <w:t>、价格管理</w:t>
      </w:r>
    </w:p>
    <w:p w14:paraId="3DD49028">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提供全国药品价格数据库管理功能，支持通过标准编码关联收集的全国药品各区域分类采购价格数据，包括但不限于以下分类药品价格信息同药理分类、同通用名、同通用名目录剂型、同通用名目录剂型规格、中标时间、中标省市、中标项目、急短缺药品、重点监控药品、原研药、仿制药、过评药等信息；</w:t>
      </w:r>
    </w:p>
    <w:p w14:paraId="0D660074">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（2）提供药品价格联动功能，支持对深圳药品采购平台</w:t>
      </w:r>
      <w:r>
        <w:rPr>
          <w:rFonts w:hint="eastAsia" w:ascii="宋体" w:hAnsi="宋体" w:eastAsia="宋体" w:cs="宋体"/>
          <w:color w:val="auto"/>
          <w:sz w:val="22"/>
          <w:szCs w:val="22"/>
          <w:lang w:val="en-US" w:eastAsia="zh-CN"/>
        </w:rPr>
        <w:t>系统</w:t>
      </w:r>
      <w:r>
        <w:rPr>
          <w:rFonts w:hint="eastAsia" w:ascii="宋体" w:hAnsi="宋体" w:eastAsia="宋体" w:cs="宋体"/>
          <w:color w:val="auto"/>
          <w:sz w:val="22"/>
          <w:szCs w:val="22"/>
          <w:lang w:eastAsia="zh-CN"/>
        </w:rPr>
        <w:t>上架药品和收集的全国药品价格进行比对，将比对结果推送给药品生产企业，并对企业响应价格联动结果进行反馈；</w:t>
      </w:r>
    </w:p>
    <w:p w14:paraId="3E88CAE8">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lang w:val="en-US" w:eastAsia="zh-CN"/>
        </w:rPr>
        <w:t>3</w:t>
      </w:r>
      <w:r>
        <w:rPr>
          <w:rFonts w:hint="eastAsia" w:ascii="宋体" w:hAnsi="宋体" w:eastAsia="宋体" w:cs="宋体"/>
          <w:color w:val="auto"/>
          <w:sz w:val="22"/>
          <w:szCs w:val="22"/>
          <w:lang w:eastAsia="zh-CN"/>
        </w:rPr>
        <w:t>）支持对药品价格联动调价结果公布。</w:t>
      </w:r>
    </w:p>
    <w:p w14:paraId="3FE159FF">
      <w:pPr>
        <w:pStyle w:val="7"/>
        <w:pageBreakBefore w:val="0"/>
        <w:widowControl/>
        <w:kinsoku/>
        <w:wordWrap/>
        <w:overflowPunct/>
        <w:topLinePunct w:val="0"/>
        <w:autoSpaceDE/>
        <w:autoSpaceDN/>
        <w:bidi w:val="0"/>
        <w:adjustRightInd/>
        <w:spacing w:before="0" w:after="0" w:line="360" w:lineRule="auto"/>
        <w:ind w:left="0" w:leftChars="0" w:firstLine="442" w:firstLineChars="200"/>
        <w:jc w:val="both"/>
        <w:textAlignment w:val="auto"/>
        <w:rPr>
          <w:rFonts w:hint="eastAsia" w:ascii="宋体" w:hAnsi="宋体" w:eastAsia="宋体" w:cs="宋体"/>
          <w:color w:val="auto"/>
          <w:sz w:val="22"/>
          <w:szCs w:val="22"/>
          <w:highlight w:val="none"/>
        </w:rPr>
      </w:pPr>
      <w:r>
        <w:rPr>
          <w:rFonts w:hint="eastAsia" w:ascii="宋体" w:hAnsi="宋体" w:eastAsia="宋体" w:cs="宋体"/>
          <w:b/>
          <w:bCs/>
          <w:color w:val="auto"/>
          <w:sz w:val="22"/>
          <w:szCs w:val="22"/>
          <w:highlight w:val="none"/>
        </w:rPr>
        <w:t>二、用户管理子系统</w:t>
      </w:r>
    </w:p>
    <w:p w14:paraId="764512F3">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lang w:eastAsia="zh-CN"/>
        </w:rPr>
        <w:t xml:space="preserve">用户注册管理、数字证书发放管理、登录管理。 </w:t>
      </w:r>
    </w:p>
    <w:p w14:paraId="2D5C0ADB">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2、用户权限管理</w:t>
      </w:r>
    </w:p>
    <w:p w14:paraId="21BB537D">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提供角色权限管理，支持用户机构对其子用户进行功能权限再分配功能，支持角色拷贝功能。</w:t>
      </w:r>
    </w:p>
    <w:p w14:paraId="7E462805">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highlight w:val="none"/>
          <w:lang w:eastAsia="zh-CN"/>
        </w:rPr>
        <w:t>3、配送区域</w:t>
      </w:r>
      <w:r>
        <w:rPr>
          <w:rFonts w:hint="eastAsia" w:ascii="宋体" w:hAnsi="宋体" w:eastAsia="宋体" w:cs="宋体"/>
          <w:color w:val="auto"/>
          <w:sz w:val="22"/>
          <w:szCs w:val="22"/>
          <w:lang w:eastAsia="zh-CN"/>
        </w:rPr>
        <w:t>管理</w:t>
      </w:r>
    </w:p>
    <w:p w14:paraId="0D2BCA2B">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支持配送企业提交配送区域信息，并同步信息到业务子系统。</w:t>
      </w:r>
    </w:p>
    <w:p w14:paraId="6C88A8C1">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val="en-US" w:eastAsia="zh-CN"/>
        </w:rPr>
        <w:t>4</w:t>
      </w:r>
      <w:r>
        <w:rPr>
          <w:rFonts w:hint="eastAsia" w:ascii="宋体" w:hAnsi="宋体" w:eastAsia="宋体" w:cs="宋体"/>
          <w:color w:val="auto"/>
          <w:sz w:val="22"/>
          <w:szCs w:val="22"/>
          <w:lang w:eastAsia="zh-CN"/>
        </w:rPr>
        <w:t>、两票制资质管理</w:t>
      </w:r>
    </w:p>
    <w:p w14:paraId="2EFC3204">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（1）支持企业提交符合“两票制”政策要求的承诺书、备案表、授权书等证明材料；</w:t>
      </w:r>
    </w:p>
    <w:p w14:paraId="421685A5">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（2）支持“两票制”资质审核功能。</w:t>
      </w:r>
    </w:p>
    <w:p w14:paraId="2F56F48C">
      <w:pPr>
        <w:pStyle w:val="7"/>
        <w:pageBreakBefore w:val="0"/>
        <w:widowControl/>
        <w:kinsoku/>
        <w:wordWrap/>
        <w:overflowPunct/>
        <w:topLinePunct w:val="0"/>
        <w:autoSpaceDE/>
        <w:autoSpaceDN/>
        <w:bidi w:val="0"/>
        <w:adjustRightInd/>
        <w:spacing w:before="0" w:after="0" w:line="360" w:lineRule="auto"/>
        <w:ind w:left="0" w:leftChars="0" w:firstLine="442" w:firstLineChars="200"/>
        <w:jc w:val="both"/>
        <w:textAlignment w:val="auto"/>
        <w:rPr>
          <w:rFonts w:hint="eastAsia" w:ascii="宋体" w:hAnsi="宋体" w:eastAsia="宋体" w:cs="宋体"/>
          <w:color w:val="auto"/>
          <w:sz w:val="22"/>
          <w:szCs w:val="22"/>
        </w:rPr>
      </w:pPr>
      <w:r>
        <w:rPr>
          <w:rFonts w:hint="eastAsia" w:ascii="宋体" w:hAnsi="宋体" w:eastAsia="宋体" w:cs="宋体"/>
          <w:b/>
          <w:bCs/>
          <w:color w:val="auto"/>
          <w:sz w:val="22"/>
          <w:szCs w:val="22"/>
        </w:rPr>
        <w:t>三、招标管理子系统</w:t>
      </w:r>
    </w:p>
    <w:p w14:paraId="529F560A">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实现汇总医疗机构采购需求、发布招投标信息、供应商报名应标、评标专家遴选、开标登记、专家评标、中标结果公示等招投标全过程管理。</w:t>
      </w:r>
      <w:r>
        <w:rPr>
          <w:rFonts w:hint="eastAsia" w:ascii="宋体" w:hAnsi="宋体" w:eastAsia="宋体" w:cs="宋体"/>
          <w:color w:val="auto"/>
          <w:kern w:val="0"/>
          <w:sz w:val="22"/>
          <w:szCs w:val="22"/>
          <w:lang w:val="en-US" w:eastAsia="zh-CN" w:bidi="ar"/>
        </w:rPr>
        <w:t>该部分为本项目招标文件要求，具体工作开展以医保部门具体文件要求为准。</w:t>
      </w:r>
    </w:p>
    <w:p w14:paraId="4D120D8B">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1、直接挂网管理</w:t>
      </w:r>
    </w:p>
    <w:p w14:paraId="716BAF92">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lang w:val="en-US" w:eastAsia="zh-CN"/>
        </w:rPr>
        <w:t>1</w:t>
      </w:r>
      <w:r>
        <w:rPr>
          <w:rFonts w:hint="eastAsia" w:ascii="宋体" w:hAnsi="宋体" w:eastAsia="宋体" w:cs="宋体"/>
          <w:color w:val="auto"/>
          <w:sz w:val="22"/>
          <w:szCs w:val="22"/>
          <w:lang w:eastAsia="zh-CN"/>
        </w:rPr>
        <w:t>）支持对国采中选药品、省采中选药品、国家谈判药品、定点生产药品、短缺药品、应急保障药品以及其他药品进行直接挂网招标采购；</w:t>
      </w:r>
    </w:p>
    <w:p w14:paraId="0ACB54A4">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lang w:val="en-US" w:eastAsia="zh-CN"/>
        </w:rPr>
        <w:t>2</w:t>
      </w:r>
      <w:r>
        <w:rPr>
          <w:rFonts w:hint="eastAsia" w:ascii="宋体" w:hAnsi="宋体" w:eastAsia="宋体" w:cs="宋体"/>
          <w:color w:val="auto"/>
          <w:sz w:val="22"/>
          <w:szCs w:val="22"/>
          <w:lang w:eastAsia="zh-CN"/>
        </w:rPr>
        <w:t>）提供项目配置管理，支持项目采购目录配置，支持项目挂网价格填报；</w:t>
      </w:r>
    </w:p>
    <w:p w14:paraId="2D4BFC4C">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lang w:val="en-US" w:eastAsia="zh-CN"/>
        </w:rPr>
        <w:t>3</w:t>
      </w:r>
      <w:r>
        <w:rPr>
          <w:rFonts w:hint="eastAsia" w:ascii="宋体" w:hAnsi="宋体" w:eastAsia="宋体" w:cs="宋体"/>
          <w:color w:val="auto"/>
          <w:sz w:val="22"/>
          <w:szCs w:val="22"/>
          <w:lang w:eastAsia="zh-CN"/>
        </w:rPr>
        <w:t>）提供项目进度配置，支持对项目各节点（公布、申报、澄清、公示</w:t>
      </w:r>
    </w:p>
    <w:p w14:paraId="32D159A6">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等）进行执行时间配置；</w:t>
      </w:r>
    </w:p>
    <w:p w14:paraId="259B642C">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（4）提供项目进度跟踪管理，支持企业机构查看项目当前进度。</w:t>
      </w:r>
    </w:p>
    <w:p w14:paraId="0260EB44">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2、限价挂网管理</w:t>
      </w:r>
    </w:p>
    <w:p w14:paraId="51AF9BE2">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（1）支持对国采非中选药品、省采非中选药品、市采非中选药品、国谈同通用名药品、创新药品、原研/参比/过评药品以及其他药品进行限价挂网药品采购；</w:t>
      </w:r>
    </w:p>
    <w:p w14:paraId="72FD184F">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（2）提供项目配置管理，支持项目采购目录配置；支持项目限价、全国最低价填报；</w:t>
      </w:r>
    </w:p>
    <w:p w14:paraId="23CDE8AE">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（3）提供项目进度配置管理，支持对项目各节点（公布、申报、澄清、公示等）进行执行时间配置；</w:t>
      </w:r>
    </w:p>
    <w:p w14:paraId="52C7204E">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（4）提供项目进度跟踪管理，支持企业机构查看项目当前进度。</w:t>
      </w:r>
    </w:p>
    <w:p w14:paraId="4ACE164C">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3、带量采购管理</w:t>
      </w:r>
    </w:p>
    <w:p w14:paraId="6A1D0B30">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（1）支持带量采购项目管理，采购目录、质量层次、质量指标、限价规则等项目配置，以及提供带量采购企业报名和产品报名功能；</w:t>
      </w:r>
    </w:p>
    <w:p w14:paraId="3A3B62AD">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（2）支持限价模板配置，满足不同限价规则需求；</w:t>
      </w:r>
    </w:p>
    <w:p w14:paraId="45263021">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（3）支持医疗机构对采购目录进行报量并上传承诺函；</w:t>
      </w:r>
    </w:p>
    <w:p w14:paraId="1312DBA0">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lang w:val="en-US" w:eastAsia="zh-CN"/>
        </w:rPr>
        <w:t>4</w:t>
      </w:r>
      <w:r>
        <w:rPr>
          <w:rFonts w:hint="eastAsia" w:ascii="宋体" w:hAnsi="宋体" w:eastAsia="宋体" w:cs="宋体"/>
          <w:color w:val="auto"/>
          <w:sz w:val="22"/>
          <w:szCs w:val="22"/>
          <w:lang w:eastAsia="zh-CN"/>
        </w:rPr>
        <w:t>）提供项目配置管理，支持对项目各节点（企业报名、产品报名、医疗</w:t>
      </w:r>
    </w:p>
    <w:p w14:paraId="621A2581">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机构报量、项目授权人、产品分组、限价等公示公布）进行执行时间配置；</w:t>
      </w:r>
    </w:p>
    <w:p w14:paraId="2784AEDA">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（5）提供项目进度跟踪管理，支持企业机构查看项目当前进度。</w:t>
      </w:r>
    </w:p>
    <w:p w14:paraId="7AA59810">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4、备案采购管理</w:t>
      </w:r>
    </w:p>
    <w:p w14:paraId="408866DF">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（1）支持医疗机构进行线下药品采购线上备案功能；</w:t>
      </w:r>
    </w:p>
    <w:p w14:paraId="6B18169D">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（2）支持对线下药品采购数据进行数据统计分析；</w:t>
      </w:r>
    </w:p>
    <w:p w14:paraId="1586E9B1">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lang w:val="en-US" w:eastAsia="zh-CN"/>
        </w:rPr>
        <w:t>3</w:t>
      </w:r>
      <w:r>
        <w:rPr>
          <w:rFonts w:hint="eastAsia" w:ascii="宋体" w:hAnsi="宋体" w:eastAsia="宋体" w:cs="宋体"/>
          <w:color w:val="auto"/>
          <w:sz w:val="22"/>
          <w:szCs w:val="22"/>
          <w:lang w:eastAsia="zh-CN"/>
        </w:rPr>
        <w:t>）支持医疗机构在备案采购明细中上传材料功能；</w:t>
      </w:r>
    </w:p>
    <w:p w14:paraId="2B6FCD55">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lang w:val="en-US" w:eastAsia="zh-CN"/>
        </w:rPr>
        <w:t>4</w:t>
      </w:r>
      <w:r>
        <w:rPr>
          <w:rFonts w:hint="eastAsia" w:ascii="宋体" w:hAnsi="宋体" w:eastAsia="宋体" w:cs="宋体"/>
          <w:color w:val="auto"/>
          <w:sz w:val="22"/>
          <w:szCs w:val="22"/>
          <w:lang w:eastAsia="zh-CN"/>
        </w:rPr>
        <w:t>）支持医疗机构对以往备案采购明细发起修改或作废申请以及流转主管部门审核功能；</w:t>
      </w:r>
    </w:p>
    <w:p w14:paraId="6FBAE879">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highlight w:val="green"/>
          <w:lang w:eastAsia="zh-CN"/>
        </w:rPr>
      </w:pP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lang w:val="en-US" w:eastAsia="zh-CN"/>
        </w:rPr>
        <w:t>5</w:t>
      </w:r>
      <w:r>
        <w:rPr>
          <w:rFonts w:hint="eastAsia" w:ascii="宋体" w:hAnsi="宋体" w:eastAsia="宋体" w:cs="宋体"/>
          <w:color w:val="auto"/>
          <w:sz w:val="22"/>
          <w:szCs w:val="22"/>
          <w:lang w:eastAsia="zh-CN"/>
        </w:rPr>
        <w:t>）支持对医疗机构备案采购明细中采购平台已挂网产品以及线下采购药品价格高于平台挂网药品价格的情况发起预警提醒功能。</w:t>
      </w:r>
    </w:p>
    <w:p w14:paraId="220F294B">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5、招投标项目管理</w:t>
      </w:r>
    </w:p>
    <w:p w14:paraId="1B35FEE0">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（1）支持招投标项目管理，提供入围、报价、议价、系统推荐、专家评审、公示公布等功能；</w:t>
      </w:r>
    </w:p>
    <w:p w14:paraId="698EBE60">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（2）支持模拟报价加密解密操作功能；</w:t>
      </w:r>
    </w:p>
    <w:p w14:paraId="40021493">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（3）支持报价加解密操作过程日志记录；</w:t>
      </w:r>
    </w:p>
    <w:p w14:paraId="3FC81823">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（4）支持对项目各节点（入围、报价、议价、系统推荐、专家评审、公示</w:t>
      </w:r>
    </w:p>
    <w:p w14:paraId="3894FBC1">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公布等）流程按招标需求进行系统任意组合动态配置；</w:t>
      </w:r>
    </w:p>
    <w:p w14:paraId="6B01F443">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（5）支持按不同的规则（产品、按企业、按综合等）入围，支持综合分计</w:t>
      </w:r>
    </w:p>
    <w:p w14:paraId="2FDB3CAD">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算自定义动态配置；</w:t>
      </w:r>
    </w:p>
    <w:p w14:paraId="48596588">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（6）提供项目进度配置功能，支持对项目各节点（入围、报价、议价、推</w:t>
      </w:r>
    </w:p>
    <w:p w14:paraId="30BFEADB">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荐成交、专家评审、公示、公布等）进行执行时间配置；</w:t>
      </w:r>
    </w:p>
    <w:p w14:paraId="5D86226A">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（7）提供项目进度跟踪功能，支持企业机构查看项目当前进度。</w:t>
      </w:r>
    </w:p>
    <w:p w14:paraId="141D0D50">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6、报名管理</w:t>
      </w:r>
    </w:p>
    <w:p w14:paraId="77F40E22">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（1）支持企业针对不同的招投标项目进行企业报名、产品报名功能；</w:t>
      </w:r>
    </w:p>
    <w:p w14:paraId="32C8EFF6">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lang w:val="en-US" w:eastAsia="zh-CN"/>
        </w:rPr>
        <w:t>2</w:t>
      </w:r>
      <w:r>
        <w:rPr>
          <w:rFonts w:hint="eastAsia" w:ascii="宋体" w:hAnsi="宋体" w:eastAsia="宋体" w:cs="宋体"/>
          <w:color w:val="auto"/>
          <w:sz w:val="22"/>
          <w:szCs w:val="22"/>
          <w:lang w:eastAsia="zh-CN"/>
        </w:rPr>
        <w:t>）支持对报名信息（企业基本信息、产品基本信息、质量分、质量层</w:t>
      </w:r>
    </w:p>
    <w:p w14:paraId="153D69B7">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次、限价、价格信息）进行审核功能；</w:t>
      </w:r>
    </w:p>
    <w:p w14:paraId="5396011A">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lang w:val="en-US" w:eastAsia="zh-CN"/>
        </w:rPr>
        <w:t>3</w:t>
      </w:r>
      <w:r>
        <w:rPr>
          <w:rFonts w:hint="eastAsia" w:ascii="宋体" w:hAnsi="宋体" w:eastAsia="宋体" w:cs="宋体"/>
          <w:color w:val="auto"/>
          <w:sz w:val="22"/>
          <w:szCs w:val="22"/>
          <w:lang w:eastAsia="zh-CN"/>
        </w:rPr>
        <w:t>）支持对报名成功的产品按规则进行分组功能；</w:t>
      </w:r>
    </w:p>
    <w:p w14:paraId="53329A35">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（4）提供报量审核功能，支持主管部门对医疗机构的报量情况进行审核，按报量明细、药品、医药机构等多个维度审核功能。</w:t>
      </w:r>
    </w:p>
    <w:p w14:paraId="7AF61937">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7、投标商品管理</w:t>
      </w:r>
    </w:p>
    <w:p w14:paraId="5E606FF8">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（1）支持查询招投标商品信息，投标商品历史数据信息；</w:t>
      </w:r>
    </w:p>
    <w:p w14:paraId="42139A52">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（2）支持对现场议价品种进行批量管理，包括议价开始时间配置，以及现场议价结果提交。</w:t>
      </w:r>
    </w:p>
    <w:p w14:paraId="466E70DA">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8、成交药品库</w:t>
      </w:r>
    </w:p>
    <w:p w14:paraId="3C6C12A2">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支持企业查询已成交药品信息。</w:t>
      </w:r>
    </w:p>
    <w:p w14:paraId="2B028DED">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9、项目授权人管理</w:t>
      </w:r>
    </w:p>
    <w:p w14:paraId="38AB5BBC">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支持企业机构填报或更换项目授权人信息。</w:t>
      </w:r>
    </w:p>
    <w:p w14:paraId="441D313D">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10、差比计算</w:t>
      </w:r>
    </w:p>
    <w:p w14:paraId="45BAE3F8">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支持系统批量计算产品差比价。</w:t>
      </w:r>
    </w:p>
    <w:p w14:paraId="294963F6">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11、预约管理</w:t>
      </w:r>
    </w:p>
    <w:p w14:paraId="07DCD669">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提供在线预约功能，支持企业机构用户根据动态配置的预约时间进行招标采购事项现场办理的预约功能。</w:t>
      </w:r>
    </w:p>
    <w:p w14:paraId="59AEB145">
      <w:pPr>
        <w:pStyle w:val="7"/>
        <w:pageBreakBefore w:val="0"/>
        <w:widowControl/>
        <w:kinsoku/>
        <w:wordWrap/>
        <w:overflowPunct/>
        <w:topLinePunct w:val="0"/>
        <w:autoSpaceDE/>
        <w:autoSpaceDN/>
        <w:bidi w:val="0"/>
        <w:adjustRightInd/>
        <w:spacing w:before="0" w:after="0" w:line="360" w:lineRule="auto"/>
        <w:ind w:left="0" w:leftChars="0" w:firstLine="442" w:firstLineChars="200"/>
        <w:jc w:val="both"/>
        <w:textAlignment w:val="auto"/>
        <w:rPr>
          <w:rFonts w:hint="eastAsia" w:ascii="宋体" w:hAnsi="宋体" w:eastAsia="宋体" w:cs="宋体"/>
          <w:color w:val="auto"/>
          <w:sz w:val="22"/>
          <w:szCs w:val="22"/>
        </w:rPr>
      </w:pPr>
      <w:r>
        <w:rPr>
          <w:rFonts w:hint="eastAsia" w:ascii="宋体" w:hAnsi="宋体" w:eastAsia="宋体" w:cs="宋体"/>
          <w:b/>
          <w:bCs/>
          <w:color w:val="auto"/>
          <w:sz w:val="22"/>
          <w:szCs w:val="22"/>
        </w:rPr>
        <w:t>四、在线交易管理子系统</w:t>
      </w:r>
    </w:p>
    <w:p w14:paraId="1D8F2DC2">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根据药品采购流程，以招标中标结果维护产品信息、生产企业信息、配送企业信息准入后，通过在线交易管理，实现生成企业、配送企业及医疗机构在线交易，支持上架产品与配送企业建立相关配送协议，支持医疗机构在线签订供销合同以及廉洁合同，支持使用电子CA完成上述工作。</w:t>
      </w:r>
    </w:p>
    <w:p w14:paraId="630383CB">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1、药品交易基础信息管理</w:t>
      </w:r>
    </w:p>
    <w:p w14:paraId="0BC85940">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（1）提供地址管理功能，支持医疗机构、药店多个配送地址信息维护；</w:t>
      </w:r>
    </w:p>
    <w:p w14:paraId="4B701740">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（2）支持医院范围设置，支持为不同级别监管用户配置查看医疗机构药品交易数据范围；</w:t>
      </w:r>
    </w:p>
    <w:p w14:paraId="15BFC0A0">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（3）提供公告管理功能，支持对平台</w:t>
      </w:r>
      <w:r>
        <w:rPr>
          <w:rFonts w:hint="eastAsia" w:ascii="宋体" w:hAnsi="宋体" w:eastAsia="宋体" w:cs="宋体"/>
          <w:color w:val="auto"/>
          <w:sz w:val="22"/>
          <w:szCs w:val="22"/>
          <w:lang w:val="en-US" w:eastAsia="zh-CN"/>
        </w:rPr>
        <w:t>系统</w:t>
      </w:r>
      <w:r>
        <w:rPr>
          <w:rFonts w:hint="eastAsia" w:ascii="宋体" w:hAnsi="宋体" w:eastAsia="宋体" w:cs="宋体"/>
          <w:color w:val="auto"/>
          <w:sz w:val="22"/>
          <w:szCs w:val="22"/>
          <w:lang w:eastAsia="zh-CN"/>
        </w:rPr>
        <w:t>内的公共服务内容进行编辑公告，发布信息等，支持按不同用户类型进行公告查看范围配置；</w:t>
      </w:r>
    </w:p>
    <w:p w14:paraId="2F28BA55">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（4）支持选配送设置，支持配置三方（卖方、配送方、买方）选配送时间、三方合同签订时间、买方下采购订单时间，支持对未选配送的产品进行补充选配送时间设置，支持按进度进行配送关系调整时间设置。</w:t>
      </w:r>
    </w:p>
    <w:p w14:paraId="07C00C9A">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2、药品上架管理</w:t>
      </w:r>
    </w:p>
    <w:p w14:paraId="30A86C80">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（1）支持成交药品上架交易管理功能，提供上架药品基本信息，包括但不限于药品编码、医保目录、批准文号、基药属性、国采/省采批次、一致性评价、国家医保药品代码等；</w:t>
      </w:r>
    </w:p>
    <w:p w14:paraId="5A698462">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（2）支持记录上架药品变更操作日志；</w:t>
      </w:r>
    </w:p>
    <w:p w14:paraId="34E970AB">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（3）支持对药品的政策数据进行管理，包括但不限于是否基药、是否医保、是否一致性评价药品、是否国采/省采药品、是否国家谈判药品等；</w:t>
      </w:r>
    </w:p>
    <w:p w14:paraId="1A171BCC">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（4）提供院内目录管理功能，支持医疗机构维护院内药品采购目录；</w:t>
      </w:r>
    </w:p>
    <w:p w14:paraId="4B7EDD91">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（5）提供药品编码对照功能，支持平台</w:t>
      </w:r>
      <w:r>
        <w:rPr>
          <w:rFonts w:hint="eastAsia" w:ascii="宋体" w:hAnsi="宋体" w:eastAsia="宋体" w:cs="宋体"/>
          <w:color w:val="auto"/>
          <w:sz w:val="22"/>
          <w:szCs w:val="22"/>
          <w:lang w:val="en-US" w:eastAsia="zh-CN"/>
        </w:rPr>
        <w:t>系统内</w:t>
      </w:r>
      <w:r>
        <w:rPr>
          <w:rFonts w:hint="eastAsia" w:ascii="宋体" w:hAnsi="宋体" w:eastAsia="宋体" w:cs="宋体"/>
          <w:color w:val="auto"/>
          <w:sz w:val="22"/>
          <w:szCs w:val="22"/>
          <w:lang w:eastAsia="zh-CN"/>
        </w:rPr>
        <w:t>药品编码与医疗机构系统内的药品编码进行匹配关系维护；</w:t>
      </w:r>
    </w:p>
    <w:p w14:paraId="4F6CF52B">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（6）提供药检报告管理功能，支持生产企业及配送企业上传药品药检报告。</w:t>
      </w:r>
    </w:p>
    <w:p w14:paraId="17DA6EBF">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3、配送关系管理</w:t>
      </w:r>
    </w:p>
    <w:p w14:paraId="53DA7709">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（1）按药品交易三方（卖方、买方、配送方）确定配送关系，支持卖方（生产企业）按药品选择配送企业，配送企业数量可按需配置；</w:t>
      </w:r>
    </w:p>
    <w:p w14:paraId="7959685F">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（2）支持配送企业对卖方（生产企业）选择结果进行确认或拒绝；</w:t>
      </w:r>
    </w:p>
    <w:p w14:paraId="6830ABD3">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（3）支持卖方（生产企业）在配置时间内发起补充配送、配送关系调整申请；</w:t>
      </w:r>
    </w:p>
    <w:p w14:paraId="0F0E7792">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（4）支持配送企业对配送关系调整进行确认或拒绝；</w:t>
      </w:r>
    </w:p>
    <w:p w14:paraId="739E9DA1">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（5）支持买方（医疗机构）对卖方和配送方确认的配送关系进行选择；</w:t>
      </w:r>
    </w:p>
    <w:p w14:paraId="0388C953">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（6）支持查看确认的药品配送关系。</w:t>
      </w:r>
    </w:p>
    <w:p w14:paraId="1B3DF2B4">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4、合同管理</w:t>
      </w:r>
    </w:p>
    <w:p w14:paraId="3B7FFD1A">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（1）支持医疗机构对药品采购批量发起三方合同，支持系统按配送企业、集采批次自动拆分三方合同；</w:t>
      </w:r>
    </w:p>
    <w:p w14:paraId="5DEFD39D">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（2）支持三方合同批量签章；</w:t>
      </w:r>
    </w:p>
    <w:p w14:paraId="2D0EB8EB">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（3）支持医共体成员统一下三方合同；</w:t>
      </w:r>
    </w:p>
    <w:p w14:paraId="1C2577F4">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（4）支持可按历史合同明细批量生成新合同，支持excel导入生成三方合</w:t>
      </w:r>
    </w:p>
    <w:p w14:paraId="28DDDB8F">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同；</w:t>
      </w:r>
    </w:p>
    <w:p w14:paraId="3479F8CF">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（5）支持每个自然年度医疗机构和企业进行签订廉洁合同功能；</w:t>
      </w:r>
    </w:p>
    <w:p w14:paraId="549E5CCA">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（6）支持民营医院、药店按国采/省采批次签订采购承诺函功能；</w:t>
      </w:r>
    </w:p>
    <w:p w14:paraId="1DE25630">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（7）支持医疗机构针对未执行完的合同发起合同结案申请，支持医疗机构</w:t>
      </w:r>
    </w:p>
    <w:p w14:paraId="0D9F6839">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对高价合同明细进行批量结案申请；</w:t>
      </w:r>
    </w:p>
    <w:p w14:paraId="59ED90BC">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（8）支持配送企业对结案申请单进行审核；</w:t>
      </w:r>
    </w:p>
    <w:p w14:paraId="4BA36F87">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（9）提供按药品合同执行情况查询功能；</w:t>
      </w:r>
    </w:p>
    <w:p w14:paraId="5482B2F1">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（10）提供合同明细等相关查询功能；</w:t>
      </w:r>
    </w:p>
    <w:p w14:paraId="7F37B3E9">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lang w:val="en-US" w:eastAsia="zh-CN"/>
        </w:rPr>
        <w:t>11</w:t>
      </w:r>
      <w:r>
        <w:rPr>
          <w:rFonts w:hint="eastAsia" w:ascii="宋体" w:hAnsi="宋体" w:eastAsia="宋体" w:cs="宋体"/>
          <w:color w:val="auto"/>
          <w:sz w:val="22"/>
          <w:szCs w:val="22"/>
          <w:lang w:eastAsia="zh-CN"/>
        </w:rPr>
        <w:t>）支持按政策要求对部分未到期合同发起冻结处理；</w:t>
      </w:r>
    </w:p>
    <w:p w14:paraId="75DF6DEF">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lang w:val="en-US" w:eastAsia="zh-CN"/>
        </w:rPr>
        <w:t>12</w:t>
      </w:r>
      <w:r>
        <w:rPr>
          <w:rFonts w:hint="eastAsia" w:ascii="宋体" w:hAnsi="宋体" w:eastAsia="宋体" w:cs="宋体"/>
          <w:color w:val="auto"/>
          <w:sz w:val="22"/>
          <w:szCs w:val="22"/>
          <w:lang w:eastAsia="zh-CN"/>
        </w:rPr>
        <w:t>）支持对集采未获得增量药品产品按照约定采购量锁定合同中药品数量，支持对集采按需采购品种在医疗机构按要求上传材料后开通合同签订功能。</w:t>
      </w:r>
    </w:p>
    <w:p w14:paraId="68C5AF52">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5、订单管理</w:t>
      </w:r>
    </w:p>
    <w:p w14:paraId="6FE134B8">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（1）支持医疗机构创建采购计划；支持按采购计划生成订单；</w:t>
      </w:r>
    </w:p>
    <w:p w14:paraId="411F56F6">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（2）支持医疗机构按三方合同下采购订单，支持excel导入生成订单；</w:t>
      </w:r>
    </w:p>
    <w:p w14:paraId="138938ED">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（3）支持医疗机构按药品批量下订单，系统按药品配送关系的配送企业自动拆分订单；</w:t>
      </w:r>
    </w:p>
    <w:p w14:paraId="0CD56288">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（4）支持配送企业针对医疗机构订单进行响应功能；</w:t>
      </w:r>
    </w:p>
    <w:p w14:paraId="369C34CB">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（5）支持医疗机构针对未执行完的订单发起订单结案申请，支持按订单明细批量进行结案申请；</w:t>
      </w:r>
    </w:p>
    <w:p w14:paraId="6E75AA18">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（6）支持配送企业对结案申请单进行审核；</w:t>
      </w:r>
    </w:p>
    <w:p w14:paraId="55FCEAEA">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（7）提供订单明细等相关查询功能；</w:t>
      </w:r>
    </w:p>
    <w:p w14:paraId="5E392F32">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lang w:val="en-US" w:eastAsia="zh-CN"/>
        </w:rPr>
        <w:t>8</w:t>
      </w:r>
      <w:r>
        <w:rPr>
          <w:rFonts w:hint="eastAsia" w:ascii="宋体" w:hAnsi="宋体" w:eastAsia="宋体" w:cs="宋体"/>
          <w:color w:val="auto"/>
          <w:sz w:val="22"/>
          <w:szCs w:val="22"/>
          <w:lang w:eastAsia="zh-CN"/>
        </w:rPr>
        <w:t>）支持实时监测订单药品价格，对订单药品价格高于当前药品挂网价格的，发起系统提醒预警，对集采药品订单价格高于当前药品挂网价格的，发起系统提醒预警并冻结。</w:t>
      </w:r>
    </w:p>
    <w:p w14:paraId="74891E83">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6、配送单管理</w:t>
      </w:r>
    </w:p>
    <w:p w14:paraId="7EC456D3">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（1）支持配送企业对订单进行发货功能；</w:t>
      </w:r>
    </w:p>
    <w:p w14:paraId="7C546473">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（2）支持医疗机构按配送单批量入库功能；</w:t>
      </w:r>
    </w:p>
    <w:p w14:paraId="2327D420">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（3）支持医疗机构按配送单明细批量入库，支持按配送企业、收货地址系统自动拆分生成入库单功能；</w:t>
      </w:r>
    </w:p>
    <w:p w14:paraId="18A18C26">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（4）支持查看和下载药品药检报告功能；</w:t>
      </w:r>
    </w:p>
    <w:p w14:paraId="6036E449">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（5）提供配送单明细等相关查询功能。</w:t>
      </w:r>
    </w:p>
    <w:p w14:paraId="21C69296">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7、入库单管理</w:t>
      </w:r>
    </w:p>
    <w:p w14:paraId="10AB4B1A">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（1）支持医疗机构针对配送单进行入库功能；</w:t>
      </w:r>
    </w:p>
    <w:p w14:paraId="031D34C6">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（2）支持医疗机构扫码(配送单条码或二维码)入库功能；</w:t>
      </w:r>
    </w:p>
    <w:p w14:paraId="13C0276C">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（3）支持医疗机构录入拒收数量，进行现场拒收功能；</w:t>
      </w:r>
    </w:p>
    <w:p w14:paraId="0B692869">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（4）提供入库单明细等相关查询功能。</w:t>
      </w:r>
    </w:p>
    <w:p w14:paraId="7F4E2C53">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8、退货管理</w:t>
      </w:r>
    </w:p>
    <w:p w14:paraId="647BF33D">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（1）支持医疗机构针对入库单发起退货申请；</w:t>
      </w:r>
    </w:p>
    <w:p w14:paraId="1D582E81">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（2）支持配送企业对退货申请单进行审核；</w:t>
      </w:r>
    </w:p>
    <w:p w14:paraId="4175988C">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（3）提供退货单明细等相关查询功能。</w:t>
      </w:r>
    </w:p>
    <w:p w14:paraId="7545FA6A">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9、发票管理</w:t>
      </w:r>
    </w:p>
    <w:p w14:paraId="63B3FC71">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（1）支持配送企业对配送单、退货单录入发票信息，支持“两票制”要求相关发票附件上传；</w:t>
      </w:r>
    </w:p>
    <w:p w14:paraId="3509777E">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（2）支持医疗机构对发票信息进行确认操作；</w:t>
      </w:r>
    </w:p>
    <w:p w14:paraId="7ED1F795">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（3）提供发票明细等相关查询功能。</w:t>
      </w:r>
    </w:p>
    <w:p w14:paraId="71DD6B29">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10、短缺药品登记</w:t>
      </w:r>
    </w:p>
    <w:p w14:paraId="0B67CBD9">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（1）支持医疗机构对短缺药品进行线上登记功能；</w:t>
      </w:r>
    </w:p>
    <w:p w14:paraId="540468EB">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（2）支持短缺药品情况进行数据统计分析。</w:t>
      </w:r>
    </w:p>
    <w:p w14:paraId="5825683A">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val="en-US" w:eastAsia="zh-CN"/>
        </w:rPr>
        <w:t>11</w:t>
      </w:r>
      <w:r>
        <w:rPr>
          <w:rFonts w:hint="eastAsia" w:ascii="宋体" w:hAnsi="宋体" w:eastAsia="宋体" w:cs="宋体"/>
          <w:color w:val="auto"/>
          <w:sz w:val="22"/>
          <w:szCs w:val="22"/>
          <w:lang w:eastAsia="zh-CN"/>
        </w:rPr>
        <w:t>、交易报表分析</w:t>
      </w:r>
    </w:p>
    <w:p w14:paraId="7FFBEC4C">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（1）提供医疗机构品规报表，支持对各医疗机构的已选配送、合同、订单、入库涉及的品规数量统计分析；</w:t>
      </w:r>
    </w:p>
    <w:p w14:paraId="0E52F347">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（2）提供月度销售报表，支持对医疗机构多维度的每月订单数量或金额统计分析；</w:t>
      </w:r>
    </w:p>
    <w:p w14:paraId="7A46F37F">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（3）提供构成分析报表，支持以机构级别、医疗机构、配送企业、卖方、药品、剂型、质量层次、月份等维度订单金额及其占比情况统计分析；</w:t>
      </w:r>
    </w:p>
    <w:p w14:paraId="5985FBB8">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（4）提供国基国谈的医疗机构采购报表，支持统计各医疗机构国家基药、国谈品种的入库金额及占比情况；</w:t>
      </w:r>
    </w:p>
    <w:p w14:paraId="3AFFA723">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（5）提供国采/省采月度报告，支持按国采/省采批次及评价月份导出各地市月度报告，包括中选品种采购使用情况、供应保障情况、回款情况、仿制药替代情况等报表；</w:t>
      </w:r>
    </w:p>
    <w:p w14:paraId="1368DF96">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（6）提供国采/省采执行情况进度表，支持以通用名、品规、医疗机构维度，对各国采/省采批次的任务量的执行进度进行统计分析；</w:t>
      </w:r>
    </w:p>
    <w:p w14:paraId="69E09835">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（7）提供中选品种采购占比表，支持以医疗机构、通用名维度，对各国采/省采批次的同通用名采购量与中选品种采购量占比，非中选原研/非中选其它采购量与中选品种采购量占比进行统计分析；</w:t>
      </w:r>
    </w:p>
    <w:p w14:paraId="5F648D09">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（8）提供国采/省采回款情况进度表，支持以医疗机构、通用名维度，对各国采/省采批次的发票回款天数及回款比例进行统计分析；</w:t>
      </w:r>
    </w:p>
    <w:p w14:paraId="2E7E71B4">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（9）提供国采/省采配送情况表，支持以通用名、药品编码、医疗机构、配送企业维度，对各国采/省采批次的12小时响应率、配送完成率进行统计分析。</w:t>
      </w:r>
    </w:p>
    <w:p w14:paraId="20C00539">
      <w:pPr>
        <w:pStyle w:val="7"/>
        <w:pageBreakBefore w:val="0"/>
        <w:widowControl/>
        <w:kinsoku/>
        <w:wordWrap/>
        <w:overflowPunct/>
        <w:topLinePunct w:val="0"/>
        <w:autoSpaceDE/>
        <w:autoSpaceDN/>
        <w:bidi w:val="0"/>
        <w:adjustRightInd/>
        <w:spacing w:before="0" w:after="0" w:line="360" w:lineRule="auto"/>
        <w:ind w:left="0" w:leftChars="0" w:firstLine="442" w:firstLineChars="200"/>
        <w:jc w:val="both"/>
        <w:textAlignment w:val="auto"/>
        <w:rPr>
          <w:rFonts w:hint="eastAsia" w:ascii="宋体" w:hAnsi="宋体" w:eastAsia="宋体" w:cs="宋体"/>
          <w:color w:val="auto"/>
          <w:sz w:val="22"/>
          <w:szCs w:val="22"/>
        </w:rPr>
      </w:pPr>
      <w:r>
        <w:rPr>
          <w:rFonts w:hint="eastAsia" w:ascii="宋体" w:hAnsi="宋体" w:eastAsia="宋体" w:cs="宋体"/>
          <w:b/>
          <w:bCs/>
          <w:color w:val="auto"/>
          <w:sz w:val="22"/>
          <w:szCs w:val="22"/>
          <w:lang w:eastAsia="zh-CN"/>
        </w:rPr>
        <w:t>五</w:t>
      </w:r>
      <w:r>
        <w:rPr>
          <w:rFonts w:hint="eastAsia" w:ascii="宋体" w:hAnsi="宋体" w:eastAsia="宋体" w:cs="宋体"/>
          <w:b/>
          <w:bCs/>
          <w:color w:val="auto"/>
          <w:sz w:val="22"/>
          <w:szCs w:val="22"/>
        </w:rPr>
        <w:t>、申投诉管理子系统</w:t>
      </w:r>
    </w:p>
    <w:p w14:paraId="0E9153DC">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受理药品生产企业、配送企业、医疗机构等交易主体申投诉，及时分发和回复，建档归档。支持申诉和投诉受理、记录申诉和投诉人和联系方式、申诉和投诉时间和内容以及申诉催办、处理过程、结果确认等，支持相关申投诉信息及时推送至主管部门相关系统。</w:t>
      </w:r>
    </w:p>
    <w:p w14:paraId="4D2EB72A">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该子系统模块包括企业申投诉管理、申投诉受理管理、申投诉分发管理、申投诉查询、申投诉汇总统计。</w:t>
      </w:r>
    </w:p>
    <w:p w14:paraId="4B8E925C">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（1）支持企业机构用户在招采过程各项申投诉及澄清管理，包括但不限于产品报名、企业报名、产品资质、企业澄清等；</w:t>
      </w:r>
    </w:p>
    <w:p w14:paraId="7242D367">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（2）支持生产企业、配送企业、医疗机构在药品交易过程中提交申投诉，内容包括但不限于合同问题、订单问题、配送问题、药品质量、药品价格、意见建议等；</w:t>
      </w:r>
    </w:p>
    <w:p w14:paraId="139D42A1">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（3）支持对企业机构用户提交申投诉和企业澄清进行处理；</w:t>
      </w:r>
    </w:p>
    <w:p w14:paraId="2667E943">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（4）支持将处理结果反馈给企业机构用户功能。</w:t>
      </w:r>
    </w:p>
    <w:p w14:paraId="30CE2946">
      <w:pPr>
        <w:pStyle w:val="19"/>
        <w:pageBreakBefore w:val="0"/>
        <w:widowControl/>
        <w:tabs>
          <w:tab w:val="left" w:pos="0"/>
          <w:tab w:val="left" w:pos="993"/>
          <w:tab w:val="left" w:pos="1134"/>
        </w:tabs>
        <w:kinsoku/>
        <w:wordWrap/>
        <w:overflowPunct/>
        <w:topLinePunct w:val="0"/>
        <w:autoSpaceDE/>
        <w:autoSpaceDN/>
        <w:bidi w:val="0"/>
        <w:adjustRightInd/>
        <w:spacing w:before="0" w:after="0" w:line="360" w:lineRule="auto"/>
        <w:ind w:left="0" w:leftChars="0" w:firstLine="442"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b/>
          <w:bCs/>
          <w:color w:val="auto"/>
          <w:sz w:val="22"/>
          <w:szCs w:val="22"/>
          <w:lang w:eastAsia="zh-CN"/>
        </w:rPr>
        <w:t>六、医药价格和招采信用评价管理子系统</w:t>
      </w:r>
    </w:p>
    <w:p w14:paraId="60690639">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开展医药价格和招采信用评价工作，加强对药品采购工作事中、事后监管，完善各类主体的信用档案。通过收集各类渠道信息和数据，完善考核指标，通过积分考核的方式，完成信用评价工作。信用评价工作考核主体主要面向药品生产企业、配送企业，分别建立主体信用档案。该子系统模块包括信用评价参数设置、信用评价管理和信用档案管理。</w:t>
      </w:r>
    </w:p>
    <w:p w14:paraId="3401AF1E">
      <w:pPr>
        <w:pStyle w:val="7"/>
        <w:pageBreakBefore w:val="0"/>
        <w:widowControl/>
        <w:kinsoku/>
        <w:wordWrap/>
        <w:overflowPunct/>
        <w:topLinePunct w:val="0"/>
        <w:autoSpaceDE/>
        <w:autoSpaceDN/>
        <w:bidi w:val="0"/>
        <w:adjustRightInd/>
        <w:spacing w:before="0" w:after="0" w:line="360" w:lineRule="auto"/>
        <w:ind w:left="0" w:leftChars="0" w:firstLine="442" w:firstLineChars="200"/>
        <w:jc w:val="both"/>
        <w:textAlignment w:val="auto"/>
        <w:rPr>
          <w:rFonts w:hint="eastAsia" w:ascii="宋体" w:hAnsi="宋体" w:eastAsia="宋体" w:cs="宋体"/>
          <w:color w:val="auto"/>
          <w:sz w:val="22"/>
          <w:szCs w:val="22"/>
          <w:highlight w:val="none"/>
        </w:rPr>
      </w:pPr>
      <w:r>
        <w:rPr>
          <w:rFonts w:hint="eastAsia" w:ascii="宋体" w:hAnsi="宋体" w:eastAsia="宋体" w:cs="宋体"/>
          <w:b/>
          <w:bCs/>
          <w:color w:val="auto"/>
          <w:sz w:val="22"/>
          <w:szCs w:val="22"/>
          <w:highlight w:val="none"/>
          <w:lang w:eastAsia="zh-CN"/>
        </w:rPr>
        <w:t>七</w:t>
      </w:r>
      <w:r>
        <w:rPr>
          <w:rFonts w:hint="eastAsia" w:ascii="宋体" w:hAnsi="宋体" w:eastAsia="宋体" w:cs="宋体"/>
          <w:b/>
          <w:bCs/>
          <w:color w:val="auto"/>
          <w:sz w:val="22"/>
          <w:szCs w:val="22"/>
          <w:highlight w:val="none"/>
        </w:rPr>
        <w:t>、药品不良反应信息收集子系统</w:t>
      </w:r>
    </w:p>
    <w:p w14:paraId="287A72C0">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highlight w:val="none"/>
          <w:lang w:eastAsia="zh-CN"/>
        </w:rPr>
        <w:t>提供药品不良反应信息收集渠道，主动收集药品生产企业、配送企业和医疗机构发布的药品不良反应信</w:t>
      </w:r>
      <w:r>
        <w:rPr>
          <w:rFonts w:hint="eastAsia" w:ascii="宋体" w:hAnsi="宋体" w:eastAsia="宋体" w:cs="宋体"/>
          <w:color w:val="auto"/>
          <w:sz w:val="22"/>
          <w:szCs w:val="22"/>
          <w:lang w:eastAsia="zh-CN"/>
        </w:rPr>
        <w:t>息，以便支撑药品质量保障措施。</w:t>
      </w:r>
    </w:p>
    <w:p w14:paraId="1BE655A1">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该子系统模块包括药品持有人报告、医药机构报告、监测机构信息管理。</w:t>
      </w:r>
    </w:p>
    <w:p w14:paraId="60B578CC">
      <w:pPr>
        <w:pStyle w:val="7"/>
        <w:pageBreakBefore w:val="0"/>
        <w:widowControl/>
        <w:kinsoku/>
        <w:wordWrap/>
        <w:overflowPunct/>
        <w:topLinePunct w:val="0"/>
        <w:autoSpaceDE/>
        <w:autoSpaceDN/>
        <w:bidi w:val="0"/>
        <w:adjustRightInd/>
        <w:spacing w:before="0" w:after="0" w:line="360" w:lineRule="auto"/>
        <w:ind w:left="0" w:leftChars="0" w:firstLine="442" w:firstLineChars="200"/>
        <w:jc w:val="both"/>
        <w:textAlignment w:val="auto"/>
        <w:rPr>
          <w:rFonts w:hint="eastAsia" w:ascii="宋体" w:hAnsi="宋体" w:eastAsia="宋体" w:cs="宋体"/>
          <w:color w:val="auto"/>
          <w:sz w:val="22"/>
          <w:szCs w:val="22"/>
        </w:rPr>
      </w:pPr>
      <w:r>
        <w:rPr>
          <w:rFonts w:hint="eastAsia" w:ascii="宋体" w:hAnsi="宋体" w:eastAsia="宋体" w:cs="宋体"/>
          <w:b/>
          <w:bCs/>
          <w:color w:val="auto"/>
          <w:sz w:val="22"/>
          <w:szCs w:val="22"/>
          <w:lang w:eastAsia="zh-CN"/>
        </w:rPr>
        <w:t>八</w:t>
      </w:r>
      <w:r>
        <w:rPr>
          <w:rFonts w:hint="eastAsia" w:ascii="宋体" w:hAnsi="宋体" w:eastAsia="宋体" w:cs="宋体"/>
          <w:b/>
          <w:bCs/>
          <w:color w:val="auto"/>
          <w:sz w:val="22"/>
          <w:szCs w:val="22"/>
        </w:rPr>
        <w:t>、两票制管理子系统</w:t>
      </w:r>
    </w:p>
    <w:p w14:paraId="5D66F535">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两票制落地的关键在于通过信息化手段进行发票核验。两票制发票核验主要体现在两个方面，一方面验证发票本身的真伪，另外一方面验证是否符合两票制业务规则。</w:t>
      </w:r>
    </w:p>
    <w:p w14:paraId="006790FE">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该子系统功能包括受理药品生产企业和配送企业发票资料的上传，包括发票文本及货物明细（结构化数据）。生产企业和配送企业分送发票实现对第一票的相互校验，第二票（向医疗机构开票）由配送企业上传发票及明细（结构化数据）。按需对接金税三期接口，校验发票的真伪和是否明细相符，完成校验后，即完成两票制的管理。医疗机构在其客户端可读取发票信息并进行付款。</w:t>
      </w:r>
    </w:p>
    <w:p w14:paraId="1456A5A5">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该子系统模块包括承诺书管理、票据追溯管理、核验流程管理。</w:t>
      </w:r>
    </w:p>
    <w:p w14:paraId="5D529615">
      <w:pPr>
        <w:pStyle w:val="19"/>
        <w:pageBreakBefore w:val="0"/>
        <w:widowControl/>
        <w:numPr>
          <w:ilvl w:val="-1"/>
          <w:numId w:val="0"/>
        </w:numPr>
        <w:tabs>
          <w:tab w:val="left" w:pos="0"/>
          <w:tab w:val="left" w:pos="993"/>
          <w:tab w:val="left" w:pos="1134"/>
        </w:tabs>
        <w:kinsoku/>
        <w:wordWrap/>
        <w:overflowPunct/>
        <w:topLinePunct w:val="0"/>
        <w:autoSpaceDE/>
        <w:autoSpaceDN/>
        <w:bidi w:val="0"/>
        <w:adjustRightInd/>
        <w:spacing w:before="0" w:after="0" w:line="360" w:lineRule="auto"/>
        <w:ind w:left="0" w:leftChars="0" w:firstLine="442" w:firstLineChars="200"/>
        <w:jc w:val="both"/>
        <w:textAlignment w:val="auto"/>
        <w:rPr>
          <w:rFonts w:hint="eastAsia" w:ascii="宋体" w:hAnsi="宋体" w:eastAsia="宋体" w:cs="宋体"/>
          <w:color w:val="auto"/>
          <w:sz w:val="22"/>
          <w:szCs w:val="22"/>
          <w:lang w:val="en-US"/>
        </w:rPr>
      </w:pPr>
      <w:r>
        <w:rPr>
          <w:rFonts w:hint="eastAsia" w:ascii="宋体" w:hAnsi="宋体" w:eastAsia="宋体" w:cs="宋体"/>
          <w:b/>
          <w:bCs/>
          <w:color w:val="auto"/>
          <w:sz w:val="22"/>
          <w:szCs w:val="22"/>
          <w:lang w:eastAsia="zh-CN"/>
        </w:rPr>
        <w:t>九、公共服务管理</w:t>
      </w:r>
      <w:r>
        <w:rPr>
          <w:rFonts w:hint="eastAsia" w:ascii="宋体" w:hAnsi="宋体" w:eastAsia="宋体" w:cs="宋体"/>
          <w:b/>
          <w:bCs/>
          <w:color w:val="auto"/>
          <w:sz w:val="22"/>
          <w:szCs w:val="22"/>
          <w:lang w:val="en-US" w:eastAsia="zh-CN"/>
        </w:rPr>
        <w:t>子系统</w:t>
      </w:r>
    </w:p>
    <w:p w14:paraId="5468B3D3">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实现采购项目发起通知、企业资质、药品产品、药品价格申报通知、医疗机构报量通知、企业报价、确认入市价通知、药品价格、中标结果公示公布等采购环节中涉及的各种通知通告、信息发布管理与查询以及向社会公众发布药物政策、工作动态等功能，支持仅限指定用户可见等差异化公告发布功能。</w:t>
      </w:r>
    </w:p>
    <w:p w14:paraId="4B04354B">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该子系统模块提供门户管理、通知公告管理、信息发布管理与查询、栏目管理、工作动态、政策文件、用户手册等服务功能，支持站内快捷搜索。</w:t>
      </w:r>
    </w:p>
    <w:p w14:paraId="3257A9C6">
      <w:pPr>
        <w:pStyle w:val="19"/>
        <w:pageBreakBefore w:val="0"/>
        <w:widowControl/>
        <w:tabs>
          <w:tab w:val="left" w:pos="0"/>
          <w:tab w:val="left" w:pos="993"/>
          <w:tab w:val="left" w:pos="1134"/>
        </w:tabs>
        <w:kinsoku/>
        <w:wordWrap/>
        <w:overflowPunct/>
        <w:topLinePunct w:val="0"/>
        <w:autoSpaceDE/>
        <w:autoSpaceDN/>
        <w:bidi w:val="0"/>
        <w:adjustRightInd/>
        <w:spacing w:before="0" w:after="0" w:line="360" w:lineRule="auto"/>
        <w:ind w:left="0" w:leftChars="0" w:firstLine="442" w:firstLineChars="200"/>
        <w:jc w:val="both"/>
        <w:textAlignment w:val="auto"/>
        <w:rPr>
          <w:rFonts w:hint="eastAsia" w:ascii="宋体" w:hAnsi="宋体" w:eastAsia="宋体" w:cs="宋体"/>
          <w:b/>
          <w:bCs/>
          <w:color w:val="auto"/>
          <w:sz w:val="22"/>
          <w:szCs w:val="22"/>
          <w:lang w:eastAsia="zh-CN"/>
        </w:rPr>
      </w:pPr>
      <w:r>
        <w:rPr>
          <w:rFonts w:hint="eastAsia" w:ascii="宋体" w:hAnsi="宋体" w:eastAsia="宋体" w:cs="宋体"/>
          <w:b/>
          <w:bCs/>
          <w:color w:val="auto"/>
          <w:sz w:val="22"/>
          <w:szCs w:val="22"/>
          <w:lang w:eastAsia="zh-CN"/>
        </w:rPr>
        <w:t>十、微信服务公众号服务功能</w:t>
      </w:r>
    </w:p>
    <w:p w14:paraId="50211B63">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该子系统模块包括合同签订信息推送、订单收货信息推送、催货信息推送。</w:t>
      </w:r>
    </w:p>
    <w:p w14:paraId="0BD74622">
      <w:pPr>
        <w:pStyle w:val="19"/>
        <w:pageBreakBefore w:val="0"/>
        <w:widowControl/>
        <w:tabs>
          <w:tab w:val="left" w:pos="0"/>
          <w:tab w:val="left" w:pos="993"/>
          <w:tab w:val="left" w:pos="1134"/>
        </w:tabs>
        <w:kinsoku/>
        <w:wordWrap/>
        <w:overflowPunct/>
        <w:topLinePunct w:val="0"/>
        <w:autoSpaceDE/>
        <w:autoSpaceDN/>
        <w:bidi w:val="0"/>
        <w:adjustRightInd/>
        <w:spacing w:before="0" w:after="0" w:line="360" w:lineRule="auto"/>
        <w:ind w:left="0" w:leftChars="0" w:firstLine="442" w:firstLineChars="200"/>
        <w:jc w:val="both"/>
        <w:textAlignment w:val="auto"/>
        <w:rPr>
          <w:rFonts w:hint="eastAsia" w:ascii="宋体" w:hAnsi="宋体" w:eastAsia="宋体" w:cs="宋体"/>
          <w:b/>
          <w:bCs/>
          <w:color w:val="auto"/>
          <w:sz w:val="22"/>
          <w:szCs w:val="22"/>
          <w:lang w:eastAsia="zh-CN"/>
        </w:rPr>
      </w:pPr>
      <w:r>
        <w:rPr>
          <w:rFonts w:hint="eastAsia" w:ascii="宋体" w:hAnsi="宋体" w:eastAsia="宋体" w:cs="宋体"/>
          <w:b/>
          <w:bCs/>
          <w:color w:val="auto"/>
          <w:sz w:val="22"/>
          <w:szCs w:val="22"/>
          <w:lang w:eastAsia="zh-CN"/>
        </w:rPr>
        <w:t>十一、微信小程序服务功能</w:t>
      </w:r>
    </w:p>
    <w:p w14:paraId="1DCBF522">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（1）支持移动端微信小程序展示平台</w:t>
      </w:r>
      <w:r>
        <w:rPr>
          <w:rFonts w:hint="eastAsia" w:ascii="宋体" w:hAnsi="宋体" w:eastAsia="宋体" w:cs="宋体"/>
          <w:color w:val="auto"/>
          <w:sz w:val="22"/>
          <w:szCs w:val="22"/>
          <w:lang w:val="en-US" w:eastAsia="zh-CN"/>
        </w:rPr>
        <w:t>系统</w:t>
      </w:r>
      <w:r>
        <w:rPr>
          <w:rFonts w:hint="eastAsia" w:ascii="宋体" w:hAnsi="宋体" w:eastAsia="宋体" w:cs="宋体"/>
          <w:color w:val="auto"/>
          <w:sz w:val="22"/>
          <w:szCs w:val="22"/>
          <w:lang w:eastAsia="zh-CN"/>
        </w:rPr>
        <w:t>订单、配送单、退货单、发票等交易信息；</w:t>
      </w:r>
    </w:p>
    <w:p w14:paraId="3D60C09D">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（2）支持移动端微信小程序药品信息及药品库存的查询；</w:t>
      </w:r>
    </w:p>
    <w:p w14:paraId="39763C4C">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（3）支持移动端微信小程序智能数据分析。</w:t>
      </w:r>
    </w:p>
    <w:p w14:paraId="7E714E80">
      <w:pPr>
        <w:pStyle w:val="19"/>
        <w:pageBreakBefore w:val="0"/>
        <w:widowControl/>
        <w:tabs>
          <w:tab w:val="left" w:pos="0"/>
          <w:tab w:val="left" w:pos="993"/>
          <w:tab w:val="left" w:pos="1134"/>
        </w:tabs>
        <w:kinsoku/>
        <w:wordWrap/>
        <w:overflowPunct/>
        <w:topLinePunct w:val="0"/>
        <w:autoSpaceDE/>
        <w:autoSpaceDN/>
        <w:bidi w:val="0"/>
        <w:adjustRightInd/>
        <w:spacing w:before="0" w:after="0" w:line="360" w:lineRule="auto"/>
        <w:ind w:left="0" w:leftChars="0" w:firstLine="442" w:firstLineChars="200"/>
        <w:jc w:val="both"/>
        <w:textAlignment w:val="auto"/>
        <w:rPr>
          <w:rFonts w:hint="eastAsia" w:ascii="宋体" w:hAnsi="宋体" w:eastAsia="宋体" w:cs="宋体"/>
          <w:b/>
          <w:bCs/>
          <w:color w:val="auto"/>
          <w:sz w:val="22"/>
          <w:szCs w:val="22"/>
          <w:lang w:eastAsia="zh-CN"/>
        </w:rPr>
      </w:pPr>
      <w:r>
        <w:rPr>
          <w:rFonts w:hint="eastAsia" w:ascii="宋体" w:hAnsi="宋体" w:eastAsia="宋体" w:cs="宋体"/>
          <w:b/>
          <w:bCs/>
          <w:color w:val="auto"/>
          <w:sz w:val="22"/>
          <w:szCs w:val="22"/>
          <w:lang w:eastAsia="zh-CN"/>
        </w:rPr>
        <w:t>十二、数据共享协同监管</w:t>
      </w:r>
      <w:r>
        <w:rPr>
          <w:rFonts w:hint="eastAsia" w:ascii="宋体" w:hAnsi="宋体" w:eastAsia="宋体" w:cs="宋体"/>
          <w:b/>
          <w:bCs/>
          <w:color w:val="auto"/>
          <w:sz w:val="22"/>
          <w:szCs w:val="22"/>
          <w:lang w:val="en-US" w:eastAsia="zh-CN"/>
        </w:rPr>
        <w:t>子系统</w:t>
      </w:r>
    </w:p>
    <w:p w14:paraId="2D468ABE">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编制药品采购交易信息化</w:t>
      </w:r>
      <w:r>
        <w:rPr>
          <w:rFonts w:hint="eastAsia" w:ascii="宋体" w:hAnsi="宋体" w:eastAsia="宋体" w:cs="宋体"/>
          <w:color w:val="auto"/>
          <w:sz w:val="22"/>
          <w:szCs w:val="22"/>
          <w:lang w:val="en-US" w:eastAsia="zh-CN"/>
        </w:rPr>
        <w:t>系统</w:t>
      </w:r>
      <w:r>
        <w:rPr>
          <w:rFonts w:hint="eastAsia" w:ascii="宋体" w:hAnsi="宋体" w:eastAsia="宋体" w:cs="宋体"/>
          <w:color w:val="auto"/>
          <w:sz w:val="22"/>
          <w:szCs w:val="22"/>
          <w:lang w:eastAsia="zh-CN"/>
        </w:rPr>
        <w:t>接口标准规范，依托数据监管子系统对接国家医药采购监管平台、国家医保信息平台广东招采子系统、公立医疗机构数据、社会办医疗机构数据、政府部门数据、医保行政部门数据、市纪委监委数据、零售药店数据，实现各业务子系统间互联互通的路由、交换、协同工作，包括在数据传送过程中实现协议转换，数据格式转换等。</w:t>
      </w:r>
    </w:p>
    <w:p w14:paraId="0BB3D582">
      <w:pPr>
        <w:pageBreakBefore w:val="0"/>
        <w:widowControl/>
        <w:kinsoku/>
        <w:wordWrap/>
        <w:overflowPunct/>
        <w:topLinePunct w:val="0"/>
        <w:autoSpaceDE/>
        <w:autoSpaceDN/>
        <w:bidi w:val="0"/>
        <w:adjustRightInd/>
        <w:spacing w:line="360" w:lineRule="auto"/>
        <w:ind w:left="0" w:leftChars="0" w:firstLine="442" w:firstLineChars="200"/>
        <w:jc w:val="both"/>
        <w:textAlignment w:val="auto"/>
        <w:rPr>
          <w:rFonts w:hint="eastAsia" w:ascii="宋体" w:hAnsi="宋体" w:eastAsia="宋体" w:cs="宋体"/>
          <w:color w:val="auto"/>
          <w:sz w:val="22"/>
          <w:szCs w:val="22"/>
          <w:lang w:val="en-US" w:eastAsia="zh-CN"/>
        </w:rPr>
      </w:pPr>
      <w:r>
        <w:rPr>
          <w:rFonts w:hint="eastAsia" w:ascii="宋体" w:hAnsi="宋体" w:eastAsia="宋体" w:cs="宋体"/>
          <w:b/>
          <w:bCs/>
          <w:color w:val="auto"/>
          <w:sz w:val="22"/>
          <w:szCs w:val="22"/>
          <w:highlight w:val="none"/>
          <w:lang w:eastAsia="zh-CN"/>
        </w:rPr>
        <w:t>十三、</w:t>
      </w:r>
      <w:r>
        <w:rPr>
          <w:rFonts w:hint="eastAsia" w:ascii="宋体" w:hAnsi="宋体" w:eastAsia="宋体" w:cs="宋体"/>
          <w:b/>
          <w:bCs/>
          <w:color w:val="auto"/>
          <w:sz w:val="22"/>
          <w:szCs w:val="22"/>
          <w:lang w:val="en-US" w:eastAsia="zh-CN"/>
        </w:rPr>
        <w:t>带量采购监管分析子系统</w:t>
      </w:r>
    </w:p>
    <w:p w14:paraId="265042D3">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（1）支持按集采批次角度总览中选产品完成情况、非中选产品采购占比、回款情况等，对未达到政策标准数据预警标红；</w:t>
      </w:r>
    </w:p>
    <w:p w14:paraId="0B7DE02C">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（2）支持中选品种信息及协议采购量合并统计管理及展示；</w:t>
      </w:r>
    </w:p>
    <w:p w14:paraId="6E511C12">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（3）支持从批次、医疗机构、药品等维度对集采执行情况、采购占比、供应情况、按期回款情况等监测，并对未达到政策标准数据预警标红；</w:t>
      </w:r>
    </w:p>
    <w:p w14:paraId="5752498D">
      <w:pPr>
        <w:pageBreakBefore w:val="0"/>
        <w:widowControl/>
        <w:numPr>
          <w:ilvl w:val="0"/>
          <w:numId w:val="0"/>
        </w:numPr>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（4）</w:t>
      </w:r>
      <w:r>
        <w:rPr>
          <w:rFonts w:hint="eastAsia" w:ascii="宋体" w:hAnsi="宋体" w:eastAsia="宋体" w:cs="宋体"/>
          <w:color w:val="auto"/>
          <w:sz w:val="22"/>
          <w:szCs w:val="22"/>
        </w:rPr>
        <w:t>支持多维度下各批次的节省金额测算；</w:t>
      </w:r>
    </w:p>
    <w:p w14:paraId="7D99349F">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（5）支持针对不同集采批次及要求个性化设置统计方式及预警阈值管理。</w:t>
      </w:r>
    </w:p>
    <w:p w14:paraId="3BCBA1F4">
      <w:pPr>
        <w:pageBreakBefore w:val="0"/>
        <w:widowControl/>
        <w:kinsoku/>
        <w:wordWrap/>
        <w:overflowPunct/>
        <w:topLinePunct w:val="0"/>
        <w:autoSpaceDE/>
        <w:autoSpaceDN/>
        <w:bidi w:val="0"/>
        <w:adjustRightInd/>
        <w:spacing w:line="360" w:lineRule="auto"/>
        <w:ind w:left="0" w:leftChars="0" w:firstLine="442" w:firstLineChars="200"/>
        <w:jc w:val="both"/>
        <w:textAlignment w:val="auto"/>
        <w:rPr>
          <w:rFonts w:hint="eastAsia" w:ascii="宋体" w:hAnsi="宋体" w:eastAsia="宋体" w:cs="宋体"/>
          <w:color w:val="auto"/>
          <w:sz w:val="22"/>
          <w:szCs w:val="22"/>
          <w:lang w:val="en-US" w:eastAsia="zh-CN"/>
        </w:rPr>
      </w:pPr>
      <w:r>
        <w:rPr>
          <w:rFonts w:hint="eastAsia" w:ascii="宋体" w:hAnsi="宋体" w:eastAsia="宋体" w:cs="宋体"/>
          <w:b/>
          <w:bCs/>
          <w:color w:val="auto"/>
          <w:sz w:val="22"/>
          <w:szCs w:val="22"/>
          <w:lang w:val="en-US" w:eastAsia="zh-CN"/>
        </w:rPr>
        <w:t>十四、短缺药监管分析子系统</w:t>
      </w:r>
    </w:p>
    <w:p w14:paraId="07F3CBE8">
      <w:pPr>
        <w:pStyle w:val="2"/>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b w:val="0"/>
          <w:bCs w:val="0"/>
          <w:color w:val="auto"/>
          <w:sz w:val="22"/>
          <w:szCs w:val="22"/>
          <w:lang w:val="en-US" w:eastAsia="zh-CN"/>
        </w:rPr>
      </w:pPr>
      <w:r>
        <w:rPr>
          <w:rFonts w:hint="eastAsia" w:ascii="宋体" w:hAnsi="宋体" w:eastAsia="宋体" w:cs="宋体"/>
          <w:b w:val="0"/>
          <w:bCs w:val="0"/>
          <w:color w:val="auto"/>
          <w:sz w:val="22"/>
          <w:szCs w:val="22"/>
          <w:lang w:val="en-US" w:eastAsia="zh-CN"/>
        </w:rPr>
        <w:t>支持查询并监测国家临床必需易短缺药品重点监测清单中药品的挂网情况、医疗机构采购情况、供应情况及变动情况。</w:t>
      </w:r>
    </w:p>
    <w:p w14:paraId="3287BCE7">
      <w:pPr>
        <w:pageBreakBefore w:val="0"/>
        <w:widowControl/>
        <w:kinsoku/>
        <w:wordWrap/>
        <w:overflowPunct/>
        <w:topLinePunct w:val="0"/>
        <w:autoSpaceDE/>
        <w:autoSpaceDN/>
        <w:bidi w:val="0"/>
        <w:adjustRightInd/>
        <w:spacing w:line="360" w:lineRule="auto"/>
        <w:ind w:left="0" w:leftChars="0" w:firstLine="442" w:firstLineChars="200"/>
        <w:jc w:val="both"/>
        <w:textAlignment w:val="auto"/>
        <w:rPr>
          <w:rFonts w:hint="eastAsia" w:ascii="宋体" w:hAnsi="宋体" w:eastAsia="宋体" w:cs="宋体"/>
          <w:color w:val="auto"/>
          <w:sz w:val="22"/>
          <w:szCs w:val="22"/>
          <w:lang w:val="en-US" w:eastAsia="zh-CN"/>
        </w:rPr>
      </w:pPr>
      <w:r>
        <w:rPr>
          <w:rFonts w:hint="eastAsia" w:ascii="宋体" w:hAnsi="宋体" w:eastAsia="宋体" w:cs="宋体"/>
          <w:b/>
          <w:bCs/>
          <w:color w:val="auto"/>
          <w:sz w:val="22"/>
          <w:szCs w:val="22"/>
          <w:lang w:val="en-US" w:eastAsia="zh-CN"/>
        </w:rPr>
        <w:t>十五、药品价格监管分析子系统</w:t>
      </w:r>
    </w:p>
    <w:p w14:paraId="66EAD433">
      <w:pPr>
        <w:pStyle w:val="2"/>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b w:val="0"/>
          <w:bCs w:val="0"/>
          <w:color w:val="auto"/>
          <w:sz w:val="22"/>
          <w:szCs w:val="22"/>
          <w:lang w:val="en-US" w:eastAsia="zh-CN"/>
        </w:rPr>
      </w:pPr>
      <w:r>
        <w:rPr>
          <w:rFonts w:hint="eastAsia" w:ascii="宋体" w:hAnsi="宋体" w:eastAsia="宋体" w:cs="宋体"/>
          <w:b w:val="0"/>
          <w:bCs w:val="0"/>
          <w:color w:val="auto"/>
          <w:sz w:val="22"/>
          <w:szCs w:val="22"/>
          <w:lang w:val="en-US" w:eastAsia="zh-CN"/>
        </w:rPr>
        <w:t>根据相关政策文件要求，提供交易药品价格管理、价格标识预警及价格监测功能服务。</w:t>
      </w:r>
    </w:p>
    <w:p w14:paraId="58EDBFBD">
      <w:pPr>
        <w:pageBreakBefore w:val="0"/>
        <w:widowControl/>
        <w:kinsoku/>
        <w:wordWrap/>
        <w:overflowPunct/>
        <w:topLinePunct w:val="0"/>
        <w:autoSpaceDE/>
        <w:autoSpaceDN/>
        <w:bidi w:val="0"/>
        <w:adjustRightInd/>
        <w:spacing w:line="360" w:lineRule="auto"/>
        <w:ind w:left="0" w:leftChars="0" w:firstLine="442" w:firstLineChars="200"/>
        <w:jc w:val="both"/>
        <w:textAlignment w:val="auto"/>
        <w:rPr>
          <w:rFonts w:hint="eastAsia" w:ascii="宋体" w:hAnsi="宋体" w:eastAsia="宋体" w:cs="宋体"/>
          <w:color w:val="auto"/>
          <w:sz w:val="22"/>
          <w:szCs w:val="22"/>
          <w:lang w:val="en-US" w:eastAsia="zh-CN"/>
        </w:rPr>
      </w:pPr>
      <w:r>
        <w:rPr>
          <w:rFonts w:hint="eastAsia" w:ascii="宋体" w:hAnsi="宋体" w:eastAsia="宋体" w:cs="宋体"/>
          <w:b/>
          <w:bCs/>
          <w:color w:val="auto"/>
          <w:sz w:val="22"/>
          <w:szCs w:val="22"/>
          <w:lang w:val="en-US" w:eastAsia="zh-CN"/>
        </w:rPr>
        <w:t>十六、督办管理子系统</w:t>
      </w:r>
    </w:p>
    <w:p w14:paraId="2B36B4C6">
      <w:pPr>
        <w:pStyle w:val="2"/>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b w:val="0"/>
          <w:bCs w:val="0"/>
          <w:color w:val="auto"/>
          <w:sz w:val="22"/>
          <w:szCs w:val="22"/>
          <w:lang w:eastAsia="zh-CN"/>
        </w:rPr>
      </w:pPr>
      <w:r>
        <w:rPr>
          <w:rFonts w:hint="eastAsia" w:ascii="宋体" w:hAnsi="宋体" w:eastAsia="宋体" w:cs="宋体"/>
          <w:b w:val="0"/>
          <w:bCs w:val="0"/>
          <w:color w:val="auto"/>
          <w:sz w:val="22"/>
          <w:szCs w:val="22"/>
          <w:lang w:val="en-US" w:eastAsia="zh-CN"/>
        </w:rPr>
        <w:t>（1）支持</w:t>
      </w:r>
      <w:r>
        <w:rPr>
          <w:rFonts w:hint="eastAsia" w:ascii="宋体" w:hAnsi="宋体" w:eastAsia="宋体" w:cs="宋体"/>
          <w:b w:val="0"/>
          <w:bCs w:val="0"/>
          <w:color w:val="auto"/>
          <w:sz w:val="22"/>
          <w:szCs w:val="22"/>
        </w:rPr>
        <w:t>集采供应异常数据、医疗机构信息反馈清单、短缺药监测异常数据自动发送通报给生产</w:t>
      </w:r>
      <w:r>
        <w:rPr>
          <w:rFonts w:hint="eastAsia" w:ascii="宋体" w:hAnsi="宋体" w:eastAsia="宋体" w:cs="宋体"/>
          <w:b w:val="0"/>
          <w:bCs w:val="0"/>
          <w:color w:val="auto"/>
          <w:sz w:val="22"/>
          <w:szCs w:val="22"/>
          <w:lang w:eastAsia="zh-CN"/>
        </w:rPr>
        <w:t>、</w:t>
      </w:r>
      <w:r>
        <w:rPr>
          <w:rFonts w:hint="eastAsia" w:ascii="宋体" w:hAnsi="宋体" w:eastAsia="宋体" w:cs="宋体"/>
          <w:b w:val="0"/>
          <w:bCs w:val="0"/>
          <w:color w:val="auto"/>
          <w:sz w:val="22"/>
          <w:szCs w:val="22"/>
        </w:rPr>
        <w:t>配送企业</w:t>
      </w:r>
      <w:r>
        <w:rPr>
          <w:rFonts w:hint="eastAsia" w:ascii="宋体" w:hAnsi="宋体" w:eastAsia="宋体" w:cs="宋体"/>
          <w:b w:val="0"/>
          <w:bCs w:val="0"/>
          <w:color w:val="auto"/>
          <w:sz w:val="22"/>
          <w:szCs w:val="22"/>
          <w:lang w:eastAsia="zh-CN"/>
        </w:rPr>
        <w:t>，以及支持生产、配送对通报数据进行解释说明；</w:t>
      </w:r>
    </w:p>
    <w:p w14:paraId="2698AE32">
      <w:pPr>
        <w:pStyle w:val="2"/>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b w:val="0"/>
          <w:bCs w:val="0"/>
          <w:color w:val="auto"/>
          <w:sz w:val="22"/>
          <w:szCs w:val="22"/>
          <w:lang w:val="en-US" w:eastAsia="zh-CN"/>
        </w:rPr>
      </w:pPr>
      <w:r>
        <w:rPr>
          <w:rFonts w:hint="eastAsia" w:ascii="宋体" w:hAnsi="宋体" w:eastAsia="宋体" w:cs="宋体"/>
          <w:b w:val="0"/>
          <w:bCs w:val="0"/>
          <w:color w:val="auto"/>
          <w:sz w:val="22"/>
          <w:szCs w:val="22"/>
          <w:lang w:eastAsia="zh-CN"/>
        </w:rPr>
        <w:t>（</w:t>
      </w:r>
      <w:r>
        <w:rPr>
          <w:rFonts w:hint="eastAsia" w:ascii="宋体" w:hAnsi="宋体" w:eastAsia="宋体" w:cs="宋体"/>
          <w:b w:val="0"/>
          <w:bCs w:val="0"/>
          <w:color w:val="auto"/>
          <w:sz w:val="22"/>
          <w:szCs w:val="22"/>
          <w:lang w:val="en-US" w:eastAsia="zh-CN"/>
        </w:rPr>
        <w:t>2</w:t>
      </w:r>
      <w:r>
        <w:rPr>
          <w:rFonts w:hint="eastAsia" w:ascii="宋体" w:hAnsi="宋体" w:eastAsia="宋体" w:cs="宋体"/>
          <w:b w:val="0"/>
          <w:bCs w:val="0"/>
          <w:color w:val="auto"/>
          <w:sz w:val="22"/>
          <w:szCs w:val="22"/>
          <w:lang w:eastAsia="zh-CN"/>
        </w:rPr>
        <w:t>）支持定期将集采执行未达标数据推送给主管部门及相关医疗机构，医疗机构对相关数据进行回复，主管部门对相关回复进行审核，通过系统形成监管闭环管理。</w:t>
      </w:r>
    </w:p>
    <w:p w14:paraId="6BE01706">
      <w:pPr>
        <w:pageBreakBefore w:val="0"/>
        <w:widowControl/>
        <w:kinsoku/>
        <w:wordWrap/>
        <w:overflowPunct/>
        <w:topLinePunct w:val="0"/>
        <w:autoSpaceDE/>
        <w:autoSpaceDN/>
        <w:bidi w:val="0"/>
        <w:adjustRightInd/>
        <w:spacing w:line="360" w:lineRule="auto"/>
        <w:ind w:left="0" w:leftChars="0" w:firstLine="442" w:firstLineChars="200"/>
        <w:jc w:val="both"/>
        <w:textAlignment w:val="auto"/>
        <w:rPr>
          <w:rFonts w:hint="eastAsia" w:ascii="宋体" w:hAnsi="宋体" w:eastAsia="宋体" w:cs="宋体"/>
          <w:color w:val="auto"/>
          <w:sz w:val="22"/>
          <w:szCs w:val="22"/>
          <w:lang w:val="en-US" w:eastAsia="zh-CN"/>
        </w:rPr>
      </w:pPr>
      <w:r>
        <w:rPr>
          <w:rFonts w:hint="eastAsia" w:ascii="宋体" w:hAnsi="宋体" w:eastAsia="宋体" w:cs="宋体"/>
          <w:b/>
          <w:bCs/>
          <w:color w:val="auto"/>
          <w:sz w:val="22"/>
          <w:szCs w:val="22"/>
          <w:lang w:val="en-US" w:eastAsia="zh-CN"/>
        </w:rPr>
        <w:t>十七、供应配送管理子系统</w:t>
      </w:r>
    </w:p>
    <w:p w14:paraId="4D33AE12">
      <w:pPr>
        <w:pStyle w:val="2"/>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b w:val="0"/>
          <w:bCs w:val="0"/>
          <w:color w:val="auto"/>
          <w:sz w:val="22"/>
          <w:szCs w:val="22"/>
          <w:lang w:val="en-US" w:eastAsia="zh-CN"/>
        </w:rPr>
      </w:pPr>
      <w:r>
        <w:rPr>
          <w:rFonts w:hint="eastAsia" w:ascii="宋体" w:hAnsi="宋体" w:eastAsia="宋体" w:cs="宋体"/>
          <w:b w:val="0"/>
          <w:bCs w:val="0"/>
          <w:color w:val="auto"/>
          <w:sz w:val="22"/>
          <w:szCs w:val="22"/>
          <w:lang w:val="en-US" w:eastAsia="zh-CN"/>
        </w:rPr>
        <w:t>（1）支持对平台挂网药品全量供应配送情况进行监测，根据监测情况对生产、配送企业进行月度评分评级、季度考核及处置；</w:t>
      </w:r>
    </w:p>
    <w:p w14:paraId="3DCB75AF">
      <w:pPr>
        <w:pStyle w:val="2"/>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b w:val="0"/>
          <w:bCs w:val="0"/>
          <w:color w:val="auto"/>
          <w:sz w:val="22"/>
          <w:szCs w:val="22"/>
          <w:lang w:val="en-US" w:eastAsia="zh-CN"/>
        </w:rPr>
      </w:pPr>
      <w:r>
        <w:rPr>
          <w:rFonts w:hint="eastAsia" w:ascii="宋体" w:hAnsi="宋体" w:eastAsia="宋体" w:cs="宋体"/>
          <w:b w:val="0"/>
          <w:bCs w:val="0"/>
          <w:color w:val="auto"/>
          <w:sz w:val="22"/>
          <w:szCs w:val="22"/>
          <w:lang w:val="en-US" w:eastAsia="zh-CN"/>
        </w:rPr>
        <w:t>（2）支持在系统进行企业供应配送月度评分评级结果公布、季度考核及处置结果公布、集采中选药品供应异常情况通报，在系统进行相关交易异常数据明细公布；</w:t>
      </w:r>
    </w:p>
    <w:p w14:paraId="1B591CD8">
      <w:pPr>
        <w:pStyle w:val="2"/>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lang w:val="en-US" w:eastAsia="zh-CN"/>
        </w:rPr>
      </w:pPr>
      <w:r>
        <w:rPr>
          <w:rFonts w:hint="eastAsia" w:ascii="宋体" w:hAnsi="宋体" w:eastAsia="宋体" w:cs="宋体"/>
          <w:b w:val="0"/>
          <w:bCs w:val="0"/>
          <w:color w:val="auto"/>
          <w:sz w:val="22"/>
          <w:szCs w:val="22"/>
          <w:lang w:val="en-US" w:eastAsia="zh-CN"/>
        </w:rPr>
        <w:t>（3）支持医疗机构与生产企业、配送企业就供应配送问题通过系统进行信息反馈、回复及评价功能。</w:t>
      </w:r>
    </w:p>
    <w:p w14:paraId="3C4E1726">
      <w:pPr>
        <w:pageBreakBefore w:val="0"/>
        <w:widowControl/>
        <w:kinsoku/>
        <w:wordWrap/>
        <w:overflowPunct/>
        <w:topLinePunct w:val="0"/>
        <w:autoSpaceDE/>
        <w:autoSpaceDN/>
        <w:bidi w:val="0"/>
        <w:adjustRightInd/>
        <w:spacing w:line="360" w:lineRule="auto"/>
        <w:ind w:left="0" w:leftChars="0" w:firstLine="442" w:firstLineChars="200"/>
        <w:jc w:val="both"/>
        <w:textAlignment w:val="auto"/>
        <w:rPr>
          <w:rFonts w:hint="eastAsia" w:ascii="宋体" w:hAnsi="宋体" w:eastAsia="宋体" w:cs="宋体"/>
          <w:color w:val="auto"/>
          <w:sz w:val="22"/>
          <w:szCs w:val="22"/>
        </w:rPr>
      </w:pPr>
      <w:r>
        <w:rPr>
          <w:rFonts w:hint="eastAsia" w:ascii="宋体" w:hAnsi="宋体" w:eastAsia="宋体" w:cs="宋体"/>
          <w:b/>
          <w:bCs/>
          <w:color w:val="auto"/>
          <w:sz w:val="22"/>
          <w:szCs w:val="22"/>
          <w:lang w:val="en-US" w:eastAsia="zh-CN"/>
        </w:rPr>
        <w:t>十八、国采可替代药品监管分析子系统</w:t>
      </w:r>
    </w:p>
    <w:p w14:paraId="3BD8C898">
      <w:pPr>
        <w:pageBreakBefore w:val="0"/>
        <w:widowControl/>
        <w:kinsoku/>
        <w:wordWrap/>
        <w:overflowPunct/>
        <w:topLinePunct w:val="0"/>
        <w:autoSpaceDE/>
        <w:autoSpaceDN/>
        <w:bidi w:val="0"/>
        <w:adjustRightInd/>
        <w:spacing w:before="0" w:after="0" w:line="360" w:lineRule="auto"/>
        <w:ind w:left="0" w:leftChars="0" w:firstLine="440" w:firstLineChars="200"/>
        <w:jc w:val="both"/>
        <w:textAlignment w:val="auto"/>
        <w:rPr>
          <w:rFonts w:hint="eastAsia" w:ascii="宋体" w:hAnsi="宋体" w:eastAsia="宋体" w:cs="宋体"/>
          <w:b w:val="0"/>
          <w:bCs w:val="0"/>
          <w:color w:val="auto"/>
          <w:sz w:val="22"/>
          <w:szCs w:val="22"/>
          <w:highlight w:val="none"/>
          <w:lang w:eastAsia="zh-CN"/>
        </w:rPr>
      </w:pPr>
      <w:r>
        <w:rPr>
          <w:rFonts w:hint="eastAsia" w:ascii="宋体" w:hAnsi="宋体" w:eastAsia="宋体" w:cs="宋体"/>
          <w:b w:val="0"/>
          <w:bCs w:val="0"/>
          <w:color w:val="auto"/>
          <w:sz w:val="22"/>
          <w:szCs w:val="22"/>
          <w:highlight w:val="none"/>
          <w:lang w:eastAsia="zh-CN"/>
        </w:rPr>
        <w:t>支持对国家组织药品集中带量采购品种可替代药品参考监测清单中的药品采购量、采购金额等进行多维度变化情况监测分析，提示是否存在不合理临床替代使用风险。</w:t>
      </w:r>
    </w:p>
    <w:p w14:paraId="4B6036F1">
      <w:pPr>
        <w:pStyle w:val="7"/>
        <w:pageBreakBefore w:val="0"/>
        <w:widowControl/>
        <w:kinsoku/>
        <w:wordWrap/>
        <w:overflowPunct/>
        <w:topLinePunct w:val="0"/>
        <w:autoSpaceDE/>
        <w:autoSpaceDN/>
        <w:bidi w:val="0"/>
        <w:adjustRightInd/>
        <w:spacing w:before="0" w:after="0" w:line="360" w:lineRule="auto"/>
        <w:ind w:left="0" w:leftChars="0" w:firstLine="440" w:firstLineChars="200"/>
        <w:textAlignment w:val="auto"/>
        <w:rPr>
          <w:rFonts w:hint="eastAsia" w:ascii="宋体" w:hAnsi="宋体" w:eastAsia="宋体" w:cs="宋体"/>
          <w:b w:val="0"/>
          <w:bCs w:val="0"/>
          <w:color w:val="auto"/>
          <w:sz w:val="22"/>
          <w:szCs w:val="22"/>
          <w:highlight w:val="cyan"/>
        </w:rPr>
      </w:pPr>
    </w:p>
    <w:p w14:paraId="1057E535">
      <w:pPr>
        <w:pStyle w:val="6"/>
        <w:pageBreakBefore w:val="0"/>
        <w:widowControl/>
        <w:kinsoku/>
        <w:wordWrap/>
        <w:overflowPunct/>
        <w:topLinePunct w:val="0"/>
        <w:autoSpaceDE/>
        <w:autoSpaceDN/>
        <w:bidi w:val="0"/>
        <w:adjustRightInd/>
        <w:spacing w:before="0" w:after="0" w:line="360" w:lineRule="auto"/>
        <w:ind w:left="0" w:leftChars="0" w:firstLine="442" w:firstLineChars="200"/>
        <w:jc w:val="both"/>
        <w:textAlignment w:val="auto"/>
        <w:rPr>
          <w:rFonts w:hint="eastAsia" w:ascii="宋体" w:hAnsi="宋体" w:eastAsia="宋体" w:cs="宋体"/>
          <w:b/>
          <w:bCs/>
          <w:color w:val="auto"/>
          <w:sz w:val="22"/>
          <w:szCs w:val="22"/>
        </w:rPr>
      </w:pPr>
      <w:r>
        <w:rPr>
          <w:rFonts w:hint="eastAsia" w:ascii="宋体" w:hAnsi="宋体" w:eastAsia="宋体" w:cs="宋体"/>
          <w:b/>
          <w:bCs/>
          <w:color w:val="auto"/>
          <w:sz w:val="22"/>
          <w:szCs w:val="22"/>
        </w:rPr>
        <w:t>第</w:t>
      </w:r>
      <w:r>
        <w:rPr>
          <w:rFonts w:hint="eastAsia" w:ascii="宋体" w:hAnsi="宋体" w:eastAsia="宋体" w:cs="宋体"/>
          <w:b/>
          <w:bCs/>
          <w:color w:val="auto"/>
          <w:sz w:val="22"/>
          <w:szCs w:val="22"/>
          <w:lang w:eastAsia="zh-CN"/>
        </w:rPr>
        <w:t>二</w:t>
      </w:r>
      <w:r>
        <w:rPr>
          <w:rFonts w:hint="eastAsia" w:ascii="宋体" w:hAnsi="宋体" w:eastAsia="宋体" w:cs="宋体"/>
          <w:b/>
          <w:bCs/>
          <w:color w:val="auto"/>
          <w:sz w:val="22"/>
          <w:szCs w:val="22"/>
        </w:rPr>
        <w:t>节 药品采购实施和运营服务</w:t>
      </w:r>
    </w:p>
    <w:p w14:paraId="2782C6E7">
      <w:pPr>
        <w:pStyle w:val="7"/>
        <w:pageBreakBefore w:val="0"/>
        <w:widowControl/>
        <w:kinsoku/>
        <w:wordWrap/>
        <w:overflowPunct/>
        <w:topLinePunct w:val="0"/>
        <w:autoSpaceDE/>
        <w:autoSpaceDN/>
        <w:bidi w:val="0"/>
        <w:adjustRightInd/>
        <w:spacing w:before="0" w:after="0" w:line="360" w:lineRule="auto"/>
        <w:ind w:left="0" w:leftChars="0" w:firstLine="442" w:firstLineChars="200"/>
        <w:jc w:val="both"/>
        <w:textAlignment w:val="auto"/>
        <w:rPr>
          <w:rFonts w:hint="eastAsia" w:ascii="宋体" w:hAnsi="宋体" w:eastAsia="宋体" w:cs="宋体"/>
          <w:b/>
          <w:bCs/>
          <w:color w:val="auto"/>
          <w:sz w:val="22"/>
          <w:szCs w:val="22"/>
        </w:rPr>
      </w:pPr>
      <w:bookmarkStart w:id="29" w:name="_Toc100841286"/>
      <w:r>
        <w:rPr>
          <w:rFonts w:hint="eastAsia" w:ascii="宋体" w:hAnsi="宋体" w:eastAsia="宋体" w:cs="宋体"/>
          <w:b/>
          <w:bCs/>
          <w:color w:val="auto"/>
          <w:sz w:val="22"/>
          <w:szCs w:val="22"/>
        </w:rPr>
        <w:t>一、药品采购交易服务</w:t>
      </w:r>
      <w:bookmarkEnd w:id="29"/>
    </w:p>
    <w:p w14:paraId="2CD61343">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投标人根据国家、广东省和本市药品采购有关政策规定及相关职能部门的工作要求，负责本市公立医疗机构药品分类采购工作的具体实施。其主要职责是具体操作、提供服务、维护平台。</w:t>
      </w:r>
    </w:p>
    <w:p w14:paraId="1598AA08">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bCs/>
          <w:color w:val="auto"/>
          <w:sz w:val="22"/>
          <w:szCs w:val="22"/>
        </w:rPr>
      </w:pPr>
      <w:bookmarkStart w:id="30" w:name="_Toc100841287"/>
      <w:r>
        <w:rPr>
          <w:rFonts w:hint="eastAsia" w:ascii="宋体" w:hAnsi="宋体" w:eastAsia="宋体" w:cs="宋体"/>
          <w:bCs/>
          <w:color w:val="auto"/>
          <w:sz w:val="22"/>
          <w:szCs w:val="22"/>
        </w:rPr>
        <w:t>1.基础信息库服务</w:t>
      </w:r>
      <w:bookmarkEnd w:id="30"/>
    </w:p>
    <w:p w14:paraId="3F7F520C">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健全药品数据采集、清洗、加工、整理、标准化机制，建立挂网采购药品数据管理系统，构建基础编码库、药品编码库、药品监管库、药品目录库、招标信息库、企业信息库、药监数据库等基础数据库。为挂网采购交易各方提供企业资质、药品资质、药品价格等信息的管理与审核业务。</w:t>
      </w:r>
    </w:p>
    <w:p w14:paraId="18A2BB76">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bCs/>
          <w:color w:val="auto"/>
          <w:sz w:val="22"/>
          <w:szCs w:val="22"/>
        </w:rPr>
      </w:pPr>
      <w:bookmarkStart w:id="31" w:name="_Toc100841288"/>
      <w:r>
        <w:rPr>
          <w:rFonts w:hint="eastAsia" w:ascii="宋体" w:hAnsi="宋体" w:eastAsia="宋体" w:cs="宋体"/>
          <w:bCs/>
          <w:color w:val="auto"/>
          <w:sz w:val="22"/>
          <w:szCs w:val="22"/>
        </w:rPr>
        <w:t>2.药品分类采购招采服务</w:t>
      </w:r>
      <w:bookmarkEnd w:id="31"/>
    </w:p>
    <w:p w14:paraId="07B22896">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bCs/>
          <w:color w:val="auto"/>
          <w:sz w:val="22"/>
          <w:szCs w:val="22"/>
        </w:rPr>
      </w:pPr>
      <w:r>
        <w:rPr>
          <w:rFonts w:hint="eastAsia" w:ascii="宋体" w:hAnsi="宋体" w:eastAsia="宋体" w:cs="宋体"/>
          <w:bCs/>
          <w:color w:val="auto"/>
          <w:sz w:val="22"/>
          <w:szCs w:val="22"/>
        </w:rPr>
        <w:t>2.1挂网采购方案和规则的制定</w:t>
      </w:r>
    </w:p>
    <w:p w14:paraId="4450EF8B">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bCs/>
          <w:color w:val="auto"/>
          <w:sz w:val="22"/>
          <w:szCs w:val="22"/>
        </w:rPr>
        <w:t>（1）分类采购实施方案</w:t>
      </w:r>
      <w:r>
        <w:rPr>
          <w:rFonts w:hint="eastAsia" w:ascii="宋体" w:hAnsi="宋体" w:eastAsia="宋体" w:cs="宋体"/>
          <w:color w:val="auto"/>
          <w:sz w:val="22"/>
          <w:szCs w:val="22"/>
        </w:rPr>
        <w:t>：制订本市药品分类采购实施方案，明确不同采购方式的业务制度、办理流程、操作规则、办事指引等。药品分类采购实施方案应当向社会公开征求意见，并经市医疗保障部门审核通过后公布实施</w:t>
      </w:r>
      <w:r>
        <w:rPr>
          <w:rFonts w:hint="eastAsia" w:ascii="宋体" w:hAnsi="宋体" w:eastAsia="宋体" w:cs="宋体"/>
          <w:color w:val="auto"/>
          <w:sz w:val="22"/>
          <w:szCs w:val="22"/>
          <w:lang w:eastAsia="zh-CN"/>
        </w:rPr>
        <w:t>。</w:t>
      </w:r>
    </w:p>
    <w:p w14:paraId="4CC4B13C">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bCs/>
          <w:color w:val="auto"/>
          <w:sz w:val="22"/>
          <w:szCs w:val="22"/>
        </w:rPr>
        <w:t>（2）带量采购规则和方案</w:t>
      </w:r>
      <w:r>
        <w:rPr>
          <w:rFonts w:hint="eastAsia" w:ascii="宋体" w:hAnsi="宋体" w:eastAsia="宋体" w:cs="宋体"/>
          <w:color w:val="auto"/>
          <w:sz w:val="22"/>
          <w:szCs w:val="22"/>
        </w:rPr>
        <w:t>：制订带量采购药品质量层次划分规则及剂型整合规则和带量采购方案，并向社会公开征求意见，经市医疗保障部门审核后方可实施。带量采购药品清单中的药品，承办机构可以通过竞价、议价、谈判等方式开展带量采购，并按照确定的中选企业、中选价格、采购周期等实施挂网，医疗机构不再议价</w:t>
      </w:r>
      <w:r>
        <w:rPr>
          <w:rFonts w:hint="eastAsia" w:ascii="宋体" w:hAnsi="宋体" w:eastAsia="宋体" w:cs="宋体"/>
          <w:color w:val="auto"/>
          <w:sz w:val="22"/>
          <w:szCs w:val="22"/>
          <w:lang w:eastAsia="zh-CN"/>
        </w:rPr>
        <w:t>。</w:t>
      </w:r>
    </w:p>
    <w:p w14:paraId="66B4BCB3">
      <w:pPr>
        <w:pStyle w:val="19"/>
        <w:pageBreakBefore w:val="0"/>
        <w:widowControl/>
        <w:tabs>
          <w:tab w:val="left" w:pos="0"/>
          <w:tab w:val="left" w:pos="993"/>
          <w:tab w:val="left" w:pos="1134"/>
        </w:tabs>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lang w:val="en-US" w:eastAsia="zh-CN"/>
        </w:rPr>
        <w:t>3</w:t>
      </w:r>
      <w:r>
        <w:rPr>
          <w:rFonts w:hint="eastAsia" w:ascii="宋体" w:hAnsi="宋体" w:eastAsia="宋体" w:cs="宋体"/>
          <w:color w:val="auto"/>
          <w:sz w:val="22"/>
          <w:szCs w:val="22"/>
          <w:lang w:eastAsia="zh-CN"/>
        </w:rPr>
        <w:t>）备案采购方案：制定备案采购实施方案，明确备案采购录入途径、操作流程，实时监测深圳医疗机构药品备案采购比例、备案及时性，并及时将异常情况报市医疗保障部门。</w:t>
      </w:r>
    </w:p>
    <w:p w14:paraId="71F55582">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bCs/>
          <w:color w:val="auto"/>
          <w:sz w:val="22"/>
          <w:szCs w:val="22"/>
        </w:rPr>
      </w:pPr>
      <w:bookmarkStart w:id="32" w:name="_Hlk93254392"/>
      <w:r>
        <w:rPr>
          <w:rFonts w:hint="eastAsia" w:ascii="宋体" w:hAnsi="宋体" w:eastAsia="宋体" w:cs="宋体"/>
          <w:bCs/>
          <w:color w:val="auto"/>
          <w:sz w:val="22"/>
          <w:szCs w:val="22"/>
        </w:rPr>
        <w:t>2.2挂网项目的组织和实施</w:t>
      </w:r>
    </w:p>
    <w:bookmarkEnd w:id="32"/>
    <w:p w14:paraId="7A89B445">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（1）发布采购方案和药品采购通知（公告）；</w:t>
      </w:r>
    </w:p>
    <w:p w14:paraId="3921CB98">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（2）受理企业及药品相关资质证明文件和价格信息等；</w:t>
      </w:r>
    </w:p>
    <w:p w14:paraId="4C1ACAE8">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（3）对企业提交的材料进行审核；</w:t>
      </w:r>
    </w:p>
    <w:p w14:paraId="36B70327">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（4）公示审核结果，公开接受企业咨询和申（投）诉并及时回复，公布审核结果；</w:t>
      </w:r>
    </w:p>
    <w:p w14:paraId="5120A0C2">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（5）根据不同类别药品的采购方案、采购规则和流程，开展竞价、议价谈判等工作，确定挂网药品、挂网价格实施挂网；</w:t>
      </w:r>
    </w:p>
    <w:p w14:paraId="3B5142F7">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（6）组织</w:t>
      </w:r>
      <w:bookmarkStart w:id="33" w:name="_Hlk93254291"/>
      <w:r>
        <w:rPr>
          <w:rFonts w:hint="eastAsia" w:ascii="宋体" w:hAnsi="宋体" w:eastAsia="宋体" w:cs="宋体"/>
          <w:color w:val="auto"/>
          <w:sz w:val="22"/>
          <w:szCs w:val="22"/>
          <w:highlight w:val="none"/>
        </w:rPr>
        <w:t>药品上市许可持有人</w:t>
      </w:r>
      <w:bookmarkEnd w:id="33"/>
      <w:r>
        <w:rPr>
          <w:rFonts w:hint="eastAsia" w:ascii="宋体" w:hAnsi="宋体" w:eastAsia="宋体" w:cs="宋体"/>
          <w:color w:val="auto"/>
          <w:sz w:val="22"/>
          <w:szCs w:val="22"/>
          <w:highlight w:val="none"/>
        </w:rPr>
        <w:t>、药品批发企业和医疗机构确立配送关系，签订药品采购合同；</w:t>
      </w:r>
    </w:p>
    <w:p w14:paraId="04B13DE6">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（7）为医疗机构和药品上市许可持有人、药品批发企业和医疗机构提供咨询服务；</w:t>
      </w:r>
    </w:p>
    <w:p w14:paraId="041AD53B">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（8）协助调查和处理相关申投诉和举报。</w:t>
      </w:r>
    </w:p>
    <w:p w14:paraId="4B49413B">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bCs/>
          <w:color w:val="auto"/>
          <w:sz w:val="22"/>
          <w:szCs w:val="22"/>
        </w:rPr>
      </w:pPr>
      <w:bookmarkStart w:id="34" w:name="_Hlk93254763"/>
      <w:r>
        <w:rPr>
          <w:rFonts w:hint="eastAsia" w:ascii="宋体" w:hAnsi="宋体" w:eastAsia="宋体" w:cs="宋体"/>
          <w:bCs/>
          <w:color w:val="auto"/>
          <w:sz w:val="22"/>
          <w:szCs w:val="22"/>
        </w:rPr>
        <w:t>2.3挂网药品的动态管理</w:t>
      </w:r>
    </w:p>
    <w:bookmarkEnd w:id="34"/>
    <w:p w14:paraId="6ED76402">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rPr>
        <w:t>（1）按照保障供应、动态调整的基本要求，对本市分类采购药品的品种、价格、质量等方面进行动态维护</w:t>
      </w:r>
      <w:r>
        <w:rPr>
          <w:rFonts w:hint="eastAsia" w:ascii="宋体" w:hAnsi="宋体" w:eastAsia="宋体" w:cs="宋体"/>
          <w:color w:val="auto"/>
          <w:sz w:val="22"/>
          <w:szCs w:val="22"/>
          <w:lang w:eastAsia="zh-CN"/>
        </w:rPr>
        <w:t>；</w:t>
      </w:r>
    </w:p>
    <w:p w14:paraId="52D8A50B">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rPr>
        <w:t>（2）主动采集、核验、整理药品品种、价格、质量等变更信息并按规定向社会公示，及时完成相应调整并报市医疗保障部门备案</w:t>
      </w: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rPr>
        <w:t>药品价格动态维护原则上每季度集中实施一次</w:t>
      </w:r>
      <w:r>
        <w:rPr>
          <w:rFonts w:hint="eastAsia" w:ascii="宋体" w:hAnsi="宋体" w:eastAsia="宋体" w:cs="宋体"/>
          <w:color w:val="auto"/>
          <w:sz w:val="22"/>
          <w:szCs w:val="22"/>
          <w:lang w:eastAsia="zh-CN"/>
        </w:rPr>
        <w:t>；</w:t>
      </w:r>
    </w:p>
    <w:p w14:paraId="79AC0B0E">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rPr>
        <w:t>（3）按照分类采购的相关规定，对深圳</w:t>
      </w:r>
      <w:r>
        <w:rPr>
          <w:rFonts w:hint="eastAsia" w:ascii="宋体" w:hAnsi="宋体" w:eastAsia="宋体" w:cs="宋体"/>
          <w:color w:val="auto"/>
          <w:sz w:val="22"/>
          <w:szCs w:val="22"/>
          <w:lang w:eastAsia="zh-CN"/>
        </w:rPr>
        <w:t>药品采购</w:t>
      </w:r>
      <w:r>
        <w:rPr>
          <w:rFonts w:hint="eastAsia" w:ascii="宋体" w:hAnsi="宋体" w:eastAsia="宋体" w:cs="宋体"/>
          <w:color w:val="auto"/>
          <w:sz w:val="22"/>
          <w:szCs w:val="22"/>
        </w:rPr>
        <w:t>平台各采购目录内的挂网药品进行动态调整</w:t>
      </w:r>
      <w:r>
        <w:rPr>
          <w:rFonts w:hint="eastAsia" w:ascii="宋体" w:hAnsi="宋体" w:eastAsia="宋体" w:cs="宋体"/>
          <w:color w:val="auto"/>
          <w:sz w:val="22"/>
          <w:szCs w:val="22"/>
          <w:lang w:eastAsia="zh-CN"/>
        </w:rPr>
        <w:t>；</w:t>
      </w:r>
    </w:p>
    <w:p w14:paraId="02ADA770">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（4）按照分类采购的相关规定，对分类采购药品启动暂定挂网和恢复挂网</w:t>
      </w:r>
      <w:r>
        <w:rPr>
          <w:rFonts w:hint="eastAsia" w:ascii="宋体" w:hAnsi="宋体" w:eastAsia="宋体" w:cs="宋体"/>
          <w:color w:val="auto"/>
          <w:sz w:val="22"/>
          <w:szCs w:val="22"/>
          <w:lang w:eastAsia="zh-CN"/>
        </w:rPr>
        <w:t>；</w:t>
      </w:r>
    </w:p>
    <w:p w14:paraId="798B6412">
      <w:pPr>
        <w:pStyle w:val="2"/>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b w:val="0"/>
          <w:bCs w:val="0"/>
          <w:color w:val="auto"/>
          <w:sz w:val="22"/>
          <w:szCs w:val="22"/>
          <w:lang w:eastAsia="zh-CN"/>
        </w:rPr>
      </w:pPr>
      <w:r>
        <w:rPr>
          <w:rFonts w:hint="eastAsia" w:ascii="宋体" w:hAnsi="宋体" w:eastAsia="宋体" w:cs="宋体"/>
          <w:b w:val="0"/>
          <w:bCs w:val="0"/>
          <w:color w:val="auto"/>
          <w:sz w:val="22"/>
          <w:szCs w:val="22"/>
          <w:lang w:eastAsia="zh-CN"/>
        </w:rPr>
        <w:t>（</w:t>
      </w:r>
      <w:r>
        <w:rPr>
          <w:rFonts w:hint="eastAsia" w:ascii="宋体" w:hAnsi="宋体" w:eastAsia="宋体" w:cs="宋体"/>
          <w:b w:val="0"/>
          <w:bCs w:val="0"/>
          <w:color w:val="auto"/>
          <w:sz w:val="22"/>
          <w:szCs w:val="22"/>
          <w:lang w:val="en-US" w:eastAsia="zh-CN"/>
        </w:rPr>
        <w:t>5</w:t>
      </w:r>
      <w:r>
        <w:rPr>
          <w:rFonts w:hint="eastAsia" w:ascii="宋体" w:hAnsi="宋体" w:eastAsia="宋体" w:cs="宋体"/>
          <w:b w:val="0"/>
          <w:bCs w:val="0"/>
          <w:color w:val="auto"/>
          <w:sz w:val="22"/>
          <w:szCs w:val="22"/>
          <w:lang w:eastAsia="zh-CN"/>
        </w:rPr>
        <w:t>）根据政策规定及上级医保部门统一工作部署，及时开展药品挂网价格联动处理，对存在价格风险品种进行风险提示。</w:t>
      </w:r>
    </w:p>
    <w:p w14:paraId="23E60D1A">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bCs/>
          <w:color w:val="auto"/>
          <w:sz w:val="22"/>
          <w:szCs w:val="22"/>
        </w:rPr>
      </w:pPr>
      <w:bookmarkStart w:id="35" w:name="_Hlk93255027"/>
      <w:r>
        <w:rPr>
          <w:rFonts w:hint="eastAsia" w:ascii="宋体" w:hAnsi="宋体" w:eastAsia="宋体" w:cs="宋体"/>
          <w:bCs/>
          <w:color w:val="auto"/>
          <w:sz w:val="22"/>
          <w:szCs w:val="22"/>
        </w:rPr>
        <w:t>2.4挂网药品的配送管理</w:t>
      </w:r>
    </w:p>
    <w:bookmarkEnd w:id="35"/>
    <w:p w14:paraId="6570C447">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定期统计分析本市公立挂网药品网上采购、配送情况，定期公布药品批发企业的订单响应率、配送及时率、配送覆盖率等指标及满意度调查情况，供药品上市许可持有人、公立医疗机构确定委托配送关系时参考。</w:t>
      </w:r>
    </w:p>
    <w:p w14:paraId="488CE278">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bCs/>
          <w:color w:val="auto"/>
          <w:sz w:val="22"/>
          <w:szCs w:val="22"/>
        </w:rPr>
      </w:pPr>
      <w:r>
        <w:rPr>
          <w:rFonts w:hint="eastAsia" w:ascii="宋体" w:hAnsi="宋体" w:eastAsia="宋体" w:cs="宋体"/>
          <w:bCs/>
          <w:color w:val="auto"/>
          <w:sz w:val="22"/>
          <w:szCs w:val="22"/>
        </w:rPr>
        <w:t>2.</w:t>
      </w:r>
      <w:r>
        <w:rPr>
          <w:rFonts w:hint="eastAsia" w:ascii="宋体" w:hAnsi="宋体" w:eastAsia="宋体" w:cs="宋体"/>
          <w:bCs/>
          <w:color w:val="auto"/>
          <w:sz w:val="22"/>
          <w:szCs w:val="22"/>
          <w:lang w:val="en-US" w:eastAsia="zh-CN"/>
        </w:rPr>
        <w:t>5</w:t>
      </w:r>
      <w:r>
        <w:rPr>
          <w:rFonts w:hint="eastAsia" w:ascii="宋体" w:hAnsi="宋体" w:eastAsia="宋体" w:cs="宋体"/>
          <w:bCs/>
          <w:color w:val="auto"/>
          <w:sz w:val="22"/>
          <w:szCs w:val="22"/>
        </w:rPr>
        <w:t>挂网药品的申（投）诉管理</w:t>
      </w:r>
    </w:p>
    <w:p w14:paraId="0F3610F9">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按照分类采购管理办法的相关规定，按规定受理、处理药品采购、交易、配送、结算等过程中的申（投）诉。</w:t>
      </w:r>
    </w:p>
    <w:p w14:paraId="577510E6">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bCs/>
          <w:color w:val="auto"/>
          <w:sz w:val="22"/>
          <w:szCs w:val="22"/>
        </w:rPr>
      </w:pPr>
      <w:r>
        <w:rPr>
          <w:rFonts w:hint="eastAsia" w:ascii="宋体" w:hAnsi="宋体" w:eastAsia="宋体" w:cs="宋体"/>
          <w:bCs/>
          <w:color w:val="auto"/>
          <w:sz w:val="22"/>
          <w:szCs w:val="22"/>
        </w:rPr>
        <w:t>2.</w:t>
      </w:r>
      <w:r>
        <w:rPr>
          <w:rFonts w:hint="eastAsia" w:ascii="宋体" w:hAnsi="宋体" w:eastAsia="宋体" w:cs="宋体"/>
          <w:bCs/>
          <w:color w:val="auto"/>
          <w:sz w:val="22"/>
          <w:szCs w:val="22"/>
          <w:lang w:val="en-US" w:eastAsia="zh-CN"/>
        </w:rPr>
        <w:t>6</w:t>
      </w:r>
      <w:r>
        <w:rPr>
          <w:rFonts w:hint="eastAsia" w:ascii="宋体" w:hAnsi="宋体" w:eastAsia="宋体" w:cs="宋体"/>
          <w:bCs/>
          <w:color w:val="auto"/>
          <w:sz w:val="22"/>
          <w:szCs w:val="22"/>
        </w:rPr>
        <w:t>专项沟通汇报</w:t>
      </w:r>
    </w:p>
    <w:p w14:paraId="7AFBCEF1">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（1）定期向医疗保障部门汇报工作进度及其他专项（专题）汇报；</w:t>
      </w:r>
    </w:p>
    <w:p w14:paraId="0DE7BB7C">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（2）按照医疗保障部门及相关职能部门的要求，进行相关工作的汇报。</w:t>
      </w:r>
    </w:p>
    <w:p w14:paraId="2B7C0F9A">
      <w:pPr>
        <w:pStyle w:val="7"/>
        <w:pageBreakBefore w:val="0"/>
        <w:widowControl/>
        <w:kinsoku/>
        <w:wordWrap/>
        <w:overflowPunct/>
        <w:topLinePunct w:val="0"/>
        <w:autoSpaceDE/>
        <w:autoSpaceDN/>
        <w:bidi w:val="0"/>
        <w:adjustRightInd/>
        <w:spacing w:before="0" w:after="0" w:line="360" w:lineRule="auto"/>
        <w:ind w:left="0" w:leftChars="0" w:firstLine="442" w:firstLineChars="200"/>
        <w:jc w:val="both"/>
        <w:textAlignment w:val="auto"/>
        <w:rPr>
          <w:rFonts w:hint="eastAsia" w:ascii="宋体" w:hAnsi="宋体" w:eastAsia="宋体" w:cs="宋体"/>
          <w:b/>
          <w:bCs/>
          <w:color w:val="auto"/>
          <w:sz w:val="22"/>
          <w:szCs w:val="22"/>
        </w:rPr>
      </w:pPr>
      <w:bookmarkStart w:id="36" w:name="_Toc100841289"/>
      <w:r>
        <w:rPr>
          <w:rFonts w:hint="eastAsia" w:ascii="宋体" w:hAnsi="宋体" w:eastAsia="宋体" w:cs="宋体"/>
          <w:b/>
          <w:bCs/>
          <w:color w:val="auto"/>
          <w:sz w:val="22"/>
          <w:szCs w:val="22"/>
        </w:rPr>
        <w:t>二、大数据监管与智能分析服务</w:t>
      </w:r>
      <w:bookmarkEnd w:id="36"/>
    </w:p>
    <w:p w14:paraId="15884DF9">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bCs w:val="0"/>
          <w:color w:val="auto"/>
          <w:sz w:val="22"/>
          <w:szCs w:val="22"/>
        </w:rPr>
      </w:pPr>
      <w:r>
        <w:rPr>
          <w:rFonts w:hint="eastAsia" w:ascii="宋体" w:hAnsi="宋体" w:eastAsia="宋体" w:cs="宋体"/>
          <w:bCs w:val="0"/>
          <w:color w:val="auto"/>
          <w:sz w:val="22"/>
          <w:szCs w:val="22"/>
        </w:rPr>
        <w:t>1.药品采购数据智能分析</w:t>
      </w:r>
    </w:p>
    <w:p w14:paraId="64858CBE">
      <w:pPr>
        <w:pageBreakBefore w:val="0"/>
        <w:widowControl/>
        <w:kinsoku/>
        <w:wordWrap/>
        <w:overflowPunct/>
        <w:topLinePunct w:val="0"/>
        <w:autoSpaceDE/>
        <w:autoSpaceDN/>
        <w:bidi w:val="0"/>
        <w:adjustRightInd/>
        <w:snapToGrid w:val="0"/>
        <w:spacing w:line="360" w:lineRule="auto"/>
        <w:ind w:left="0" w:leftChars="0" w:firstLine="440" w:firstLineChars="200"/>
        <w:textAlignment w:val="auto"/>
        <w:rPr>
          <w:rFonts w:hint="eastAsia" w:ascii="宋体" w:hAnsi="宋体" w:eastAsia="宋体" w:cs="宋体"/>
          <w:b w:val="0"/>
          <w:bCs w:val="0"/>
          <w:color w:val="auto"/>
          <w:sz w:val="22"/>
          <w:szCs w:val="22"/>
          <w:lang w:val="en-US" w:eastAsia="zh-CN"/>
        </w:rPr>
      </w:pPr>
      <w:r>
        <w:rPr>
          <w:rFonts w:hint="eastAsia" w:ascii="宋体" w:hAnsi="宋体" w:eastAsia="宋体" w:cs="宋体"/>
          <w:color w:val="auto"/>
          <w:sz w:val="22"/>
          <w:szCs w:val="22"/>
        </w:rPr>
        <w:t>支持对药品全流程采购数据进行采购情况分析</w:t>
      </w:r>
      <w:r>
        <w:rPr>
          <w:rFonts w:hint="eastAsia" w:ascii="宋体" w:hAnsi="宋体" w:eastAsia="宋体" w:cs="宋体"/>
          <w:color w:val="auto"/>
          <w:sz w:val="22"/>
          <w:szCs w:val="22"/>
          <w:highlight w:val="none"/>
          <w:lang w:eastAsia="zh-CN"/>
        </w:rPr>
        <w:t>，重点对国家短缺药、国采可替代药品进行采购情况分析并协助开展强化供应督促、分析调查服务。</w:t>
      </w:r>
      <w:r>
        <w:rPr>
          <w:rFonts w:hint="eastAsia" w:ascii="宋体" w:hAnsi="宋体" w:eastAsia="宋体" w:cs="宋体"/>
          <w:b w:val="0"/>
          <w:bCs w:val="0"/>
          <w:color w:val="auto"/>
          <w:sz w:val="22"/>
          <w:szCs w:val="22"/>
          <w:highlight w:val="none"/>
          <w:lang w:eastAsia="zh-CN"/>
        </w:rPr>
        <w:t>支持对生产、配送企业全流程供应情况进行统计、分析、考核、处置</w:t>
      </w:r>
      <w:r>
        <w:rPr>
          <w:rFonts w:hint="eastAsia" w:ascii="宋体" w:hAnsi="宋体" w:eastAsia="宋体" w:cs="宋体"/>
          <w:b w:val="0"/>
          <w:bCs w:val="0"/>
          <w:color w:val="auto"/>
          <w:sz w:val="22"/>
          <w:szCs w:val="22"/>
          <w:lang w:eastAsia="zh-CN"/>
        </w:rPr>
        <w:t>、申投诉处理</w:t>
      </w:r>
      <w:r>
        <w:rPr>
          <w:rFonts w:hint="eastAsia" w:ascii="宋体" w:hAnsi="宋体" w:eastAsia="宋体" w:cs="宋体"/>
          <w:b w:val="0"/>
          <w:bCs w:val="0"/>
          <w:color w:val="auto"/>
          <w:sz w:val="22"/>
          <w:szCs w:val="22"/>
          <w:highlight w:val="none"/>
          <w:lang w:eastAsia="zh-CN"/>
        </w:rPr>
        <w:t>，</w:t>
      </w:r>
      <w:r>
        <w:rPr>
          <w:rFonts w:hint="eastAsia" w:ascii="宋体" w:hAnsi="宋体" w:eastAsia="宋体" w:cs="宋体"/>
          <w:b w:val="0"/>
          <w:bCs w:val="0"/>
          <w:color w:val="auto"/>
          <w:sz w:val="22"/>
          <w:szCs w:val="22"/>
          <w:lang w:eastAsia="zh-CN"/>
        </w:rPr>
        <w:t>并开展提醒、函询、约谈等督促保供服务</w:t>
      </w:r>
      <w:r>
        <w:rPr>
          <w:rFonts w:hint="eastAsia" w:ascii="宋体" w:hAnsi="宋体" w:eastAsia="宋体" w:cs="宋体"/>
          <w:b w:val="0"/>
          <w:bCs w:val="0"/>
          <w:color w:val="auto"/>
          <w:sz w:val="22"/>
          <w:szCs w:val="22"/>
          <w:highlight w:val="none"/>
          <w:lang w:eastAsia="zh-CN"/>
        </w:rPr>
        <w:t>。</w:t>
      </w:r>
    </w:p>
    <w:p w14:paraId="0CFE5EE5">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bCs/>
          <w:color w:val="auto"/>
          <w:sz w:val="22"/>
          <w:szCs w:val="22"/>
          <w:highlight w:val="none"/>
        </w:rPr>
      </w:pPr>
      <w:r>
        <w:rPr>
          <w:rFonts w:hint="eastAsia" w:ascii="宋体" w:hAnsi="宋体" w:eastAsia="宋体" w:cs="宋体"/>
          <w:bCs/>
          <w:color w:val="auto"/>
          <w:sz w:val="22"/>
          <w:szCs w:val="22"/>
          <w:highlight w:val="none"/>
        </w:rPr>
        <w:t>2.监测数据上报</w:t>
      </w:r>
    </w:p>
    <w:p w14:paraId="36709F33">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支持主管部门和医疗机构对监测数据和报告的自动生成和导出。</w:t>
      </w:r>
    </w:p>
    <w:p w14:paraId="7A231CD7">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bCs/>
          <w:color w:val="auto"/>
          <w:sz w:val="22"/>
          <w:szCs w:val="22"/>
          <w:highlight w:val="none"/>
        </w:rPr>
      </w:pPr>
      <w:r>
        <w:rPr>
          <w:rFonts w:hint="eastAsia" w:ascii="宋体" w:hAnsi="宋体" w:eastAsia="宋体" w:cs="宋体"/>
          <w:bCs/>
          <w:color w:val="auto"/>
          <w:sz w:val="22"/>
          <w:szCs w:val="22"/>
          <w:highlight w:val="none"/>
        </w:rPr>
        <w:t>3.带量采购全流程监测</w:t>
      </w:r>
    </w:p>
    <w:p w14:paraId="05EB73DE">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支持对</w:t>
      </w:r>
      <w:r>
        <w:rPr>
          <w:rFonts w:hint="eastAsia" w:ascii="宋体" w:hAnsi="宋体" w:eastAsia="宋体" w:cs="宋体"/>
          <w:color w:val="auto"/>
          <w:sz w:val="22"/>
          <w:szCs w:val="22"/>
          <w:highlight w:val="none"/>
          <w:lang w:eastAsia="zh-CN"/>
        </w:rPr>
        <w:t>集采药品</w:t>
      </w:r>
      <w:r>
        <w:rPr>
          <w:rFonts w:hint="eastAsia" w:ascii="宋体" w:hAnsi="宋体" w:eastAsia="宋体" w:cs="宋体"/>
          <w:color w:val="auto"/>
          <w:sz w:val="22"/>
          <w:szCs w:val="22"/>
          <w:highlight w:val="none"/>
        </w:rPr>
        <w:t>采购情况的实时监测、药品降价幅度及节省金额的实时测算、超阈值或异常情况的预警</w:t>
      </w:r>
      <w:r>
        <w:rPr>
          <w:rFonts w:hint="eastAsia" w:ascii="宋体" w:hAnsi="宋体" w:eastAsia="宋体" w:cs="宋体"/>
          <w:color w:val="auto"/>
          <w:sz w:val="22"/>
          <w:szCs w:val="22"/>
          <w:highlight w:val="none"/>
          <w:lang w:eastAsia="zh-CN"/>
        </w:rPr>
        <w:t>，并提供督办服务</w:t>
      </w:r>
      <w:r>
        <w:rPr>
          <w:rFonts w:hint="eastAsia" w:ascii="宋体" w:hAnsi="宋体" w:eastAsia="宋体" w:cs="宋体"/>
          <w:color w:val="auto"/>
          <w:sz w:val="22"/>
          <w:szCs w:val="22"/>
          <w:highlight w:val="none"/>
        </w:rPr>
        <w:t>。</w:t>
      </w:r>
    </w:p>
    <w:p w14:paraId="6CF4EB7A">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bCs/>
          <w:color w:val="auto"/>
          <w:sz w:val="22"/>
          <w:szCs w:val="22"/>
          <w:highlight w:val="none"/>
        </w:rPr>
      </w:pPr>
      <w:r>
        <w:rPr>
          <w:rFonts w:hint="eastAsia" w:ascii="宋体" w:hAnsi="宋体" w:eastAsia="宋体" w:cs="宋体"/>
          <w:bCs/>
          <w:color w:val="auto"/>
          <w:sz w:val="22"/>
          <w:szCs w:val="22"/>
          <w:highlight w:val="none"/>
        </w:rPr>
        <w:t>4．价格监测分析服务</w:t>
      </w:r>
    </w:p>
    <w:p w14:paraId="79553C0C">
      <w:pPr>
        <w:pStyle w:val="19"/>
        <w:pageBreakBefore w:val="0"/>
        <w:widowControl/>
        <w:tabs>
          <w:tab w:val="left" w:pos="0"/>
          <w:tab w:val="left" w:pos="993"/>
          <w:tab w:val="left" w:pos="1134"/>
        </w:tabs>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支持通过开放企业及时申报、深圳药品采购平台主动采集、按上级部门政策要求等途径，实现信息动态调整，定期进行价格联动。建立价格监测机制，对挂网药品全部纳入价格监测和治理范围，加强价格的监测分析</w:t>
      </w:r>
    </w:p>
    <w:p w14:paraId="5A18D96B">
      <w:pPr>
        <w:pStyle w:val="7"/>
        <w:pageBreakBefore w:val="0"/>
        <w:widowControl/>
        <w:kinsoku/>
        <w:wordWrap/>
        <w:overflowPunct/>
        <w:topLinePunct w:val="0"/>
        <w:autoSpaceDE/>
        <w:autoSpaceDN/>
        <w:bidi w:val="0"/>
        <w:adjustRightInd/>
        <w:spacing w:before="0" w:after="0" w:line="360" w:lineRule="auto"/>
        <w:ind w:left="0" w:leftChars="0" w:firstLine="442" w:firstLineChars="200"/>
        <w:jc w:val="both"/>
        <w:textAlignment w:val="auto"/>
        <w:rPr>
          <w:rFonts w:hint="eastAsia" w:ascii="宋体" w:hAnsi="宋体" w:eastAsia="宋体" w:cs="宋体"/>
          <w:b/>
          <w:bCs/>
          <w:color w:val="auto"/>
          <w:sz w:val="22"/>
          <w:szCs w:val="22"/>
        </w:rPr>
      </w:pPr>
      <w:bookmarkStart w:id="37" w:name="_Toc100841293"/>
      <w:r>
        <w:rPr>
          <w:rFonts w:hint="eastAsia" w:ascii="宋体" w:hAnsi="宋体" w:eastAsia="宋体" w:cs="宋体"/>
          <w:b/>
          <w:bCs/>
          <w:color w:val="auto"/>
          <w:sz w:val="22"/>
          <w:szCs w:val="22"/>
        </w:rPr>
        <w:t>三、医药价格和招采信用评价实施工作</w:t>
      </w:r>
      <w:bookmarkEnd w:id="37"/>
    </w:p>
    <w:p w14:paraId="671820ED">
      <w:pPr>
        <w:pageBreakBefore w:val="0"/>
        <w:widowControl/>
        <w:kinsoku/>
        <w:wordWrap/>
        <w:overflowPunct/>
        <w:topLinePunct w:val="0"/>
        <w:autoSpaceDE/>
        <w:autoSpaceDN/>
        <w:bidi w:val="0"/>
        <w:adjustRightIn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val="en-US" w:eastAsia="zh-CN"/>
        </w:rPr>
        <w:t>根据</w:t>
      </w:r>
      <w:r>
        <w:rPr>
          <w:rFonts w:hint="eastAsia" w:ascii="宋体" w:hAnsi="宋体" w:eastAsia="宋体" w:cs="宋体"/>
          <w:color w:val="auto"/>
          <w:sz w:val="22"/>
          <w:szCs w:val="22"/>
        </w:rPr>
        <w:t>国家、广东省和本市医药价格和招采信用评价有关政策，配合做好实施工作。</w:t>
      </w:r>
      <w:bookmarkStart w:id="38" w:name="_Toc100841294"/>
    </w:p>
    <w:p w14:paraId="6A8F0B02">
      <w:pPr>
        <w:pStyle w:val="7"/>
        <w:pageBreakBefore w:val="0"/>
        <w:widowControl/>
        <w:kinsoku/>
        <w:wordWrap/>
        <w:overflowPunct/>
        <w:topLinePunct w:val="0"/>
        <w:autoSpaceDE/>
        <w:autoSpaceDN/>
        <w:bidi w:val="0"/>
        <w:adjustRightInd/>
        <w:spacing w:before="0" w:after="0" w:line="360" w:lineRule="auto"/>
        <w:ind w:left="0" w:leftChars="0" w:firstLine="442" w:firstLineChars="200"/>
        <w:jc w:val="both"/>
        <w:textAlignment w:val="auto"/>
        <w:rPr>
          <w:rFonts w:hint="eastAsia" w:ascii="宋体" w:hAnsi="宋体" w:eastAsia="宋体" w:cs="宋体"/>
          <w:b w:val="0"/>
          <w:bCs w:val="0"/>
          <w:color w:val="auto"/>
          <w:sz w:val="22"/>
          <w:szCs w:val="22"/>
        </w:rPr>
      </w:pPr>
      <w:r>
        <w:rPr>
          <w:rFonts w:hint="eastAsia" w:ascii="宋体" w:hAnsi="宋体" w:eastAsia="宋体" w:cs="宋体"/>
          <w:b/>
          <w:bCs/>
          <w:color w:val="auto"/>
          <w:sz w:val="22"/>
          <w:szCs w:val="22"/>
        </w:rPr>
        <w:t>四、综合服务（药事服务、政策调研及宣传培训支持）</w:t>
      </w:r>
      <w:bookmarkEnd w:id="38"/>
    </w:p>
    <w:p w14:paraId="0E7FE3A1">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bCs/>
          <w:color w:val="auto"/>
          <w:sz w:val="22"/>
          <w:szCs w:val="22"/>
        </w:rPr>
      </w:pPr>
      <w:bookmarkStart w:id="39" w:name="_Toc8058514"/>
      <w:bookmarkStart w:id="40" w:name="_Toc100841295"/>
      <w:r>
        <w:rPr>
          <w:rFonts w:hint="eastAsia" w:ascii="宋体" w:hAnsi="宋体" w:eastAsia="宋体" w:cs="宋体"/>
          <w:bCs/>
          <w:color w:val="auto"/>
          <w:sz w:val="22"/>
          <w:szCs w:val="22"/>
        </w:rPr>
        <w:t>1.综合服务能力</w:t>
      </w:r>
      <w:bookmarkEnd w:id="39"/>
      <w:bookmarkEnd w:id="40"/>
      <w:r>
        <w:rPr>
          <w:rFonts w:hint="eastAsia" w:ascii="宋体" w:hAnsi="宋体" w:eastAsia="宋体" w:cs="宋体"/>
          <w:bCs/>
          <w:color w:val="auto"/>
          <w:sz w:val="22"/>
          <w:szCs w:val="22"/>
        </w:rPr>
        <w:t xml:space="preserve"> </w:t>
      </w:r>
    </w:p>
    <w:p w14:paraId="3990CE1F">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建立专门服务部门，对医疗机构、生产企业及配送企业提供平台咨询服务、培训服务。</w:t>
      </w:r>
      <w:bookmarkStart w:id="41" w:name="_Toc100841296"/>
      <w:bookmarkStart w:id="42" w:name="_Toc8058516"/>
    </w:p>
    <w:p w14:paraId="4FA41CAD">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bCs/>
          <w:color w:val="auto"/>
          <w:sz w:val="22"/>
          <w:szCs w:val="22"/>
        </w:rPr>
      </w:pPr>
      <w:r>
        <w:rPr>
          <w:rFonts w:hint="eastAsia" w:ascii="宋体" w:hAnsi="宋体" w:eastAsia="宋体" w:cs="宋体"/>
          <w:bCs/>
          <w:color w:val="auto"/>
          <w:sz w:val="22"/>
          <w:szCs w:val="22"/>
        </w:rPr>
        <w:t>2.提供专业操作培训</w:t>
      </w:r>
      <w:bookmarkEnd w:id="41"/>
      <w:bookmarkEnd w:id="42"/>
    </w:p>
    <w:p w14:paraId="4C00E2A9">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向本项目涉及的使用人员提供相应的操作培训，内容应包括理论培训与实际操作。提供灵活多样用户培训方式，包括但不限于现场授课、线上培训、热线支持等，以达到全员会用为基本目标。</w:t>
      </w:r>
    </w:p>
    <w:p w14:paraId="06264B35">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bCs/>
          <w:color w:val="auto"/>
          <w:sz w:val="22"/>
          <w:szCs w:val="22"/>
        </w:rPr>
      </w:pPr>
      <w:bookmarkStart w:id="43" w:name="_Toc100841297"/>
      <w:bookmarkStart w:id="44" w:name="_Toc8058517"/>
      <w:r>
        <w:rPr>
          <w:rFonts w:hint="eastAsia" w:ascii="宋体" w:hAnsi="宋体" w:eastAsia="宋体" w:cs="宋体"/>
          <w:bCs/>
          <w:color w:val="auto"/>
          <w:sz w:val="22"/>
          <w:szCs w:val="22"/>
        </w:rPr>
        <w:t>3.现场授课</w:t>
      </w:r>
      <w:bookmarkEnd w:id="43"/>
      <w:bookmarkEnd w:id="44"/>
    </w:p>
    <w:p w14:paraId="2644FDA2">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提供专业的培训场地和一流的培训讲师，结合多媒体教学环境进行批量授课，制订详细的培训方案，确保培训覆盖平台所有用户和所有流程。</w:t>
      </w:r>
    </w:p>
    <w:p w14:paraId="0F83B2DB">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bCs/>
          <w:color w:val="auto"/>
          <w:sz w:val="22"/>
          <w:szCs w:val="22"/>
        </w:rPr>
      </w:pPr>
      <w:bookmarkStart w:id="45" w:name="_Toc100841298"/>
      <w:bookmarkStart w:id="46" w:name="_Toc8058518"/>
      <w:r>
        <w:rPr>
          <w:rFonts w:hint="eastAsia" w:ascii="宋体" w:hAnsi="宋体" w:eastAsia="宋体" w:cs="宋体"/>
          <w:bCs/>
          <w:color w:val="auto"/>
          <w:sz w:val="22"/>
          <w:szCs w:val="22"/>
        </w:rPr>
        <w:t>4.线上培训</w:t>
      </w:r>
      <w:bookmarkEnd w:id="45"/>
      <w:bookmarkEnd w:id="46"/>
    </w:p>
    <w:p w14:paraId="0CA24A37">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除了集中培训之外，将培训内容制作成视频文件或多媒体课件，通过邮件、远程协助、即时通信、微信推送等培训服务，由操作员在网上在线学习或下载后离线自学。</w:t>
      </w:r>
    </w:p>
    <w:p w14:paraId="528802FC">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rPr>
      </w:pPr>
      <w:bookmarkStart w:id="47" w:name="_Toc8058519"/>
      <w:bookmarkStart w:id="48" w:name="_Toc100841299"/>
      <w:r>
        <w:rPr>
          <w:rFonts w:hint="eastAsia" w:ascii="宋体" w:hAnsi="宋体" w:eastAsia="宋体" w:cs="宋体"/>
          <w:color w:val="auto"/>
          <w:sz w:val="22"/>
          <w:szCs w:val="22"/>
        </w:rPr>
        <w:t>5.热线支持</w:t>
      </w:r>
      <w:bookmarkEnd w:id="47"/>
      <w:bookmarkEnd w:id="48"/>
    </w:p>
    <w:p w14:paraId="064AED7A">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提供400等客服电话系统，为用户提供平台</w:t>
      </w:r>
      <w:r>
        <w:rPr>
          <w:rFonts w:hint="eastAsia" w:ascii="宋体" w:hAnsi="宋体" w:eastAsia="宋体" w:cs="宋体"/>
          <w:color w:val="auto"/>
          <w:sz w:val="22"/>
          <w:szCs w:val="22"/>
          <w:lang w:val="en-US" w:eastAsia="zh-CN"/>
        </w:rPr>
        <w:t>系统</w:t>
      </w:r>
      <w:r>
        <w:rPr>
          <w:rFonts w:hint="eastAsia" w:ascii="宋体" w:hAnsi="宋体" w:eastAsia="宋体" w:cs="宋体"/>
          <w:color w:val="auto"/>
          <w:sz w:val="22"/>
          <w:szCs w:val="22"/>
        </w:rPr>
        <w:t>操作使用培训支持。</w:t>
      </w:r>
    </w:p>
    <w:p w14:paraId="274F0544">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6.政策支持服务</w:t>
      </w:r>
    </w:p>
    <w:p w14:paraId="54DC5565">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进行全国各地招标政策、行业政策数据采集与分类汇总，定期向市医疗保障部门汇报相关进度及其他研究专题的开展情况，为本市医疗保障部门及相关职能部门决策提供决策辅助，并按每季度提供服务和出具研究建议报告。</w:t>
      </w:r>
    </w:p>
    <w:p w14:paraId="2178D384">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7.宣传调研服务</w:t>
      </w:r>
    </w:p>
    <w:p w14:paraId="5176A0E1">
      <w:pPr>
        <w:pageBreakBefore w:val="0"/>
        <w:widowControl/>
        <w:kinsoku/>
        <w:wordWrap/>
        <w:overflowPunct/>
        <w:topLinePunct w:val="0"/>
        <w:autoSpaceDE/>
        <w:autoSpaceDN/>
        <w:bidi w:val="0"/>
        <w:adjustRightInd/>
        <w:spacing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rPr>
        <w:t>为</w:t>
      </w:r>
      <w:r>
        <w:rPr>
          <w:rFonts w:hint="eastAsia" w:ascii="宋体" w:hAnsi="宋体" w:eastAsia="宋体" w:cs="宋体"/>
          <w:color w:val="auto"/>
          <w:sz w:val="22"/>
          <w:szCs w:val="22"/>
          <w:lang w:eastAsia="zh-CN"/>
        </w:rPr>
        <w:t>深圳</w:t>
      </w:r>
      <w:r>
        <w:rPr>
          <w:rFonts w:hint="eastAsia" w:ascii="宋体" w:hAnsi="宋体" w:eastAsia="宋体" w:cs="宋体"/>
          <w:color w:val="auto"/>
          <w:sz w:val="22"/>
          <w:szCs w:val="22"/>
        </w:rPr>
        <w:t>市公立医疗机构的药品采购提供宣传调研服务，进行对外业务往来、调研等活动，推动</w:t>
      </w:r>
      <w:r>
        <w:rPr>
          <w:rFonts w:hint="eastAsia" w:ascii="宋体" w:hAnsi="宋体" w:eastAsia="宋体" w:cs="宋体"/>
          <w:color w:val="auto"/>
          <w:sz w:val="22"/>
          <w:szCs w:val="22"/>
          <w:lang w:eastAsia="zh-CN"/>
        </w:rPr>
        <w:t>深圳</w:t>
      </w:r>
      <w:r>
        <w:rPr>
          <w:rFonts w:hint="eastAsia" w:ascii="宋体" w:hAnsi="宋体" w:eastAsia="宋体" w:cs="宋体"/>
          <w:color w:val="auto"/>
          <w:sz w:val="22"/>
          <w:szCs w:val="22"/>
        </w:rPr>
        <w:t>市药品采购工作有序开展。</w:t>
      </w:r>
    </w:p>
    <w:p w14:paraId="66A5CE77">
      <w:pPr>
        <w:pStyle w:val="5"/>
        <w:pageBreakBefore w:val="0"/>
        <w:kinsoku/>
        <w:wordWrap/>
        <w:overflowPunct/>
        <w:topLinePunct w:val="0"/>
        <w:autoSpaceDE/>
        <w:autoSpaceDN/>
        <w:bidi w:val="0"/>
        <w:spacing w:before="0" w:after="0" w:line="360" w:lineRule="auto"/>
        <w:ind w:left="0" w:leftChars="0" w:firstLine="442" w:firstLineChars="200"/>
        <w:rPr>
          <w:rFonts w:hint="eastAsia" w:ascii="宋体" w:hAnsi="宋体" w:eastAsia="宋体" w:cs="宋体"/>
          <w:color w:val="auto"/>
          <w:sz w:val="22"/>
          <w:szCs w:val="22"/>
        </w:rPr>
      </w:pPr>
      <w:r>
        <w:rPr>
          <w:rFonts w:hint="eastAsia" w:ascii="宋体" w:hAnsi="宋体" w:eastAsia="宋体" w:cs="宋体"/>
          <w:color w:val="auto"/>
          <w:sz w:val="22"/>
          <w:szCs w:val="22"/>
          <w:lang w:eastAsia="zh-CN"/>
        </w:rPr>
        <w:t>（四）</w:t>
      </w:r>
      <w:r>
        <w:rPr>
          <w:rFonts w:hint="eastAsia" w:ascii="宋体" w:hAnsi="宋体" w:eastAsia="宋体" w:cs="宋体"/>
          <w:color w:val="auto"/>
          <w:sz w:val="22"/>
          <w:szCs w:val="22"/>
        </w:rPr>
        <w:t>平台系统性能要求</w:t>
      </w:r>
    </w:p>
    <w:p w14:paraId="4C9D28C6">
      <w:pPr>
        <w:pStyle w:val="6"/>
        <w:pageBreakBefore w:val="0"/>
        <w:widowControl/>
        <w:kinsoku/>
        <w:wordWrap/>
        <w:overflowPunct/>
        <w:topLinePunct w:val="0"/>
        <w:autoSpaceDE/>
        <w:autoSpaceDN/>
        <w:bidi w:val="0"/>
        <w:adjustRightInd/>
        <w:snapToGrid/>
        <w:spacing w:before="0" w:after="0" w:line="360" w:lineRule="auto"/>
        <w:ind w:firstLine="442" w:firstLineChars="200"/>
        <w:jc w:val="both"/>
        <w:textAlignment w:val="auto"/>
        <w:rPr>
          <w:rFonts w:hint="eastAsia" w:ascii="宋体" w:hAnsi="宋体" w:eastAsia="宋体" w:cs="宋体"/>
          <w:b/>
          <w:bCs/>
          <w:color w:val="auto"/>
          <w:sz w:val="22"/>
          <w:szCs w:val="22"/>
        </w:rPr>
      </w:pPr>
      <w:r>
        <w:rPr>
          <w:rFonts w:hint="eastAsia" w:ascii="宋体" w:hAnsi="宋体" w:eastAsia="宋体" w:cs="宋体"/>
          <w:b/>
          <w:bCs/>
          <w:color w:val="auto"/>
          <w:sz w:val="22"/>
          <w:szCs w:val="22"/>
        </w:rPr>
        <w:t>第一节 软件开发平台</w:t>
      </w:r>
      <w:r>
        <w:rPr>
          <w:rFonts w:hint="eastAsia" w:ascii="宋体" w:hAnsi="宋体" w:eastAsia="宋体" w:cs="宋体"/>
          <w:b/>
          <w:bCs/>
          <w:color w:val="auto"/>
          <w:sz w:val="22"/>
          <w:szCs w:val="22"/>
          <w:lang w:val="en-US" w:eastAsia="zh-CN"/>
        </w:rPr>
        <w:t>系统</w:t>
      </w:r>
      <w:r>
        <w:rPr>
          <w:rFonts w:hint="eastAsia" w:ascii="宋体" w:hAnsi="宋体" w:eastAsia="宋体" w:cs="宋体"/>
          <w:b/>
          <w:bCs/>
          <w:color w:val="auto"/>
          <w:sz w:val="22"/>
          <w:szCs w:val="22"/>
        </w:rPr>
        <w:t>要求</w:t>
      </w:r>
    </w:p>
    <w:p w14:paraId="025E7616">
      <w:pPr>
        <w:pageBreakBefore w:val="0"/>
        <w:widowControl/>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一、投标人提供的软件开发平台是企业级的产品，支持可分布的、可伸缩的体系结构</w:t>
      </w: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rPr>
        <w:t>支持部署在主流的操作系统(包括Unix或Linux或Windows)</w:t>
      </w:r>
      <w:r>
        <w:rPr>
          <w:rFonts w:hint="eastAsia" w:ascii="宋体" w:hAnsi="宋体" w:eastAsia="宋体" w:cs="宋体"/>
          <w:color w:val="auto"/>
          <w:sz w:val="22"/>
          <w:szCs w:val="22"/>
          <w:lang w:eastAsia="zh-CN"/>
        </w:rPr>
        <w:t>；</w:t>
      </w:r>
    </w:p>
    <w:p w14:paraId="7D49E05D">
      <w:pPr>
        <w:pageBreakBefore w:val="0"/>
        <w:widowControl/>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二、投标人提供的软件开发平台要求提供安全功能、软件安全保证、安全服务等各方面的内容，涵盖了端到端的安全、软件生命周期安全</w:t>
      </w: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rPr>
        <w:t>对企业信息安全框架的应用安全、数据安全、终端安全、网络安全提供支持，并为安全运维和安全管理提供支撑（提供第三方测评证书）；</w:t>
      </w:r>
    </w:p>
    <w:p w14:paraId="2C0525F2">
      <w:pPr>
        <w:pageBreakBefore w:val="0"/>
        <w:widowControl/>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三、投标人提供的软件开发平台应具有高性能与高可靠性；</w:t>
      </w:r>
    </w:p>
    <w:p w14:paraId="21277203">
      <w:pPr>
        <w:pageBreakBefore w:val="0"/>
        <w:widowControl/>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四、投标人提供的软件开发平台应具备业务灵活性保障，能够低代码开发，并能够灵活参数配置，实现客户应用需求的个性化。</w:t>
      </w:r>
    </w:p>
    <w:p w14:paraId="54AA6C43">
      <w:pPr>
        <w:pStyle w:val="2"/>
        <w:pageBreakBefore w:val="0"/>
        <w:widowControl/>
        <w:kinsoku/>
        <w:wordWrap/>
        <w:overflowPunct/>
        <w:topLinePunct w:val="0"/>
        <w:autoSpaceDE/>
        <w:autoSpaceDN/>
        <w:bidi w:val="0"/>
        <w:adjustRightInd/>
        <w:snapToGrid/>
        <w:spacing w:line="360" w:lineRule="auto"/>
        <w:ind w:firstLine="442" w:firstLineChars="200"/>
        <w:textAlignment w:val="auto"/>
        <w:rPr>
          <w:rFonts w:hint="eastAsia" w:ascii="宋体" w:hAnsi="宋体" w:eastAsia="宋体" w:cs="宋体"/>
          <w:color w:val="auto"/>
          <w:sz w:val="22"/>
          <w:szCs w:val="22"/>
        </w:rPr>
      </w:pPr>
    </w:p>
    <w:p w14:paraId="616BDA2C">
      <w:pPr>
        <w:pStyle w:val="6"/>
        <w:pageBreakBefore w:val="0"/>
        <w:widowControl/>
        <w:kinsoku/>
        <w:wordWrap/>
        <w:overflowPunct/>
        <w:topLinePunct w:val="0"/>
        <w:autoSpaceDE/>
        <w:autoSpaceDN/>
        <w:bidi w:val="0"/>
        <w:adjustRightInd/>
        <w:snapToGrid/>
        <w:spacing w:before="0" w:after="0" w:line="360" w:lineRule="auto"/>
        <w:ind w:firstLine="442" w:firstLineChars="200"/>
        <w:jc w:val="both"/>
        <w:textAlignment w:val="auto"/>
        <w:rPr>
          <w:rFonts w:hint="eastAsia" w:ascii="宋体" w:hAnsi="宋体" w:eastAsia="宋体" w:cs="宋体"/>
          <w:b/>
          <w:bCs/>
          <w:color w:val="auto"/>
          <w:sz w:val="22"/>
          <w:szCs w:val="22"/>
        </w:rPr>
      </w:pPr>
      <w:r>
        <w:rPr>
          <w:rFonts w:hint="eastAsia" w:ascii="宋体" w:hAnsi="宋体" w:eastAsia="宋体" w:cs="宋体"/>
          <w:b/>
          <w:bCs/>
          <w:color w:val="auto"/>
          <w:sz w:val="22"/>
          <w:szCs w:val="22"/>
        </w:rPr>
        <w:t>第二节 应用软件性能要求</w:t>
      </w:r>
    </w:p>
    <w:p w14:paraId="0C19DA1E">
      <w:pPr>
        <w:pStyle w:val="40"/>
        <w:pageBreakBefore w:val="0"/>
        <w:widowControl/>
        <w:numPr>
          <w:ilvl w:val="255"/>
          <w:numId w:val="0"/>
        </w:numPr>
        <w:kinsoku/>
        <w:wordWrap/>
        <w:overflowPunct/>
        <w:topLinePunct w:val="0"/>
        <w:autoSpaceDE/>
        <w:autoSpaceDN/>
        <w:bidi w:val="0"/>
        <w:adjustRightInd/>
        <w:snapToGrid/>
        <w:spacing w:line="360" w:lineRule="auto"/>
        <w:ind w:left="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一、同时在线操作人数：系统支持10000个用户同时在线；</w:t>
      </w:r>
    </w:p>
    <w:p w14:paraId="464A02AE">
      <w:pPr>
        <w:pageBreakBefore w:val="0"/>
        <w:widowControl/>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二、页面响应：打开或刷新首页、功能切换到其它页面的响应速度＜2秒；</w:t>
      </w:r>
    </w:p>
    <w:p w14:paraId="494902A6">
      <w:pPr>
        <w:pageBreakBefore w:val="0"/>
        <w:widowControl/>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三、信息编辑：对于关键字以外的字段能够修改。并检查数据的完整性、数值的合理性，有相似性和重复性检查：响应时间在2秒内；</w:t>
      </w:r>
    </w:p>
    <w:p w14:paraId="1AD59DA6">
      <w:pPr>
        <w:pageBreakBefore w:val="0"/>
        <w:widowControl/>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四、查询检索简单查询响应速度&lt;3秒；复杂和组合查询响应速度＜5秒。能够对相关文件进行全文检索、模糊查询，查询结果可以按照一定规则进行排序、筛选、保存，查询结果可以显示为图形或图表，可以输出到通用的办公处理软件中；</w:t>
      </w:r>
    </w:p>
    <w:p w14:paraId="4CA0AD28">
      <w:pPr>
        <w:pageBreakBefore w:val="0"/>
        <w:widowControl/>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五、PDF文件生成：文件生成方式为多线程，单个文件生成速度不超过10秒钟；</w:t>
      </w:r>
    </w:p>
    <w:p w14:paraId="41807EF5">
      <w:pPr>
        <w:pageBreakBefore w:val="0"/>
        <w:widowControl/>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六、文件下载：一般处理时间不超过10秒钟；特别大的文件处理时间不超过2分钟；视资料大小和网络情况而定，需要有进度提示；</w:t>
      </w:r>
    </w:p>
    <w:p w14:paraId="6E920974">
      <w:pPr>
        <w:pageBreakBefore w:val="0"/>
        <w:widowControl/>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七、备份恢复：应用系统和数据库系统等的备份、恢复定期自动进行，也可以人工进行；提供数据库和表两级备份恢复。处理时间不超过30分钟；</w:t>
      </w:r>
    </w:p>
    <w:p w14:paraId="076D2B15">
      <w:pPr>
        <w:pageBreakBefore w:val="0"/>
        <w:widowControl/>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八、系统日志：系统运行日志应记录对系统数据的修改、访问日志包括IP地址；可以定期清理。</w:t>
      </w:r>
    </w:p>
    <w:p w14:paraId="5C1DC46C">
      <w:pPr>
        <w:pStyle w:val="2"/>
        <w:pageBreakBefore w:val="0"/>
        <w:widowControl/>
        <w:kinsoku/>
        <w:wordWrap/>
        <w:overflowPunct/>
        <w:topLinePunct w:val="0"/>
        <w:autoSpaceDE/>
        <w:autoSpaceDN/>
        <w:bidi w:val="0"/>
        <w:adjustRightInd/>
        <w:snapToGrid/>
        <w:spacing w:line="360" w:lineRule="auto"/>
        <w:ind w:firstLine="442" w:firstLineChars="200"/>
        <w:textAlignment w:val="auto"/>
        <w:rPr>
          <w:rFonts w:hint="eastAsia" w:ascii="宋体" w:hAnsi="宋体" w:eastAsia="宋体" w:cs="宋体"/>
          <w:color w:val="auto"/>
          <w:sz w:val="22"/>
          <w:szCs w:val="22"/>
        </w:rPr>
      </w:pPr>
    </w:p>
    <w:p w14:paraId="4B544B44">
      <w:pPr>
        <w:pStyle w:val="6"/>
        <w:pageBreakBefore w:val="0"/>
        <w:widowControl/>
        <w:kinsoku/>
        <w:wordWrap/>
        <w:overflowPunct/>
        <w:topLinePunct w:val="0"/>
        <w:autoSpaceDE/>
        <w:autoSpaceDN/>
        <w:bidi w:val="0"/>
        <w:adjustRightInd/>
        <w:snapToGrid/>
        <w:spacing w:before="0" w:after="0" w:line="360" w:lineRule="auto"/>
        <w:ind w:firstLine="442" w:firstLineChars="200"/>
        <w:jc w:val="both"/>
        <w:textAlignment w:val="auto"/>
        <w:rPr>
          <w:rFonts w:hint="eastAsia" w:ascii="宋体" w:hAnsi="宋体" w:eastAsia="宋体" w:cs="宋体"/>
          <w:color w:val="auto"/>
          <w:sz w:val="22"/>
          <w:szCs w:val="22"/>
        </w:rPr>
      </w:pPr>
      <w:r>
        <w:rPr>
          <w:rFonts w:hint="eastAsia" w:ascii="宋体" w:hAnsi="宋体" w:eastAsia="宋体" w:cs="宋体"/>
          <w:b/>
          <w:bCs/>
          <w:color w:val="auto"/>
          <w:sz w:val="22"/>
          <w:szCs w:val="22"/>
        </w:rPr>
        <w:t xml:space="preserve">第三节 软件安全要求 </w:t>
      </w:r>
    </w:p>
    <w:p w14:paraId="4FA87BD7">
      <w:pPr>
        <w:pStyle w:val="19"/>
        <w:pageBreakBefore w:val="0"/>
        <w:widowControl/>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一、投标人须严格按照《医保信息系统安全开发规范》要求，组织研究和实施。投标人产品必须遵守《信息安全技术个人信息安全规范》，严格保护个人信息；</w:t>
      </w:r>
    </w:p>
    <w:p w14:paraId="2CFF63B2">
      <w:pPr>
        <w:pStyle w:val="19"/>
        <w:pageBreakBefore w:val="0"/>
        <w:widowControl/>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二、根据《信息安全等级保护管理办法》，投标人软件产品必须满足至少等保三级及以上的测评；</w:t>
      </w:r>
    </w:p>
    <w:p w14:paraId="24C98CCC">
      <w:pPr>
        <w:pStyle w:val="19"/>
        <w:pageBreakBefore w:val="0"/>
        <w:widowControl/>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三、投标人应提供详细的安全设计方案并详细说明在应用安全和数据安全方面采取的安全的措施；</w:t>
      </w:r>
    </w:p>
    <w:p w14:paraId="55FAB476">
      <w:pPr>
        <w:pStyle w:val="19"/>
        <w:pageBreakBefore w:val="0"/>
        <w:widowControl/>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四、投标人产品应提供完整的备份方案和异地灾备方案，关键应用服务器快照，具备快速灾备恢复的能力，支持数据恢复到备份期内任意时间点。</w:t>
      </w:r>
    </w:p>
    <w:p w14:paraId="01167E7D">
      <w:pPr>
        <w:pStyle w:val="6"/>
        <w:pageBreakBefore w:val="0"/>
        <w:widowControl/>
        <w:kinsoku/>
        <w:wordWrap/>
        <w:overflowPunct/>
        <w:topLinePunct w:val="0"/>
        <w:autoSpaceDE/>
        <w:autoSpaceDN/>
        <w:bidi w:val="0"/>
        <w:adjustRightInd/>
        <w:snapToGrid/>
        <w:spacing w:line="360" w:lineRule="auto"/>
        <w:ind w:firstLine="442" w:firstLineChars="200"/>
        <w:textAlignment w:val="auto"/>
        <w:rPr>
          <w:rFonts w:hint="eastAsia" w:ascii="宋体" w:hAnsi="宋体" w:eastAsia="宋体" w:cs="宋体"/>
          <w:b/>
          <w:bCs/>
          <w:color w:val="auto"/>
          <w:sz w:val="22"/>
          <w:szCs w:val="22"/>
        </w:rPr>
      </w:pPr>
      <w:r>
        <w:rPr>
          <w:rFonts w:hint="eastAsia" w:ascii="宋体" w:hAnsi="宋体" w:eastAsia="宋体" w:cs="宋体"/>
          <w:b/>
          <w:bCs/>
          <w:color w:val="auto"/>
          <w:sz w:val="22"/>
          <w:szCs w:val="22"/>
        </w:rPr>
        <w:t>第四节 硬件要求</w:t>
      </w:r>
    </w:p>
    <w:tbl>
      <w:tblPr>
        <w:tblStyle w:val="20"/>
        <w:tblW w:w="8519" w:type="dxa"/>
        <w:tblInd w:w="0" w:type="dxa"/>
        <w:tblLayout w:type="fixed"/>
        <w:tblCellMar>
          <w:top w:w="0" w:type="dxa"/>
          <w:left w:w="108" w:type="dxa"/>
          <w:bottom w:w="0" w:type="dxa"/>
          <w:right w:w="108" w:type="dxa"/>
        </w:tblCellMar>
      </w:tblPr>
      <w:tblGrid>
        <w:gridCol w:w="658"/>
        <w:gridCol w:w="1976"/>
        <w:gridCol w:w="1714"/>
        <w:gridCol w:w="3316"/>
        <w:gridCol w:w="855"/>
      </w:tblGrid>
      <w:tr w14:paraId="3EC37458">
        <w:tblPrEx>
          <w:tblCellMar>
            <w:top w:w="0" w:type="dxa"/>
            <w:left w:w="108" w:type="dxa"/>
            <w:bottom w:w="0" w:type="dxa"/>
            <w:right w:w="108" w:type="dxa"/>
          </w:tblCellMar>
        </w:tblPrEx>
        <w:trPr>
          <w:trHeight w:val="651" w:hRule="atLeast"/>
          <w:tblHeader/>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AEC4A4">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b/>
                <w:bCs/>
                <w:color w:val="auto"/>
                <w:sz w:val="22"/>
                <w:szCs w:val="22"/>
              </w:rPr>
            </w:pPr>
            <w:r>
              <w:rPr>
                <w:rFonts w:hint="eastAsia" w:ascii="宋体" w:hAnsi="宋体" w:eastAsia="宋体" w:cs="宋体"/>
                <w:b/>
                <w:bCs/>
                <w:color w:val="auto"/>
                <w:sz w:val="22"/>
                <w:szCs w:val="22"/>
              </w:rPr>
              <w:t>序号</w:t>
            </w:r>
          </w:p>
        </w:tc>
        <w:tc>
          <w:tcPr>
            <w:tcW w:w="1976" w:type="dxa"/>
            <w:tcBorders>
              <w:top w:val="single" w:color="auto" w:sz="4" w:space="0"/>
              <w:left w:val="nil"/>
              <w:bottom w:val="single" w:color="auto" w:sz="4" w:space="0"/>
              <w:right w:val="single" w:color="auto" w:sz="4" w:space="0"/>
            </w:tcBorders>
            <w:shd w:val="clear" w:color="auto" w:fill="auto"/>
            <w:noWrap/>
            <w:vAlign w:val="center"/>
          </w:tcPr>
          <w:p w14:paraId="01A8FC7B">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b/>
                <w:bCs/>
                <w:color w:val="auto"/>
                <w:sz w:val="22"/>
                <w:szCs w:val="22"/>
              </w:rPr>
            </w:pPr>
            <w:r>
              <w:rPr>
                <w:rFonts w:hint="eastAsia" w:ascii="宋体" w:hAnsi="宋体" w:eastAsia="宋体" w:cs="宋体"/>
                <w:b/>
                <w:bCs/>
                <w:color w:val="auto"/>
                <w:sz w:val="22"/>
                <w:szCs w:val="22"/>
              </w:rPr>
              <w:t>项目类别</w:t>
            </w:r>
          </w:p>
        </w:tc>
        <w:tc>
          <w:tcPr>
            <w:tcW w:w="1714" w:type="dxa"/>
            <w:tcBorders>
              <w:top w:val="single" w:color="auto" w:sz="4" w:space="0"/>
              <w:left w:val="nil"/>
              <w:bottom w:val="single" w:color="auto" w:sz="4" w:space="0"/>
              <w:right w:val="single" w:color="auto" w:sz="4" w:space="0"/>
            </w:tcBorders>
            <w:shd w:val="clear" w:color="auto" w:fill="auto"/>
            <w:vAlign w:val="center"/>
          </w:tcPr>
          <w:p w14:paraId="2C20CDBD">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b/>
                <w:bCs/>
                <w:color w:val="auto"/>
                <w:sz w:val="22"/>
                <w:szCs w:val="22"/>
              </w:rPr>
            </w:pPr>
            <w:r>
              <w:rPr>
                <w:rFonts w:hint="eastAsia" w:ascii="宋体" w:hAnsi="宋体" w:eastAsia="宋体" w:cs="宋体"/>
                <w:b/>
                <w:bCs/>
                <w:color w:val="auto"/>
                <w:sz w:val="22"/>
                <w:szCs w:val="22"/>
              </w:rPr>
              <w:t>具体项目</w:t>
            </w:r>
          </w:p>
        </w:tc>
        <w:tc>
          <w:tcPr>
            <w:tcW w:w="3316" w:type="dxa"/>
            <w:tcBorders>
              <w:top w:val="single" w:color="auto" w:sz="4" w:space="0"/>
              <w:left w:val="nil"/>
              <w:bottom w:val="single" w:color="auto" w:sz="4" w:space="0"/>
              <w:right w:val="single" w:color="auto" w:sz="4" w:space="0"/>
            </w:tcBorders>
            <w:shd w:val="clear" w:color="auto" w:fill="auto"/>
            <w:vAlign w:val="center"/>
          </w:tcPr>
          <w:p w14:paraId="43F54C54">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b/>
                <w:bCs/>
                <w:color w:val="auto"/>
                <w:sz w:val="22"/>
                <w:szCs w:val="22"/>
              </w:rPr>
            </w:pPr>
            <w:r>
              <w:rPr>
                <w:rFonts w:hint="eastAsia" w:ascii="宋体" w:hAnsi="宋体" w:eastAsia="宋体" w:cs="宋体"/>
                <w:b/>
                <w:bCs/>
                <w:color w:val="auto"/>
                <w:sz w:val="22"/>
                <w:szCs w:val="22"/>
              </w:rPr>
              <w:t>项目内容</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42E0C239">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b/>
                <w:bCs/>
                <w:color w:val="auto"/>
                <w:sz w:val="22"/>
                <w:szCs w:val="22"/>
              </w:rPr>
            </w:pPr>
            <w:r>
              <w:rPr>
                <w:rFonts w:hint="eastAsia" w:ascii="宋体" w:hAnsi="宋体" w:eastAsia="宋体" w:cs="宋体"/>
                <w:b/>
                <w:bCs/>
                <w:color w:val="auto"/>
                <w:sz w:val="22"/>
                <w:szCs w:val="22"/>
              </w:rPr>
              <w:t>数量</w:t>
            </w:r>
          </w:p>
        </w:tc>
      </w:tr>
      <w:tr w14:paraId="2A0A834E">
        <w:tblPrEx>
          <w:tblCellMar>
            <w:top w:w="0" w:type="dxa"/>
            <w:left w:w="108" w:type="dxa"/>
            <w:bottom w:w="0" w:type="dxa"/>
            <w:right w:w="108" w:type="dxa"/>
          </w:tblCellMar>
        </w:tblPrEx>
        <w:trPr>
          <w:trHeight w:val="675" w:hRule="atLeast"/>
        </w:trPr>
        <w:tc>
          <w:tcPr>
            <w:tcW w:w="658" w:type="dxa"/>
            <w:vMerge w:val="restart"/>
            <w:tcBorders>
              <w:top w:val="nil"/>
              <w:left w:val="single" w:color="auto" w:sz="4" w:space="0"/>
              <w:bottom w:val="single" w:color="000000" w:sz="4" w:space="0"/>
              <w:right w:val="single" w:color="auto" w:sz="4" w:space="0"/>
            </w:tcBorders>
            <w:shd w:val="clear" w:color="auto" w:fill="auto"/>
            <w:noWrap/>
            <w:vAlign w:val="center"/>
          </w:tcPr>
          <w:p w14:paraId="683AB1E1">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1</w:t>
            </w:r>
          </w:p>
        </w:tc>
        <w:tc>
          <w:tcPr>
            <w:tcW w:w="1976" w:type="dxa"/>
            <w:vMerge w:val="restart"/>
            <w:tcBorders>
              <w:top w:val="nil"/>
              <w:left w:val="single" w:color="auto" w:sz="4" w:space="0"/>
              <w:bottom w:val="single" w:color="auto" w:sz="4" w:space="0"/>
              <w:right w:val="single" w:color="auto" w:sz="4" w:space="0"/>
            </w:tcBorders>
            <w:shd w:val="clear" w:color="auto" w:fill="auto"/>
            <w:noWrap/>
            <w:vAlign w:val="center"/>
          </w:tcPr>
          <w:p w14:paraId="1CE1C03C">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云服务器（主机）</w:t>
            </w:r>
          </w:p>
        </w:tc>
        <w:tc>
          <w:tcPr>
            <w:tcW w:w="1714" w:type="dxa"/>
            <w:tcBorders>
              <w:top w:val="nil"/>
              <w:left w:val="nil"/>
              <w:bottom w:val="single" w:color="auto" w:sz="4" w:space="0"/>
              <w:right w:val="single" w:color="auto" w:sz="4" w:space="0"/>
            </w:tcBorders>
            <w:shd w:val="clear" w:color="auto" w:fill="auto"/>
            <w:vAlign w:val="center"/>
          </w:tcPr>
          <w:p w14:paraId="40ABAA8F">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数据库服务器（集群）</w:t>
            </w:r>
          </w:p>
        </w:tc>
        <w:tc>
          <w:tcPr>
            <w:tcW w:w="3316" w:type="dxa"/>
            <w:tcBorders>
              <w:top w:val="nil"/>
              <w:left w:val="nil"/>
              <w:bottom w:val="single" w:color="auto" w:sz="4" w:space="0"/>
              <w:right w:val="single" w:color="auto" w:sz="4" w:space="0"/>
            </w:tcBorders>
            <w:shd w:val="clear" w:color="auto" w:fill="auto"/>
            <w:vAlign w:val="center"/>
          </w:tcPr>
          <w:p w14:paraId="7A814A00">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rPr>
              <w:t>16核32G，带宽10M。</w:t>
            </w:r>
            <w:r>
              <w:rPr>
                <w:rFonts w:hint="eastAsia" w:ascii="宋体" w:hAnsi="宋体" w:eastAsia="宋体" w:cs="宋体"/>
                <w:color w:val="auto"/>
                <w:sz w:val="22"/>
                <w:szCs w:val="22"/>
                <w:lang w:eastAsia="zh-CN"/>
              </w:rPr>
              <w:t>（或更高级别）</w:t>
            </w:r>
          </w:p>
        </w:tc>
        <w:tc>
          <w:tcPr>
            <w:tcW w:w="855" w:type="dxa"/>
            <w:tcBorders>
              <w:top w:val="nil"/>
              <w:left w:val="nil"/>
              <w:bottom w:val="single" w:color="auto" w:sz="4" w:space="0"/>
              <w:right w:val="single" w:color="auto" w:sz="4" w:space="0"/>
            </w:tcBorders>
            <w:shd w:val="clear" w:color="auto" w:fill="auto"/>
            <w:noWrap/>
            <w:vAlign w:val="center"/>
          </w:tcPr>
          <w:p w14:paraId="556B59C9">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7</w:t>
            </w:r>
            <w:r>
              <w:rPr>
                <w:rFonts w:hint="eastAsia" w:ascii="宋体" w:hAnsi="宋体" w:eastAsia="宋体" w:cs="宋体"/>
                <w:color w:val="auto"/>
                <w:sz w:val="22"/>
                <w:szCs w:val="22"/>
              </w:rPr>
              <w:t>台</w:t>
            </w:r>
          </w:p>
        </w:tc>
      </w:tr>
      <w:tr w14:paraId="2B8D14DE">
        <w:tblPrEx>
          <w:tblCellMar>
            <w:top w:w="0" w:type="dxa"/>
            <w:left w:w="108" w:type="dxa"/>
            <w:bottom w:w="0" w:type="dxa"/>
            <w:right w:w="108" w:type="dxa"/>
          </w:tblCellMar>
        </w:tblPrEx>
        <w:trPr>
          <w:trHeight w:val="675" w:hRule="atLeast"/>
        </w:trPr>
        <w:tc>
          <w:tcPr>
            <w:tcW w:w="658" w:type="dxa"/>
            <w:vMerge w:val="continue"/>
            <w:tcBorders>
              <w:top w:val="nil"/>
              <w:left w:val="single" w:color="auto" w:sz="4" w:space="0"/>
              <w:bottom w:val="single" w:color="000000" w:sz="4" w:space="0"/>
              <w:right w:val="single" w:color="auto" w:sz="4" w:space="0"/>
            </w:tcBorders>
            <w:shd w:val="clear" w:color="auto" w:fill="auto"/>
            <w:noWrap/>
            <w:vAlign w:val="center"/>
          </w:tcPr>
          <w:p w14:paraId="57C1EC74">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p>
        </w:tc>
        <w:tc>
          <w:tcPr>
            <w:tcW w:w="1976" w:type="dxa"/>
            <w:vMerge w:val="continue"/>
            <w:tcBorders>
              <w:top w:val="nil"/>
              <w:left w:val="single" w:color="auto" w:sz="4" w:space="0"/>
              <w:bottom w:val="single" w:color="auto" w:sz="4" w:space="0"/>
              <w:right w:val="single" w:color="auto" w:sz="4" w:space="0"/>
            </w:tcBorders>
            <w:shd w:val="clear" w:color="auto" w:fill="auto"/>
            <w:noWrap/>
            <w:vAlign w:val="center"/>
          </w:tcPr>
          <w:p w14:paraId="0C6C23E0">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p>
        </w:tc>
        <w:tc>
          <w:tcPr>
            <w:tcW w:w="1714" w:type="dxa"/>
            <w:tcBorders>
              <w:top w:val="nil"/>
              <w:left w:val="nil"/>
              <w:bottom w:val="single" w:color="auto" w:sz="4" w:space="0"/>
              <w:right w:val="single" w:color="auto" w:sz="4" w:space="0"/>
            </w:tcBorders>
            <w:shd w:val="clear" w:color="auto" w:fill="auto"/>
            <w:vAlign w:val="center"/>
          </w:tcPr>
          <w:p w14:paraId="6F500514">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应用服务器</w:t>
            </w:r>
          </w:p>
        </w:tc>
        <w:tc>
          <w:tcPr>
            <w:tcW w:w="3316" w:type="dxa"/>
            <w:tcBorders>
              <w:top w:val="nil"/>
              <w:left w:val="nil"/>
              <w:bottom w:val="single" w:color="auto" w:sz="4" w:space="0"/>
              <w:right w:val="single" w:color="auto" w:sz="4" w:space="0"/>
            </w:tcBorders>
            <w:shd w:val="clear" w:color="auto" w:fill="auto"/>
            <w:vAlign w:val="center"/>
          </w:tcPr>
          <w:p w14:paraId="205D056A">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8核16G，带宽10M</w:t>
            </w:r>
            <w:r>
              <w:rPr>
                <w:rFonts w:hint="eastAsia" w:ascii="宋体" w:hAnsi="宋体" w:eastAsia="宋体" w:cs="宋体"/>
                <w:color w:val="auto"/>
                <w:sz w:val="22"/>
                <w:szCs w:val="22"/>
                <w:lang w:eastAsia="zh-CN"/>
              </w:rPr>
              <w:t>。（或更高级别）</w:t>
            </w:r>
          </w:p>
        </w:tc>
        <w:tc>
          <w:tcPr>
            <w:tcW w:w="855" w:type="dxa"/>
            <w:tcBorders>
              <w:top w:val="nil"/>
              <w:left w:val="nil"/>
              <w:bottom w:val="single" w:color="auto" w:sz="4" w:space="0"/>
              <w:right w:val="single" w:color="auto" w:sz="4" w:space="0"/>
            </w:tcBorders>
            <w:shd w:val="clear" w:color="auto" w:fill="auto"/>
            <w:noWrap/>
            <w:vAlign w:val="center"/>
          </w:tcPr>
          <w:p w14:paraId="69015EA1">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10台</w:t>
            </w:r>
          </w:p>
        </w:tc>
      </w:tr>
      <w:tr w14:paraId="02610413">
        <w:tblPrEx>
          <w:tblCellMar>
            <w:top w:w="0" w:type="dxa"/>
            <w:left w:w="108" w:type="dxa"/>
            <w:bottom w:w="0" w:type="dxa"/>
            <w:right w:w="108" w:type="dxa"/>
          </w:tblCellMar>
        </w:tblPrEx>
        <w:trPr>
          <w:trHeight w:val="675" w:hRule="atLeast"/>
        </w:trPr>
        <w:tc>
          <w:tcPr>
            <w:tcW w:w="658" w:type="dxa"/>
            <w:vMerge w:val="continue"/>
            <w:tcBorders>
              <w:top w:val="nil"/>
              <w:left w:val="single" w:color="auto" w:sz="4" w:space="0"/>
              <w:bottom w:val="single" w:color="000000" w:sz="4" w:space="0"/>
              <w:right w:val="single" w:color="auto" w:sz="4" w:space="0"/>
            </w:tcBorders>
            <w:shd w:val="clear" w:color="auto" w:fill="auto"/>
            <w:noWrap/>
            <w:vAlign w:val="center"/>
          </w:tcPr>
          <w:p w14:paraId="78C73EA4">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p>
        </w:tc>
        <w:tc>
          <w:tcPr>
            <w:tcW w:w="1976" w:type="dxa"/>
            <w:vMerge w:val="continue"/>
            <w:tcBorders>
              <w:top w:val="nil"/>
              <w:left w:val="single" w:color="auto" w:sz="4" w:space="0"/>
              <w:bottom w:val="single" w:color="auto" w:sz="4" w:space="0"/>
              <w:right w:val="single" w:color="auto" w:sz="4" w:space="0"/>
            </w:tcBorders>
            <w:shd w:val="clear" w:color="auto" w:fill="auto"/>
            <w:noWrap/>
            <w:vAlign w:val="center"/>
          </w:tcPr>
          <w:p w14:paraId="3DB34697">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p>
        </w:tc>
        <w:tc>
          <w:tcPr>
            <w:tcW w:w="1714" w:type="dxa"/>
            <w:tcBorders>
              <w:top w:val="nil"/>
              <w:left w:val="nil"/>
              <w:bottom w:val="single" w:color="auto" w:sz="4" w:space="0"/>
              <w:right w:val="single" w:color="auto" w:sz="4" w:space="0"/>
            </w:tcBorders>
            <w:shd w:val="clear" w:color="auto" w:fill="auto"/>
            <w:vAlign w:val="center"/>
          </w:tcPr>
          <w:p w14:paraId="61C27DB3">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前置接入服务器</w:t>
            </w:r>
          </w:p>
        </w:tc>
        <w:tc>
          <w:tcPr>
            <w:tcW w:w="3316" w:type="dxa"/>
            <w:tcBorders>
              <w:top w:val="nil"/>
              <w:left w:val="nil"/>
              <w:bottom w:val="single" w:color="auto" w:sz="4" w:space="0"/>
              <w:right w:val="single" w:color="auto" w:sz="4" w:space="0"/>
            </w:tcBorders>
            <w:shd w:val="clear" w:color="auto" w:fill="auto"/>
            <w:vAlign w:val="center"/>
          </w:tcPr>
          <w:p w14:paraId="50D5CBD6">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8核16G，带宽10M</w:t>
            </w:r>
            <w:r>
              <w:rPr>
                <w:rFonts w:hint="eastAsia" w:ascii="宋体" w:hAnsi="宋体" w:eastAsia="宋体" w:cs="宋体"/>
                <w:color w:val="auto"/>
                <w:sz w:val="22"/>
                <w:szCs w:val="22"/>
                <w:lang w:eastAsia="zh-CN"/>
              </w:rPr>
              <w:t>。（或更高级别）</w:t>
            </w:r>
          </w:p>
        </w:tc>
        <w:tc>
          <w:tcPr>
            <w:tcW w:w="855" w:type="dxa"/>
            <w:tcBorders>
              <w:top w:val="nil"/>
              <w:left w:val="nil"/>
              <w:bottom w:val="single" w:color="auto" w:sz="4" w:space="0"/>
              <w:right w:val="single" w:color="auto" w:sz="4" w:space="0"/>
            </w:tcBorders>
            <w:shd w:val="clear" w:color="auto" w:fill="auto"/>
            <w:noWrap/>
            <w:vAlign w:val="center"/>
          </w:tcPr>
          <w:p w14:paraId="391E5DAD">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3台</w:t>
            </w:r>
          </w:p>
        </w:tc>
      </w:tr>
      <w:tr w14:paraId="59F369C5">
        <w:tblPrEx>
          <w:tblCellMar>
            <w:top w:w="0" w:type="dxa"/>
            <w:left w:w="108" w:type="dxa"/>
            <w:bottom w:w="0" w:type="dxa"/>
            <w:right w:w="108" w:type="dxa"/>
          </w:tblCellMar>
        </w:tblPrEx>
        <w:trPr>
          <w:trHeight w:val="687" w:hRule="atLeast"/>
        </w:trPr>
        <w:tc>
          <w:tcPr>
            <w:tcW w:w="658" w:type="dxa"/>
            <w:vMerge w:val="continue"/>
            <w:tcBorders>
              <w:top w:val="nil"/>
              <w:left w:val="single" w:color="auto" w:sz="4" w:space="0"/>
              <w:bottom w:val="single" w:color="000000" w:sz="4" w:space="0"/>
              <w:right w:val="single" w:color="auto" w:sz="4" w:space="0"/>
            </w:tcBorders>
            <w:shd w:val="clear" w:color="auto" w:fill="auto"/>
            <w:noWrap/>
            <w:vAlign w:val="center"/>
          </w:tcPr>
          <w:p w14:paraId="17C6B306">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p>
        </w:tc>
        <w:tc>
          <w:tcPr>
            <w:tcW w:w="1976" w:type="dxa"/>
            <w:vMerge w:val="continue"/>
            <w:tcBorders>
              <w:top w:val="nil"/>
              <w:left w:val="single" w:color="auto" w:sz="4" w:space="0"/>
              <w:bottom w:val="single" w:color="auto" w:sz="4" w:space="0"/>
              <w:right w:val="single" w:color="auto" w:sz="4" w:space="0"/>
            </w:tcBorders>
            <w:shd w:val="clear" w:color="auto" w:fill="auto"/>
            <w:noWrap/>
            <w:vAlign w:val="center"/>
          </w:tcPr>
          <w:p w14:paraId="00F80776">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p>
        </w:tc>
        <w:tc>
          <w:tcPr>
            <w:tcW w:w="1714" w:type="dxa"/>
            <w:tcBorders>
              <w:top w:val="nil"/>
              <w:left w:val="nil"/>
              <w:bottom w:val="single" w:color="auto" w:sz="4" w:space="0"/>
              <w:right w:val="single" w:color="auto" w:sz="4" w:space="0"/>
            </w:tcBorders>
            <w:shd w:val="clear" w:color="auto" w:fill="auto"/>
            <w:vAlign w:val="center"/>
          </w:tcPr>
          <w:p w14:paraId="1075D43B">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文档服务器</w:t>
            </w:r>
          </w:p>
        </w:tc>
        <w:tc>
          <w:tcPr>
            <w:tcW w:w="3316" w:type="dxa"/>
            <w:tcBorders>
              <w:top w:val="nil"/>
              <w:left w:val="nil"/>
              <w:bottom w:val="single" w:color="auto" w:sz="4" w:space="0"/>
              <w:right w:val="single" w:color="auto" w:sz="4" w:space="0"/>
            </w:tcBorders>
            <w:shd w:val="clear" w:color="auto" w:fill="auto"/>
            <w:vAlign w:val="center"/>
          </w:tcPr>
          <w:p w14:paraId="08063C2D">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8核16G，带宽10M</w:t>
            </w:r>
            <w:r>
              <w:rPr>
                <w:rFonts w:hint="eastAsia" w:ascii="宋体" w:hAnsi="宋体" w:eastAsia="宋体" w:cs="宋体"/>
                <w:color w:val="auto"/>
                <w:sz w:val="22"/>
                <w:szCs w:val="22"/>
                <w:lang w:eastAsia="zh-CN"/>
              </w:rPr>
              <w:t>。（或更高级别）</w:t>
            </w:r>
          </w:p>
        </w:tc>
        <w:tc>
          <w:tcPr>
            <w:tcW w:w="855" w:type="dxa"/>
            <w:tcBorders>
              <w:top w:val="nil"/>
              <w:left w:val="nil"/>
              <w:bottom w:val="single" w:color="auto" w:sz="4" w:space="0"/>
              <w:right w:val="single" w:color="auto" w:sz="4" w:space="0"/>
            </w:tcBorders>
            <w:shd w:val="clear" w:color="auto" w:fill="auto"/>
            <w:noWrap/>
            <w:vAlign w:val="center"/>
          </w:tcPr>
          <w:p w14:paraId="08BCE1BE">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1台</w:t>
            </w:r>
          </w:p>
        </w:tc>
      </w:tr>
      <w:tr w14:paraId="1B233B53">
        <w:tblPrEx>
          <w:tblCellMar>
            <w:top w:w="0" w:type="dxa"/>
            <w:left w:w="108" w:type="dxa"/>
            <w:bottom w:w="0" w:type="dxa"/>
            <w:right w:w="108" w:type="dxa"/>
          </w:tblCellMar>
        </w:tblPrEx>
        <w:trPr>
          <w:trHeight w:val="675" w:hRule="atLeast"/>
        </w:trPr>
        <w:tc>
          <w:tcPr>
            <w:tcW w:w="658" w:type="dxa"/>
            <w:vMerge w:val="continue"/>
            <w:tcBorders>
              <w:top w:val="nil"/>
              <w:left w:val="single" w:color="auto" w:sz="4" w:space="0"/>
              <w:bottom w:val="single" w:color="000000" w:sz="4" w:space="0"/>
              <w:right w:val="single" w:color="auto" w:sz="4" w:space="0"/>
            </w:tcBorders>
            <w:shd w:val="clear" w:color="auto" w:fill="auto"/>
            <w:noWrap/>
            <w:vAlign w:val="center"/>
          </w:tcPr>
          <w:p w14:paraId="5BEF8099">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p>
        </w:tc>
        <w:tc>
          <w:tcPr>
            <w:tcW w:w="1976" w:type="dxa"/>
            <w:vMerge w:val="continue"/>
            <w:tcBorders>
              <w:top w:val="nil"/>
              <w:left w:val="single" w:color="auto" w:sz="4" w:space="0"/>
              <w:bottom w:val="single" w:color="auto" w:sz="4" w:space="0"/>
              <w:right w:val="single" w:color="auto" w:sz="4" w:space="0"/>
            </w:tcBorders>
            <w:shd w:val="clear" w:color="auto" w:fill="auto"/>
            <w:noWrap/>
            <w:vAlign w:val="center"/>
          </w:tcPr>
          <w:p w14:paraId="5D5CF68D">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p>
        </w:tc>
        <w:tc>
          <w:tcPr>
            <w:tcW w:w="1714" w:type="dxa"/>
            <w:tcBorders>
              <w:top w:val="nil"/>
              <w:left w:val="nil"/>
              <w:bottom w:val="single" w:color="auto" w:sz="4" w:space="0"/>
              <w:right w:val="single" w:color="auto" w:sz="4" w:space="0"/>
            </w:tcBorders>
            <w:shd w:val="clear" w:color="auto" w:fill="auto"/>
            <w:vAlign w:val="center"/>
          </w:tcPr>
          <w:p w14:paraId="0414E3E1">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运维服务器</w:t>
            </w:r>
          </w:p>
        </w:tc>
        <w:tc>
          <w:tcPr>
            <w:tcW w:w="3316" w:type="dxa"/>
            <w:tcBorders>
              <w:top w:val="nil"/>
              <w:left w:val="nil"/>
              <w:bottom w:val="single" w:color="auto" w:sz="4" w:space="0"/>
              <w:right w:val="single" w:color="auto" w:sz="4" w:space="0"/>
            </w:tcBorders>
            <w:shd w:val="clear" w:color="auto" w:fill="auto"/>
            <w:vAlign w:val="center"/>
          </w:tcPr>
          <w:p w14:paraId="028D3C19">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8核16G，带宽10M</w:t>
            </w:r>
            <w:r>
              <w:rPr>
                <w:rFonts w:hint="eastAsia" w:ascii="宋体" w:hAnsi="宋体" w:eastAsia="宋体" w:cs="宋体"/>
                <w:color w:val="auto"/>
                <w:sz w:val="22"/>
                <w:szCs w:val="22"/>
                <w:lang w:eastAsia="zh-CN"/>
              </w:rPr>
              <w:t>。（或更高级别）</w:t>
            </w:r>
          </w:p>
        </w:tc>
        <w:tc>
          <w:tcPr>
            <w:tcW w:w="855" w:type="dxa"/>
            <w:tcBorders>
              <w:top w:val="nil"/>
              <w:left w:val="nil"/>
              <w:bottom w:val="single" w:color="auto" w:sz="4" w:space="0"/>
              <w:right w:val="single" w:color="auto" w:sz="4" w:space="0"/>
            </w:tcBorders>
            <w:shd w:val="clear" w:color="auto" w:fill="auto"/>
            <w:noWrap/>
            <w:vAlign w:val="center"/>
          </w:tcPr>
          <w:p w14:paraId="410318ED">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2</w:t>
            </w:r>
            <w:r>
              <w:rPr>
                <w:rFonts w:hint="eastAsia" w:ascii="宋体" w:hAnsi="宋体" w:eastAsia="宋体" w:cs="宋体"/>
                <w:color w:val="auto"/>
                <w:sz w:val="22"/>
                <w:szCs w:val="22"/>
              </w:rPr>
              <w:t>台</w:t>
            </w:r>
          </w:p>
        </w:tc>
      </w:tr>
      <w:tr w14:paraId="0EBF83DE">
        <w:tblPrEx>
          <w:tblCellMar>
            <w:top w:w="0" w:type="dxa"/>
            <w:left w:w="108" w:type="dxa"/>
            <w:bottom w:w="0" w:type="dxa"/>
            <w:right w:w="108" w:type="dxa"/>
          </w:tblCellMar>
        </w:tblPrEx>
        <w:trPr>
          <w:trHeight w:val="540" w:hRule="atLeast"/>
        </w:trPr>
        <w:tc>
          <w:tcPr>
            <w:tcW w:w="658" w:type="dxa"/>
            <w:vMerge w:val="continue"/>
            <w:tcBorders>
              <w:top w:val="nil"/>
              <w:left w:val="single" w:color="auto" w:sz="4" w:space="0"/>
              <w:bottom w:val="single" w:color="000000" w:sz="4" w:space="0"/>
              <w:right w:val="single" w:color="auto" w:sz="4" w:space="0"/>
            </w:tcBorders>
            <w:shd w:val="clear" w:color="auto" w:fill="auto"/>
            <w:vAlign w:val="center"/>
          </w:tcPr>
          <w:p w14:paraId="69E6F7CB">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p>
        </w:tc>
        <w:tc>
          <w:tcPr>
            <w:tcW w:w="1976" w:type="dxa"/>
            <w:vMerge w:val="continue"/>
            <w:tcBorders>
              <w:top w:val="nil"/>
              <w:left w:val="single" w:color="auto" w:sz="4" w:space="0"/>
              <w:bottom w:val="single" w:color="auto" w:sz="4" w:space="0"/>
              <w:right w:val="single" w:color="auto" w:sz="4" w:space="0"/>
            </w:tcBorders>
            <w:shd w:val="clear" w:color="auto" w:fill="auto"/>
            <w:vAlign w:val="center"/>
          </w:tcPr>
          <w:p w14:paraId="0CA228EF">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p>
        </w:tc>
        <w:tc>
          <w:tcPr>
            <w:tcW w:w="1714" w:type="dxa"/>
            <w:tcBorders>
              <w:top w:val="nil"/>
              <w:left w:val="nil"/>
              <w:bottom w:val="single" w:color="auto" w:sz="4" w:space="0"/>
              <w:right w:val="single" w:color="auto" w:sz="4" w:space="0"/>
            </w:tcBorders>
            <w:shd w:val="clear" w:color="auto" w:fill="auto"/>
            <w:vAlign w:val="center"/>
          </w:tcPr>
          <w:p w14:paraId="1F24E740">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测试服务器</w:t>
            </w:r>
          </w:p>
        </w:tc>
        <w:tc>
          <w:tcPr>
            <w:tcW w:w="3316" w:type="dxa"/>
            <w:tcBorders>
              <w:top w:val="nil"/>
              <w:left w:val="nil"/>
              <w:bottom w:val="single" w:color="auto" w:sz="4" w:space="0"/>
              <w:right w:val="single" w:color="auto" w:sz="4" w:space="0"/>
            </w:tcBorders>
            <w:shd w:val="clear" w:color="auto" w:fill="auto"/>
            <w:vAlign w:val="center"/>
          </w:tcPr>
          <w:p w14:paraId="1950CB2A">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8核16G，带宽10M</w:t>
            </w:r>
            <w:r>
              <w:rPr>
                <w:rFonts w:hint="eastAsia" w:ascii="宋体" w:hAnsi="宋体" w:eastAsia="宋体" w:cs="宋体"/>
                <w:color w:val="auto"/>
                <w:sz w:val="22"/>
                <w:szCs w:val="22"/>
                <w:lang w:eastAsia="zh-CN"/>
              </w:rPr>
              <w:t>。（或更高级别）</w:t>
            </w:r>
          </w:p>
        </w:tc>
        <w:tc>
          <w:tcPr>
            <w:tcW w:w="855" w:type="dxa"/>
            <w:tcBorders>
              <w:top w:val="nil"/>
              <w:left w:val="nil"/>
              <w:bottom w:val="single" w:color="auto" w:sz="4" w:space="0"/>
              <w:right w:val="single" w:color="auto" w:sz="4" w:space="0"/>
            </w:tcBorders>
            <w:shd w:val="clear" w:color="auto" w:fill="auto"/>
            <w:noWrap/>
            <w:vAlign w:val="center"/>
          </w:tcPr>
          <w:p w14:paraId="546206B6">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2</w:t>
            </w:r>
            <w:r>
              <w:rPr>
                <w:rFonts w:hint="eastAsia" w:ascii="宋体" w:hAnsi="宋体" w:eastAsia="宋体" w:cs="宋体"/>
                <w:color w:val="auto"/>
                <w:sz w:val="22"/>
                <w:szCs w:val="22"/>
              </w:rPr>
              <w:t>台</w:t>
            </w:r>
          </w:p>
        </w:tc>
      </w:tr>
      <w:tr w14:paraId="427C37DE">
        <w:tblPrEx>
          <w:tblCellMar>
            <w:top w:w="0" w:type="dxa"/>
            <w:left w:w="108" w:type="dxa"/>
            <w:bottom w:w="0" w:type="dxa"/>
            <w:right w:w="108" w:type="dxa"/>
          </w:tblCellMar>
        </w:tblPrEx>
        <w:trPr>
          <w:trHeight w:val="1019" w:hRule="atLeast"/>
        </w:trPr>
        <w:tc>
          <w:tcPr>
            <w:tcW w:w="658" w:type="dxa"/>
            <w:tcBorders>
              <w:top w:val="nil"/>
              <w:left w:val="single" w:color="auto" w:sz="4" w:space="0"/>
              <w:bottom w:val="single" w:color="auto" w:sz="4" w:space="0"/>
              <w:right w:val="single" w:color="auto" w:sz="4" w:space="0"/>
            </w:tcBorders>
            <w:shd w:val="clear" w:color="auto" w:fill="auto"/>
            <w:noWrap/>
            <w:vAlign w:val="center"/>
          </w:tcPr>
          <w:p w14:paraId="7EEC51C9">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2</w:t>
            </w:r>
          </w:p>
        </w:tc>
        <w:tc>
          <w:tcPr>
            <w:tcW w:w="1976" w:type="dxa"/>
            <w:tcBorders>
              <w:top w:val="nil"/>
              <w:left w:val="nil"/>
              <w:bottom w:val="single" w:color="auto" w:sz="4" w:space="0"/>
              <w:right w:val="single" w:color="auto" w:sz="4" w:space="0"/>
            </w:tcBorders>
            <w:shd w:val="clear" w:color="auto" w:fill="auto"/>
            <w:noWrap/>
            <w:vAlign w:val="center"/>
          </w:tcPr>
          <w:p w14:paraId="07534FBF">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云存储</w:t>
            </w:r>
          </w:p>
        </w:tc>
        <w:tc>
          <w:tcPr>
            <w:tcW w:w="1714" w:type="dxa"/>
            <w:tcBorders>
              <w:top w:val="nil"/>
              <w:left w:val="nil"/>
              <w:bottom w:val="single" w:color="auto" w:sz="4" w:space="0"/>
              <w:right w:val="single" w:color="auto" w:sz="4" w:space="0"/>
            </w:tcBorders>
            <w:shd w:val="clear" w:color="auto" w:fill="auto"/>
            <w:vAlign w:val="center"/>
          </w:tcPr>
          <w:p w14:paraId="3E97DF31">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标准存储</w:t>
            </w:r>
          </w:p>
        </w:tc>
        <w:tc>
          <w:tcPr>
            <w:tcW w:w="3316" w:type="dxa"/>
            <w:tcBorders>
              <w:top w:val="nil"/>
              <w:left w:val="nil"/>
              <w:bottom w:val="single" w:color="auto" w:sz="4" w:space="0"/>
              <w:right w:val="single" w:color="auto" w:sz="4" w:space="0"/>
            </w:tcBorders>
            <w:shd w:val="clear" w:color="auto" w:fill="auto"/>
            <w:vAlign w:val="center"/>
          </w:tcPr>
          <w:p w14:paraId="7E16279C">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2T*3的安全稳定、海量、便捷、低延迟、低成本云端存储服务</w:t>
            </w:r>
          </w:p>
        </w:tc>
        <w:tc>
          <w:tcPr>
            <w:tcW w:w="855" w:type="dxa"/>
            <w:tcBorders>
              <w:top w:val="nil"/>
              <w:left w:val="nil"/>
              <w:bottom w:val="single" w:color="auto" w:sz="4" w:space="0"/>
              <w:right w:val="single" w:color="auto" w:sz="4" w:space="0"/>
            </w:tcBorders>
            <w:shd w:val="clear" w:color="auto" w:fill="auto"/>
            <w:noWrap/>
            <w:vAlign w:val="center"/>
          </w:tcPr>
          <w:p w14:paraId="18994EEA">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2台</w:t>
            </w:r>
          </w:p>
        </w:tc>
      </w:tr>
      <w:tr w14:paraId="0DF9334E">
        <w:tblPrEx>
          <w:tblCellMar>
            <w:top w:w="0" w:type="dxa"/>
            <w:left w:w="108" w:type="dxa"/>
            <w:bottom w:w="0" w:type="dxa"/>
            <w:right w:w="108" w:type="dxa"/>
          </w:tblCellMar>
        </w:tblPrEx>
        <w:trPr>
          <w:trHeight w:val="648" w:hRule="atLeast"/>
        </w:trPr>
        <w:tc>
          <w:tcPr>
            <w:tcW w:w="658" w:type="dxa"/>
            <w:vMerge w:val="restart"/>
            <w:tcBorders>
              <w:top w:val="nil"/>
              <w:left w:val="single" w:color="auto" w:sz="4" w:space="0"/>
              <w:bottom w:val="single" w:color="000000" w:sz="4" w:space="0"/>
              <w:right w:val="single" w:color="auto" w:sz="4" w:space="0"/>
            </w:tcBorders>
            <w:shd w:val="clear" w:color="auto" w:fill="auto"/>
            <w:noWrap/>
            <w:vAlign w:val="center"/>
          </w:tcPr>
          <w:p w14:paraId="5A611F2F">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3</w:t>
            </w:r>
          </w:p>
        </w:tc>
        <w:tc>
          <w:tcPr>
            <w:tcW w:w="1976" w:type="dxa"/>
            <w:vMerge w:val="restart"/>
            <w:tcBorders>
              <w:top w:val="nil"/>
              <w:left w:val="single" w:color="auto" w:sz="4" w:space="0"/>
              <w:bottom w:val="single" w:color="auto" w:sz="4" w:space="0"/>
              <w:right w:val="single" w:color="auto" w:sz="4" w:space="0"/>
            </w:tcBorders>
            <w:shd w:val="clear" w:color="auto" w:fill="auto"/>
            <w:noWrap/>
            <w:vAlign w:val="center"/>
          </w:tcPr>
          <w:p w14:paraId="558EF04F">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云安全</w:t>
            </w:r>
          </w:p>
        </w:tc>
        <w:tc>
          <w:tcPr>
            <w:tcW w:w="1714" w:type="dxa"/>
            <w:tcBorders>
              <w:top w:val="nil"/>
              <w:left w:val="nil"/>
              <w:bottom w:val="single" w:color="auto" w:sz="4" w:space="0"/>
              <w:right w:val="single" w:color="auto" w:sz="4" w:space="0"/>
            </w:tcBorders>
            <w:shd w:val="clear" w:color="auto" w:fill="auto"/>
            <w:vAlign w:val="center"/>
          </w:tcPr>
          <w:p w14:paraId="2F6E8B89">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主机安全</w:t>
            </w:r>
          </w:p>
        </w:tc>
        <w:tc>
          <w:tcPr>
            <w:tcW w:w="3316" w:type="dxa"/>
            <w:tcBorders>
              <w:top w:val="nil"/>
              <w:left w:val="nil"/>
              <w:bottom w:val="single" w:color="auto" w:sz="4" w:space="0"/>
              <w:right w:val="single" w:color="auto" w:sz="4" w:space="0"/>
            </w:tcBorders>
            <w:shd w:val="clear" w:color="auto" w:fill="auto"/>
            <w:vAlign w:val="center"/>
          </w:tcPr>
          <w:p w14:paraId="5D6B42C1">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提供资产管理、木马文件查杀、黑客入侵检测、漏洞风险预警及安全基线等安全防护服务。</w:t>
            </w:r>
          </w:p>
        </w:tc>
        <w:tc>
          <w:tcPr>
            <w:tcW w:w="855" w:type="dxa"/>
            <w:tcBorders>
              <w:top w:val="nil"/>
              <w:left w:val="nil"/>
              <w:bottom w:val="single" w:color="auto" w:sz="4" w:space="0"/>
              <w:right w:val="single" w:color="auto" w:sz="4" w:space="0"/>
            </w:tcBorders>
            <w:shd w:val="clear" w:color="auto" w:fill="auto"/>
            <w:noWrap/>
            <w:vAlign w:val="center"/>
          </w:tcPr>
          <w:p w14:paraId="6CDDC401">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2</w:t>
            </w:r>
            <w:r>
              <w:rPr>
                <w:rFonts w:hint="eastAsia" w:ascii="宋体" w:hAnsi="宋体" w:eastAsia="宋体" w:cs="宋体"/>
                <w:color w:val="auto"/>
                <w:sz w:val="22"/>
                <w:szCs w:val="22"/>
                <w:lang w:val="en-US" w:eastAsia="zh-CN"/>
              </w:rPr>
              <w:t>5</w:t>
            </w:r>
            <w:r>
              <w:rPr>
                <w:rFonts w:hint="eastAsia" w:ascii="宋体" w:hAnsi="宋体" w:eastAsia="宋体" w:cs="宋体"/>
                <w:color w:val="auto"/>
                <w:sz w:val="22"/>
                <w:szCs w:val="22"/>
              </w:rPr>
              <w:t>台</w:t>
            </w:r>
          </w:p>
        </w:tc>
      </w:tr>
      <w:tr w14:paraId="1FE234E2">
        <w:tblPrEx>
          <w:tblCellMar>
            <w:top w:w="0" w:type="dxa"/>
            <w:left w:w="108" w:type="dxa"/>
            <w:bottom w:w="0" w:type="dxa"/>
            <w:right w:w="108" w:type="dxa"/>
          </w:tblCellMar>
        </w:tblPrEx>
        <w:trPr>
          <w:trHeight w:val="648" w:hRule="atLeast"/>
        </w:trPr>
        <w:tc>
          <w:tcPr>
            <w:tcW w:w="658" w:type="dxa"/>
            <w:vMerge w:val="continue"/>
            <w:tcBorders>
              <w:top w:val="nil"/>
              <w:left w:val="single" w:color="auto" w:sz="4" w:space="0"/>
              <w:bottom w:val="single" w:color="000000" w:sz="4" w:space="0"/>
              <w:right w:val="single" w:color="auto" w:sz="4" w:space="0"/>
            </w:tcBorders>
            <w:shd w:val="clear" w:color="auto" w:fill="auto"/>
            <w:vAlign w:val="center"/>
          </w:tcPr>
          <w:p w14:paraId="538C8506">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p>
        </w:tc>
        <w:tc>
          <w:tcPr>
            <w:tcW w:w="1976" w:type="dxa"/>
            <w:vMerge w:val="continue"/>
            <w:tcBorders>
              <w:top w:val="nil"/>
              <w:left w:val="single" w:color="auto" w:sz="4" w:space="0"/>
              <w:bottom w:val="single" w:color="auto" w:sz="4" w:space="0"/>
              <w:right w:val="single" w:color="auto" w:sz="4" w:space="0"/>
            </w:tcBorders>
            <w:shd w:val="clear" w:color="auto" w:fill="auto"/>
            <w:vAlign w:val="center"/>
          </w:tcPr>
          <w:p w14:paraId="27F792E3">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p>
        </w:tc>
        <w:tc>
          <w:tcPr>
            <w:tcW w:w="1714" w:type="dxa"/>
            <w:tcBorders>
              <w:top w:val="nil"/>
              <w:left w:val="nil"/>
              <w:bottom w:val="single" w:color="auto" w:sz="4" w:space="0"/>
              <w:right w:val="single" w:color="auto" w:sz="4" w:space="0"/>
            </w:tcBorders>
            <w:shd w:val="clear" w:color="auto" w:fill="auto"/>
            <w:vAlign w:val="center"/>
          </w:tcPr>
          <w:p w14:paraId="01216B30">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Web防火墙</w:t>
            </w:r>
          </w:p>
        </w:tc>
        <w:tc>
          <w:tcPr>
            <w:tcW w:w="3316" w:type="dxa"/>
            <w:tcBorders>
              <w:top w:val="nil"/>
              <w:left w:val="nil"/>
              <w:bottom w:val="single" w:color="auto" w:sz="4" w:space="0"/>
              <w:right w:val="single" w:color="auto" w:sz="4" w:space="0"/>
            </w:tcBorders>
            <w:shd w:val="clear" w:color="auto" w:fill="auto"/>
            <w:vAlign w:val="center"/>
          </w:tcPr>
          <w:p w14:paraId="77DD3C88">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提供一站式 Web 业务运营风险防护方案，支持多种接入方式。SaaS型，企业版。</w:t>
            </w:r>
          </w:p>
        </w:tc>
        <w:tc>
          <w:tcPr>
            <w:tcW w:w="855" w:type="dxa"/>
            <w:tcBorders>
              <w:top w:val="nil"/>
              <w:left w:val="nil"/>
              <w:bottom w:val="single" w:color="auto" w:sz="4" w:space="0"/>
              <w:right w:val="single" w:color="auto" w:sz="4" w:space="0"/>
            </w:tcBorders>
            <w:shd w:val="clear" w:color="auto" w:fill="auto"/>
            <w:noWrap/>
            <w:vAlign w:val="center"/>
          </w:tcPr>
          <w:p w14:paraId="02329AF5">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1台</w:t>
            </w:r>
          </w:p>
        </w:tc>
      </w:tr>
      <w:tr w14:paraId="4AC18F00">
        <w:tblPrEx>
          <w:tblCellMar>
            <w:top w:w="0" w:type="dxa"/>
            <w:left w:w="108" w:type="dxa"/>
            <w:bottom w:w="0" w:type="dxa"/>
            <w:right w:w="108" w:type="dxa"/>
          </w:tblCellMar>
        </w:tblPrEx>
        <w:trPr>
          <w:trHeight w:val="432" w:hRule="atLeast"/>
        </w:trPr>
        <w:tc>
          <w:tcPr>
            <w:tcW w:w="658" w:type="dxa"/>
            <w:vMerge w:val="continue"/>
            <w:tcBorders>
              <w:top w:val="nil"/>
              <w:left w:val="single" w:color="auto" w:sz="4" w:space="0"/>
              <w:bottom w:val="single" w:color="000000" w:sz="4" w:space="0"/>
              <w:right w:val="single" w:color="auto" w:sz="4" w:space="0"/>
            </w:tcBorders>
            <w:shd w:val="clear" w:color="auto" w:fill="auto"/>
            <w:vAlign w:val="center"/>
          </w:tcPr>
          <w:p w14:paraId="6E3E2542">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p>
        </w:tc>
        <w:tc>
          <w:tcPr>
            <w:tcW w:w="1976" w:type="dxa"/>
            <w:vMerge w:val="continue"/>
            <w:tcBorders>
              <w:top w:val="nil"/>
              <w:left w:val="single" w:color="auto" w:sz="4" w:space="0"/>
              <w:bottom w:val="single" w:color="auto" w:sz="4" w:space="0"/>
              <w:right w:val="single" w:color="auto" w:sz="4" w:space="0"/>
            </w:tcBorders>
            <w:shd w:val="clear" w:color="auto" w:fill="auto"/>
            <w:vAlign w:val="center"/>
          </w:tcPr>
          <w:p w14:paraId="0EB99EBF">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p>
        </w:tc>
        <w:tc>
          <w:tcPr>
            <w:tcW w:w="1714" w:type="dxa"/>
            <w:tcBorders>
              <w:top w:val="nil"/>
              <w:left w:val="nil"/>
              <w:bottom w:val="single" w:color="auto" w:sz="4" w:space="0"/>
              <w:right w:val="single" w:color="auto" w:sz="4" w:space="0"/>
            </w:tcBorders>
            <w:shd w:val="clear" w:color="auto" w:fill="auto"/>
            <w:vAlign w:val="center"/>
          </w:tcPr>
          <w:p w14:paraId="02A34D15">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SSL证书</w:t>
            </w:r>
          </w:p>
        </w:tc>
        <w:tc>
          <w:tcPr>
            <w:tcW w:w="3316" w:type="dxa"/>
            <w:tcBorders>
              <w:top w:val="nil"/>
              <w:left w:val="nil"/>
              <w:bottom w:val="single" w:color="auto" w:sz="4" w:space="0"/>
              <w:right w:val="single" w:color="auto" w:sz="4" w:space="0"/>
            </w:tcBorders>
            <w:shd w:val="clear" w:color="auto" w:fill="auto"/>
            <w:vAlign w:val="center"/>
          </w:tcPr>
          <w:p w14:paraId="7A7BB6BF">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提供证书的一站式服务，包括证书的申请、管理及部署功能,增强型EV。</w:t>
            </w:r>
          </w:p>
        </w:tc>
        <w:tc>
          <w:tcPr>
            <w:tcW w:w="855" w:type="dxa"/>
            <w:tcBorders>
              <w:top w:val="nil"/>
              <w:left w:val="nil"/>
              <w:bottom w:val="single" w:color="auto" w:sz="4" w:space="0"/>
              <w:right w:val="single" w:color="auto" w:sz="4" w:space="0"/>
            </w:tcBorders>
            <w:shd w:val="clear" w:color="auto" w:fill="auto"/>
            <w:noWrap/>
            <w:vAlign w:val="center"/>
          </w:tcPr>
          <w:p w14:paraId="3F6B7689">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1套</w:t>
            </w:r>
          </w:p>
        </w:tc>
      </w:tr>
    </w:tbl>
    <w:p w14:paraId="104FDF69">
      <w:pPr>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宋体" w:hAnsi="宋体" w:eastAsia="宋体" w:cs="宋体"/>
          <w:color w:val="auto"/>
          <w:sz w:val="22"/>
          <w:szCs w:val="22"/>
        </w:rPr>
      </w:pPr>
    </w:p>
    <w:p w14:paraId="749C3370">
      <w:pPr>
        <w:pStyle w:val="6"/>
        <w:pageBreakBefore w:val="0"/>
        <w:widowControl/>
        <w:kinsoku/>
        <w:wordWrap/>
        <w:overflowPunct/>
        <w:topLinePunct w:val="0"/>
        <w:autoSpaceDE/>
        <w:autoSpaceDN/>
        <w:bidi w:val="0"/>
        <w:adjustRightInd/>
        <w:snapToGrid/>
        <w:spacing w:line="360" w:lineRule="auto"/>
        <w:ind w:firstLine="442" w:firstLineChars="200"/>
        <w:jc w:val="both"/>
        <w:textAlignment w:val="auto"/>
        <w:rPr>
          <w:rFonts w:hint="eastAsia" w:ascii="宋体" w:hAnsi="宋体" w:eastAsia="宋体" w:cs="宋体"/>
          <w:color w:val="auto"/>
          <w:sz w:val="22"/>
          <w:szCs w:val="22"/>
        </w:rPr>
      </w:pPr>
      <w:r>
        <w:rPr>
          <w:rFonts w:hint="eastAsia" w:ascii="宋体" w:hAnsi="宋体" w:eastAsia="宋体" w:cs="宋体"/>
          <w:b/>
          <w:bCs/>
          <w:color w:val="auto"/>
          <w:sz w:val="22"/>
          <w:szCs w:val="22"/>
        </w:rPr>
        <w:t>第五节 第三方软件要求</w:t>
      </w:r>
    </w:p>
    <w:p w14:paraId="324372B2">
      <w:pPr>
        <w:pageBreakBefore w:val="0"/>
        <w:widowControl/>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color w:val="auto"/>
          <w:sz w:val="22"/>
          <w:szCs w:val="22"/>
        </w:rPr>
      </w:pPr>
      <w:bookmarkStart w:id="49" w:name="OLE_LINK1"/>
      <w:r>
        <w:rPr>
          <w:rFonts w:hint="eastAsia" w:ascii="宋体" w:hAnsi="宋体" w:eastAsia="宋体" w:cs="宋体"/>
          <w:color w:val="auto"/>
          <w:sz w:val="22"/>
          <w:szCs w:val="22"/>
        </w:rPr>
        <w:t>投标人使用的第三方软件必须是具有在中国境内的合法使用权或版权的正版软件，涉及到第三方提出侵权或知识产权的起诉及支付版税等费用由投标人承担所有责任及费用</w:t>
      </w:r>
      <w:bookmarkEnd w:id="49"/>
      <w:r>
        <w:rPr>
          <w:rFonts w:hint="eastAsia" w:ascii="宋体" w:hAnsi="宋体" w:eastAsia="宋体" w:cs="宋体"/>
          <w:color w:val="auto"/>
          <w:sz w:val="22"/>
          <w:szCs w:val="22"/>
        </w:rPr>
        <w:t>。</w:t>
      </w:r>
    </w:p>
    <w:p w14:paraId="294FF1F6">
      <w:pPr>
        <w:pStyle w:val="5"/>
        <w:pageBreakBefore w:val="0"/>
        <w:kinsoku/>
        <w:wordWrap/>
        <w:overflowPunct/>
        <w:topLinePunct w:val="0"/>
        <w:autoSpaceDE/>
        <w:autoSpaceDN/>
        <w:bidi w:val="0"/>
        <w:spacing w:before="0" w:after="0" w:line="360" w:lineRule="auto"/>
        <w:ind w:left="0" w:leftChars="0" w:firstLine="442" w:firstLineChars="200"/>
        <w:rPr>
          <w:rFonts w:hint="eastAsia" w:ascii="宋体" w:hAnsi="宋体" w:eastAsia="宋体" w:cs="宋体"/>
          <w:color w:val="auto"/>
          <w:sz w:val="22"/>
          <w:szCs w:val="22"/>
        </w:rPr>
      </w:pPr>
      <w:r>
        <w:rPr>
          <w:rFonts w:hint="eastAsia" w:ascii="宋体" w:hAnsi="宋体" w:eastAsia="宋体" w:cs="宋体"/>
          <w:color w:val="auto"/>
          <w:sz w:val="22"/>
          <w:szCs w:val="22"/>
          <w:lang w:eastAsia="zh-CN"/>
        </w:rPr>
        <w:t>（五）</w:t>
      </w:r>
      <w:r>
        <w:rPr>
          <w:rFonts w:hint="eastAsia" w:ascii="宋体" w:hAnsi="宋体" w:eastAsia="宋体" w:cs="宋体"/>
          <w:color w:val="auto"/>
          <w:sz w:val="22"/>
          <w:szCs w:val="22"/>
        </w:rPr>
        <w:t>项目运营要求</w:t>
      </w:r>
    </w:p>
    <w:p w14:paraId="1C4FEBAD">
      <w:pPr>
        <w:pageBreakBefore w:val="0"/>
        <w:widowControl/>
        <w:kinsoku/>
        <w:wordWrap/>
        <w:overflowPunct/>
        <w:topLinePunct w:val="0"/>
        <w:autoSpaceDE/>
        <w:autoSpaceDN/>
        <w:bidi w:val="0"/>
        <w:adjustRightInd/>
        <w:snapToGrid/>
        <w:spacing w:line="360" w:lineRule="auto"/>
        <w:ind w:left="0" w:leftChars="0" w:firstLine="442" w:firstLineChars="200"/>
        <w:jc w:val="both"/>
        <w:textAlignment w:val="auto"/>
        <w:rPr>
          <w:rFonts w:hint="eastAsia" w:ascii="宋体" w:hAnsi="宋体" w:eastAsia="宋体" w:cs="宋体"/>
          <w:color w:val="auto"/>
          <w:sz w:val="22"/>
          <w:szCs w:val="22"/>
        </w:rPr>
      </w:pPr>
      <w:r>
        <w:rPr>
          <w:rFonts w:hint="eastAsia" w:ascii="宋体" w:hAnsi="宋体" w:eastAsia="宋体" w:cs="宋体"/>
          <w:b/>
          <w:bCs/>
          <w:color w:val="auto"/>
          <w:sz w:val="22"/>
          <w:szCs w:val="22"/>
        </w:rPr>
        <w:t>第一节 办公场地要求</w:t>
      </w:r>
    </w:p>
    <w:p w14:paraId="2C510A6A">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供应商在中标后10日内，须在甲方城市安排相应的服务场所。按</w:t>
      </w:r>
      <w:r>
        <w:rPr>
          <w:rFonts w:hint="eastAsia" w:ascii="宋体" w:hAnsi="宋体" w:eastAsia="宋体" w:cs="宋体"/>
          <w:color w:val="auto"/>
          <w:sz w:val="22"/>
          <w:szCs w:val="22"/>
          <w:lang w:eastAsia="zh-CN"/>
        </w:rPr>
        <w:t>不少于</w:t>
      </w:r>
      <w:r>
        <w:rPr>
          <w:rFonts w:hint="eastAsia" w:ascii="宋体" w:hAnsi="宋体" w:eastAsia="宋体" w:cs="宋体"/>
          <w:color w:val="auto"/>
          <w:sz w:val="22"/>
          <w:szCs w:val="22"/>
          <w:lang w:val="en-US" w:eastAsia="zh-CN"/>
        </w:rPr>
        <w:t>20</w:t>
      </w:r>
      <w:r>
        <w:rPr>
          <w:rFonts w:hint="eastAsia" w:ascii="宋体" w:hAnsi="宋体" w:eastAsia="宋体" w:cs="宋体"/>
          <w:color w:val="auto"/>
          <w:sz w:val="22"/>
          <w:szCs w:val="22"/>
        </w:rPr>
        <w:t>人规模</w:t>
      </w:r>
      <w:r>
        <w:rPr>
          <w:rFonts w:hint="eastAsia" w:ascii="宋体" w:hAnsi="宋体" w:eastAsia="宋体" w:cs="宋体"/>
          <w:color w:val="auto"/>
          <w:sz w:val="22"/>
          <w:szCs w:val="22"/>
          <w:lang w:eastAsia="zh-CN"/>
        </w:rPr>
        <w:t>提供日常办公场地</w:t>
      </w:r>
      <w:r>
        <w:rPr>
          <w:rFonts w:hint="eastAsia" w:ascii="宋体" w:hAnsi="宋体" w:eastAsia="宋体" w:cs="宋体"/>
          <w:color w:val="auto"/>
          <w:sz w:val="22"/>
          <w:szCs w:val="22"/>
          <w:highlight w:val="none"/>
        </w:rPr>
        <w:t>并</w:t>
      </w:r>
      <w:r>
        <w:rPr>
          <w:rFonts w:hint="eastAsia" w:ascii="宋体" w:hAnsi="宋体" w:eastAsia="宋体" w:cs="宋体"/>
          <w:color w:val="auto"/>
          <w:sz w:val="22"/>
          <w:szCs w:val="22"/>
        </w:rPr>
        <w:t>完成装修及办公家具配置</w:t>
      </w: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rPr>
        <w:t>1个交易服务大厅，用于业务咨询、业务办理、业务申投诉、业务公示等</w:t>
      </w:r>
      <w:r>
        <w:rPr>
          <w:rFonts w:hint="eastAsia" w:ascii="宋体" w:hAnsi="宋体" w:eastAsia="宋体" w:cs="宋体"/>
          <w:color w:val="auto"/>
          <w:sz w:val="22"/>
          <w:szCs w:val="22"/>
          <w:lang w:eastAsia="zh-CN"/>
        </w:rPr>
        <w:t>；能提供</w:t>
      </w:r>
      <w:r>
        <w:rPr>
          <w:rFonts w:hint="eastAsia" w:ascii="宋体" w:hAnsi="宋体" w:eastAsia="宋体" w:cs="宋体"/>
          <w:color w:val="auto"/>
          <w:sz w:val="22"/>
          <w:szCs w:val="22"/>
        </w:rPr>
        <w:t>3个多功能室,用于交易及服务场地，</w:t>
      </w:r>
      <w:r>
        <w:rPr>
          <w:rFonts w:hint="eastAsia" w:ascii="宋体" w:hAnsi="宋体" w:eastAsia="宋体" w:cs="宋体"/>
          <w:color w:val="auto"/>
          <w:sz w:val="22"/>
          <w:szCs w:val="22"/>
          <w:lang w:eastAsia="zh-CN"/>
        </w:rPr>
        <w:t>包括</w:t>
      </w:r>
      <w:r>
        <w:rPr>
          <w:rFonts w:hint="eastAsia" w:ascii="宋体" w:hAnsi="宋体" w:eastAsia="宋体" w:cs="宋体"/>
          <w:color w:val="auto"/>
          <w:sz w:val="22"/>
          <w:szCs w:val="22"/>
        </w:rPr>
        <w:t>专家论证、专家评审、小型开标、议价谈判、接待企业来访、申投诉处理、举办会议等</w:t>
      </w:r>
      <w:r>
        <w:rPr>
          <w:rFonts w:hint="eastAsia" w:ascii="宋体" w:hAnsi="宋体" w:eastAsia="宋体" w:cs="宋体"/>
          <w:color w:val="auto"/>
          <w:sz w:val="22"/>
          <w:szCs w:val="22"/>
          <w:lang w:eastAsia="zh-CN"/>
        </w:rPr>
        <w:t>。</w:t>
      </w:r>
    </w:p>
    <w:p w14:paraId="03BC6044">
      <w:pPr>
        <w:pStyle w:val="6"/>
        <w:pageBreakBefore w:val="0"/>
        <w:widowControl/>
        <w:kinsoku/>
        <w:wordWrap/>
        <w:overflowPunct/>
        <w:topLinePunct w:val="0"/>
        <w:autoSpaceDE/>
        <w:autoSpaceDN/>
        <w:bidi w:val="0"/>
        <w:adjustRightInd/>
        <w:snapToGrid/>
        <w:spacing w:before="0" w:after="0" w:line="360" w:lineRule="auto"/>
        <w:ind w:left="0" w:leftChars="0" w:firstLine="442" w:firstLineChars="200"/>
        <w:jc w:val="both"/>
        <w:textAlignment w:val="auto"/>
        <w:rPr>
          <w:rFonts w:hint="eastAsia" w:ascii="宋体" w:hAnsi="宋体" w:eastAsia="宋体" w:cs="宋体"/>
          <w:b/>
          <w:bCs/>
          <w:color w:val="auto"/>
          <w:sz w:val="22"/>
          <w:szCs w:val="22"/>
        </w:rPr>
      </w:pPr>
      <w:r>
        <w:rPr>
          <w:rFonts w:hint="eastAsia" w:ascii="宋体" w:hAnsi="宋体" w:eastAsia="宋体" w:cs="宋体"/>
          <w:b/>
          <w:bCs/>
          <w:color w:val="auto"/>
          <w:sz w:val="22"/>
          <w:szCs w:val="22"/>
        </w:rPr>
        <w:t>第二节 成立专门项目组</w:t>
      </w:r>
    </w:p>
    <w:p w14:paraId="3CBB2209">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投标人成立专项工作组，项目组工作</w:t>
      </w:r>
      <w:r>
        <w:rPr>
          <w:rFonts w:hint="eastAsia" w:ascii="宋体" w:hAnsi="宋体" w:eastAsia="宋体" w:cs="宋体"/>
          <w:color w:val="auto"/>
          <w:sz w:val="22"/>
          <w:szCs w:val="22"/>
          <w:highlight w:val="none"/>
        </w:rPr>
        <w:t>人员需在甲方城市工作</w:t>
      </w:r>
      <w:r>
        <w:rPr>
          <w:rFonts w:hint="eastAsia" w:ascii="宋体" w:hAnsi="宋体" w:eastAsia="宋体" w:cs="宋体"/>
          <w:color w:val="auto"/>
          <w:sz w:val="22"/>
          <w:szCs w:val="22"/>
        </w:rPr>
        <w:t>，建立工作机制。明确项目负责人，承担深圳药品</w:t>
      </w:r>
      <w:r>
        <w:rPr>
          <w:rFonts w:hint="eastAsia" w:ascii="宋体" w:hAnsi="宋体" w:eastAsia="宋体" w:cs="宋体"/>
          <w:color w:val="auto"/>
          <w:sz w:val="22"/>
          <w:szCs w:val="22"/>
          <w:highlight w:val="none"/>
          <w:lang w:eastAsia="zh-CN"/>
        </w:rPr>
        <w:t>采购</w:t>
      </w:r>
      <w:r>
        <w:rPr>
          <w:rFonts w:hint="eastAsia" w:ascii="宋体" w:hAnsi="宋体" w:eastAsia="宋体" w:cs="宋体"/>
          <w:color w:val="auto"/>
          <w:sz w:val="22"/>
          <w:szCs w:val="22"/>
        </w:rPr>
        <w:t>平台的开发运维、药品分类采购项目组织实施工作和药品采购、交易、配送</w:t>
      </w:r>
      <w:r>
        <w:rPr>
          <w:rFonts w:hint="eastAsia" w:ascii="宋体" w:hAnsi="宋体" w:eastAsia="宋体" w:cs="宋体"/>
          <w:color w:val="auto"/>
          <w:sz w:val="22"/>
          <w:szCs w:val="22"/>
          <w:highlight w:val="none"/>
        </w:rPr>
        <w:t>、结算</w:t>
      </w:r>
      <w:r>
        <w:rPr>
          <w:rFonts w:hint="eastAsia" w:ascii="宋体" w:hAnsi="宋体" w:eastAsia="宋体" w:cs="宋体"/>
          <w:color w:val="auto"/>
          <w:sz w:val="22"/>
          <w:szCs w:val="22"/>
          <w:highlight w:val="none"/>
          <w:lang w:eastAsia="zh-CN"/>
        </w:rPr>
        <w:t>、监测</w:t>
      </w:r>
      <w:r>
        <w:rPr>
          <w:rFonts w:hint="eastAsia" w:ascii="宋体" w:hAnsi="宋体" w:eastAsia="宋体" w:cs="宋体"/>
          <w:color w:val="auto"/>
          <w:sz w:val="22"/>
          <w:szCs w:val="22"/>
          <w:highlight w:val="none"/>
        </w:rPr>
        <w:t>等全流</w:t>
      </w:r>
      <w:r>
        <w:rPr>
          <w:rFonts w:hint="eastAsia" w:ascii="宋体" w:hAnsi="宋体" w:eastAsia="宋体" w:cs="宋体"/>
          <w:color w:val="auto"/>
          <w:sz w:val="22"/>
          <w:szCs w:val="22"/>
        </w:rPr>
        <w:t>程各环节服务，建立完善的工作流程、管理模式和考核机制。</w:t>
      </w:r>
    </w:p>
    <w:p w14:paraId="7270B4A3">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p>
    <w:p w14:paraId="70F49673">
      <w:pPr>
        <w:pageBreakBefore w:val="0"/>
        <w:widowControl/>
        <w:numPr>
          <w:ilvl w:val="255"/>
          <w:numId w:val="0"/>
        </w:numPr>
        <w:kinsoku/>
        <w:wordWrap/>
        <w:overflowPunct/>
        <w:topLinePunct w:val="0"/>
        <w:autoSpaceDE/>
        <w:autoSpaceDN/>
        <w:bidi w:val="0"/>
        <w:adjustRightInd/>
        <w:snapToGrid/>
        <w:spacing w:before="0" w:after="0" w:line="360" w:lineRule="auto"/>
        <w:ind w:left="0" w:leftChars="0" w:firstLine="442" w:firstLineChars="200"/>
        <w:jc w:val="both"/>
        <w:textAlignment w:val="auto"/>
        <w:rPr>
          <w:rFonts w:hint="eastAsia" w:ascii="宋体" w:hAnsi="宋体" w:eastAsia="宋体" w:cs="宋体"/>
          <w:b/>
          <w:bCs/>
          <w:color w:val="auto"/>
          <w:sz w:val="22"/>
          <w:szCs w:val="22"/>
        </w:rPr>
      </w:pPr>
      <w:r>
        <w:rPr>
          <w:rFonts w:hint="eastAsia" w:ascii="宋体" w:hAnsi="宋体" w:eastAsia="宋体" w:cs="宋体"/>
          <w:b/>
          <w:bCs/>
          <w:color w:val="auto"/>
          <w:sz w:val="22"/>
          <w:szCs w:val="22"/>
        </w:rPr>
        <w:t>第三节</w:t>
      </w:r>
      <w:r>
        <w:rPr>
          <w:rFonts w:hint="eastAsia" w:ascii="宋体" w:hAnsi="宋体" w:eastAsia="宋体" w:cs="宋体"/>
          <w:b/>
          <w:bCs/>
          <w:color w:val="auto"/>
          <w:sz w:val="22"/>
          <w:szCs w:val="22"/>
          <w:lang w:val="en-US" w:eastAsia="zh-CN"/>
        </w:rPr>
        <w:t xml:space="preserve"> </w:t>
      </w:r>
      <w:r>
        <w:rPr>
          <w:rFonts w:hint="eastAsia" w:ascii="宋体" w:hAnsi="宋体" w:eastAsia="宋体" w:cs="宋体"/>
          <w:b/>
          <w:bCs/>
          <w:color w:val="auto"/>
          <w:sz w:val="22"/>
          <w:szCs w:val="22"/>
        </w:rPr>
        <w:t>团队人数及职责要求</w:t>
      </w:r>
    </w:p>
    <w:p w14:paraId="09C3D156">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eastAsia="zh-CN"/>
        </w:rPr>
        <w:t>一、</w:t>
      </w:r>
      <w:r>
        <w:rPr>
          <w:rFonts w:hint="eastAsia" w:ascii="宋体" w:hAnsi="宋体" w:eastAsia="宋体" w:cs="宋体"/>
          <w:color w:val="auto"/>
          <w:sz w:val="22"/>
          <w:szCs w:val="22"/>
        </w:rPr>
        <w:t>配置平台负责人不少于1人</w:t>
      </w:r>
    </w:p>
    <w:p w14:paraId="5A8CB36D">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1.</w:t>
      </w:r>
      <w:r>
        <w:rPr>
          <w:rFonts w:hint="eastAsia" w:ascii="宋体" w:hAnsi="宋体" w:eastAsia="宋体" w:cs="宋体"/>
          <w:color w:val="auto"/>
          <w:sz w:val="22"/>
          <w:szCs w:val="22"/>
        </w:rPr>
        <w:t>负责深圳药品采购平台的运营维护和日常管理工作；</w:t>
      </w:r>
    </w:p>
    <w:p w14:paraId="1B456027">
      <w:pPr>
        <w:pStyle w:val="19"/>
        <w:pageBreakBefore w:val="0"/>
        <w:widowControl/>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val="en-US" w:eastAsia="zh-CN"/>
        </w:rPr>
        <w:t>2.</w:t>
      </w:r>
      <w:r>
        <w:rPr>
          <w:rFonts w:hint="eastAsia" w:ascii="宋体" w:hAnsi="宋体" w:eastAsia="宋体" w:cs="宋体"/>
          <w:color w:val="auto"/>
          <w:sz w:val="22"/>
          <w:szCs w:val="22"/>
          <w:lang w:eastAsia="zh-CN"/>
        </w:rPr>
        <w:t>负责与上级主管部门进行日常业务的沟通协作并配合其开展相关工作；</w:t>
      </w:r>
    </w:p>
    <w:p w14:paraId="3FD7FD52">
      <w:pPr>
        <w:pStyle w:val="19"/>
        <w:pageBreakBefore w:val="0"/>
        <w:widowControl/>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val="en-US" w:eastAsia="zh-CN"/>
        </w:rPr>
        <w:t>3.</w:t>
      </w:r>
      <w:r>
        <w:rPr>
          <w:rFonts w:hint="eastAsia" w:ascii="宋体" w:hAnsi="宋体" w:eastAsia="宋体" w:cs="宋体"/>
          <w:color w:val="auto"/>
          <w:sz w:val="22"/>
          <w:szCs w:val="22"/>
          <w:lang w:eastAsia="zh-CN"/>
        </w:rPr>
        <w:t>负责深圳药品采购平台的业务流程制度起草工作及相关政策业务研究总</w:t>
      </w:r>
    </w:p>
    <w:p w14:paraId="21397D5F">
      <w:pPr>
        <w:pStyle w:val="19"/>
        <w:pageBreakBefore w:val="0"/>
        <w:widowControl/>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结；</w:t>
      </w:r>
    </w:p>
    <w:p w14:paraId="142DE7A2">
      <w:pPr>
        <w:pStyle w:val="19"/>
        <w:pageBreakBefore w:val="0"/>
        <w:widowControl/>
        <w:numPr>
          <w:ilvl w:val="-1"/>
          <w:numId w:val="0"/>
        </w:numPr>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val="en-US" w:eastAsia="zh-CN"/>
        </w:rPr>
        <w:t>4.</w:t>
      </w:r>
      <w:r>
        <w:rPr>
          <w:rFonts w:hint="eastAsia" w:ascii="宋体" w:hAnsi="宋体" w:eastAsia="宋体" w:cs="宋体"/>
          <w:color w:val="auto"/>
          <w:sz w:val="22"/>
          <w:szCs w:val="22"/>
          <w:lang w:eastAsia="zh-CN"/>
        </w:rPr>
        <w:t>负责部门人员组织和日常管理工作；</w:t>
      </w:r>
    </w:p>
    <w:p w14:paraId="19286486">
      <w:pPr>
        <w:pStyle w:val="19"/>
        <w:pageBreakBefore w:val="0"/>
        <w:widowControl/>
        <w:numPr>
          <w:ilvl w:val="-1"/>
          <w:numId w:val="0"/>
        </w:numPr>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val="en-US" w:eastAsia="zh-CN"/>
        </w:rPr>
        <w:t>5.</w:t>
      </w:r>
      <w:r>
        <w:rPr>
          <w:rFonts w:hint="eastAsia" w:ascii="宋体" w:hAnsi="宋体" w:eastAsia="宋体" w:cs="宋体"/>
          <w:color w:val="auto"/>
          <w:sz w:val="22"/>
          <w:szCs w:val="22"/>
          <w:lang w:eastAsia="zh-CN"/>
        </w:rPr>
        <w:t>负责完成上级领导交办的其他工作。</w:t>
      </w:r>
    </w:p>
    <w:p w14:paraId="42571597">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eastAsia="zh-CN"/>
        </w:rPr>
        <w:t>二、</w:t>
      </w:r>
      <w:r>
        <w:rPr>
          <w:rFonts w:hint="eastAsia" w:ascii="宋体" w:hAnsi="宋体" w:eastAsia="宋体" w:cs="宋体"/>
          <w:color w:val="auto"/>
          <w:sz w:val="22"/>
          <w:szCs w:val="22"/>
        </w:rPr>
        <w:t>配置招标采购岗不少于3人</w:t>
      </w:r>
    </w:p>
    <w:p w14:paraId="5E816E88">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1.</w:t>
      </w:r>
      <w:r>
        <w:rPr>
          <w:rFonts w:hint="eastAsia" w:ascii="宋体" w:hAnsi="宋体" w:eastAsia="宋体" w:cs="宋体"/>
          <w:color w:val="auto"/>
          <w:sz w:val="22"/>
          <w:szCs w:val="22"/>
        </w:rPr>
        <w:t>组织本市医药机构成立采购联盟，开展药品集中带量采购和使用工作；</w:t>
      </w:r>
    </w:p>
    <w:p w14:paraId="0F5DB9DD">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lang w:val="en-US" w:eastAsia="zh-CN"/>
        </w:rPr>
        <w:t>2.</w:t>
      </w:r>
      <w:r>
        <w:rPr>
          <w:rFonts w:hint="eastAsia" w:ascii="宋体" w:hAnsi="宋体" w:eastAsia="宋体" w:cs="宋体"/>
          <w:color w:val="auto"/>
          <w:sz w:val="22"/>
          <w:szCs w:val="22"/>
        </w:rPr>
        <w:t>履约开展药品的招标、采</w:t>
      </w:r>
      <w:r>
        <w:rPr>
          <w:rFonts w:hint="eastAsia" w:ascii="宋体" w:hAnsi="宋体" w:eastAsia="宋体" w:cs="宋体"/>
          <w:color w:val="auto"/>
          <w:sz w:val="22"/>
          <w:szCs w:val="22"/>
          <w:highlight w:val="none"/>
        </w:rPr>
        <w:t>购、交易、配送、结算等相关业务服务；</w:t>
      </w:r>
    </w:p>
    <w:p w14:paraId="75007CDB">
      <w:pPr>
        <w:pStyle w:val="40"/>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贯彻落实国家、广东省和本市组织药品集中带量采购和使用工作，开展本市药品分类采购以及货款集中结算工作，拟订的药品招标</w:t>
      </w:r>
      <w:r>
        <w:rPr>
          <w:rFonts w:hint="eastAsia" w:ascii="宋体" w:hAnsi="宋体" w:eastAsia="宋体" w:cs="宋体"/>
          <w:color w:val="auto"/>
          <w:sz w:val="22"/>
          <w:szCs w:val="22"/>
        </w:rPr>
        <w:t>采购相关业务流程方案；</w:t>
      </w:r>
    </w:p>
    <w:p w14:paraId="148A2701">
      <w:pPr>
        <w:pStyle w:val="40"/>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4.</w:t>
      </w:r>
      <w:r>
        <w:rPr>
          <w:rFonts w:hint="eastAsia" w:ascii="宋体" w:hAnsi="宋体" w:eastAsia="宋体" w:cs="宋体"/>
          <w:color w:val="auto"/>
          <w:sz w:val="22"/>
          <w:szCs w:val="22"/>
        </w:rPr>
        <w:t>贯彻国家医保标准化编码和规则，完善系统功能建设并完成药品采购信息数据采集、统计、分析和数据报送工作，完善平台系统功能建设；</w:t>
      </w:r>
    </w:p>
    <w:p w14:paraId="50A02943">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5.</w:t>
      </w:r>
      <w:r>
        <w:rPr>
          <w:rFonts w:hint="eastAsia" w:ascii="宋体" w:hAnsi="宋体" w:eastAsia="宋体" w:cs="宋体"/>
          <w:color w:val="auto"/>
          <w:sz w:val="22"/>
          <w:szCs w:val="22"/>
        </w:rPr>
        <w:t>药品数据与相关职能部门信息系统及上级监管信息系统对接，做好药品招采各环节的动态监测预警、信息披露公示等并定期报告有关情况；</w:t>
      </w:r>
    </w:p>
    <w:p w14:paraId="305D1FFD">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6.</w:t>
      </w:r>
      <w:r>
        <w:rPr>
          <w:rFonts w:hint="eastAsia" w:ascii="宋体" w:hAnsi="宋体" w:eastAsia="宋体" w:cs="宋体"/>
          <w:color w:val="auto"/>
          <w:sz w:val="22"/>
          <w:szCs w:val="22"/>
        </w:rPr>
        <w:t>落实药品采购公共服务事项清单以及药品招采信用评价制度管理</w:t>
      </w:r>
      <w:r>
        <w:rPr>
          <w:rFonts w:hint="eastAsia" w:ascii="宋体" w:hAnsi="宋体" w:eastAsia="宋体" w:cs="宋体"/>
          <w:color w:val="auto"/>
          <w:sz w:val="22"/>
          <w:szCs w:val="22"/>
          <w:lang w:eastAsia="zh-CN"/>
        </w:rPr>
        <w:t>；</w:t>
      </w:r>
    </w:p>
    <w:p w14:paraId="63B1B8AE">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7.</w:t>
      </w:r>
      <w:r>
        <w:rPr>
          <w:rFonts w:hint="eastAsia" w:ascii="宋体" w:hAnsi="宋体" w:eastAsia="宋体" w:cs="宋体"/>
          <w:color w:val="auto"/>
          <w:sz w:val="22"/>
          <w:szCs w:val="22"/>
        </w:rPr>
        <w:t>负责完成部门领导交办的其他工作。</w:t>
      </w:r>
    </w:p>
    <w:p w14:paraId="7FE99CEE">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eastAsia="zh-CN"/>
        </w:rPr>
        <w:t>三、</w:t>
      </w:r>
      <w:r>
        <w:rPr>
          <w:rFonts w:hint="eastAsia" w:ascii="宋体" w:hAnsi="宋体" w:eastAsia="宋体" w:cs="宋体"/>
          <w:color w:val="auto"/>
          <w:sz w:val="22"/>
          <w:szCs w:val="22"/>
        </w:rPr>
        <w:t>平台</w:t>
      </w:r>
      <w:r>
        <w:rPr>
          <w:rFonts w:hint="eastAsia" w:ascii="宋体" w:hAnsi="宋体" w:eastAsia="宋体" w:cs="宋体"/>
          <w:color w:val="auto"/>
          <w:sz w:val="22"/>
          <w:szCs w:val="22"/>
          <w:lang w:val="en-US" w:eastAsia="zh-CN"/>
        </w:rPr>
        <w:t>系统</w:t>
      </w:r>
      <w:r>
        <w:rPr>
          <w:rFonts w:hint="eastAsia" w:ascii="宋体" w:hAnsi="宋体" w:eastAsia="宋体" w:cs="宋体"/>
          <w:color w:val="auto"/>
          <w:sz w:val="22"/>
          <w:szCs w:val="22"/>
        </w:rPr>
        <w:t>开发建设运维岗不少于6人</w:t>
      </w:r>
      <w:r>
        <w:rPr>
          <w:rFonts w:hint="eastAsia" w:ascii="宋体" w:hAnsi="宋体" w:eastAsia="宋体" w:cs="宋体"/>
          <w:color w:val="auto"/>
          <w:sz w:val="22"/>
          <w:szCs w:val="22"/>
        </w:rPr>
        <w:tab/>
      </w:r>
    </w:p>
    <w:p w14:paraId="737AAEC9">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1.</w:t>
      </w:r>
      <w:r>
        <w:rPr>
          <w:rFonts w:hint="eastAsia" w:ascii="宋体" w:hAnsi="宋体" w:eastAsia="宋体" w:cs="宋体"/>
          <w:color w:val="auto"/>
          <w:sz w:val="22"/>
          <w:szCs w:val="22"/>
        </w:rPr>
        <w:t>负责平台</w:t>
      </w:r>
      <w:r>
        <w:rPr>
          <w:rFonts w:hint="eastAsia" w:ascii="宋体" w:hAnsi="宋体" w:eastAsia="宋体" w:cs="宋体"/>
          <w:color w:val="auto"/>
          <w:sz w:val="22"/>
          <w:szCs w:val="22"/>
          <w:lang w:val="en-US" w:eastAsia="zh-CN"/>
        </w:rPr>
        <w:t>系统</w:t>
      </w:r>
      <w:r>
        <w:rPr>
          <w:rFonts w:hint="eastAsia" w:ascii="宋体" w:hAnsi="宋体" w:eastAsia="宋体" w:cs="宋体"/>
          <w:color w:val="auto"/>
          <w:sz w:val="22"/>
          <w:szCs w:val="22"/>
        </w:rPr>
        <w:t>的日常功能进行维护、管理、系统迭代升级等工作；</w:t>
      </w:r>
    </w:p>
    <w:p w14:paraId="1011241F">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2.</w:t>
      </w:r>
      <w:r>
        <w:rPr>
          <w:rFonts w:hint="eastAsia" w:ascii="宋体" w:hAnsi="宋体" w:eastAsia="宋体" w:cs="宋体"/>
          <w:color w:val="auto"/>
          <w:sz w:val="22"/>
          <w:szCs w:val="22"/>
        </w:rPr>
        <w:t>负责公有云平台的日常巡检、运维、性能监控；</w:t>
      </w:r>
    </w:p>
    <w:p w14:paraId="4E3887C3">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3.</w:t>
      </w:r>
      <w:r>
        <w:rPr>
          <w:rFonts w:hint="eastAsia" w:ascii="宋体" w:hAnsi="宋体" w:eastAsia="宋体" w:cs="宋体"/>
          <w:color w:val="auto"/>
          <w:sz w:val="22"/>
          <w:szCs w:val="22"/>
        </w:rPr>
        <w:t>负责数据库管理和数据灾备工作；</w:t>
      </w:r>
    </w:p>
    <w:p w14:paraId="41DC24EF">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4.</w:t>
      </w:r>
      <w:r>
        <w:rPr>
          <w:rFonts w:hint="eastAsia" w:ascii="宋体" w:hAnsi="宋体" w:eastAsia="宋体" w:cs="宋体"/>
          <w:color w:val="auto"/>
          <w:sz w:val="22"/>
          <w:szCs w:val="22"/>
        </w:rPr>
        <w:t>与100家医疗机构的业务系统联网接口维护工作；</w:t>
      </w:r>
    </w:p>
    <w:p w14:paraId="79FDCF37">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5.</w:t>
      </w:r>
      <w:r>
        <w:rPr>
          <w:rFonts w:hint="eastAsia" w:ascii="宋体" w:hAnsi="宋体" w:eastAsia="宋体" w:cs="宋体"/>
          <w:color w:val="auto"/>
          <w:sz w:val="22"/>
          <w:szCs w:val="22"/>
        </w:rPr>
        <w:t>与1000家药店进销存系统的联网接口维护工作。</w:t>
      </w:r>
    </w:p>
    <w:p w14:paraId="3EFFC20A">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eastAsia="zh-CN"/>
        </w:rPr>
        <w:t>四、</w:t>
      </w:r>
      <w:r>
        <w:rPr>
          <w:rFonts w:hint="eastAsia" w:ascii="宋体" w:hAnsi="宋体" w:eastAsia="宋体" w:cs="宋体"/>
          <w:color w:val="auto"/>
          <w:sz w:val="22"/>
          <w:szCs w:val="22"/>
        </w:rPr>
        <w:t>配置药事服务岗不少于5人</w:t>
      </w:r>
    </w:p>
    <w:p w14:paraId="2A924842">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1.</w:t>
      </w:r>
      <w:r>
        <w:rPr>
          <w:rFonts w:hint="eastAsia" w:ascii="宋体" w:hAnsi="宋体" w:eastAsia="宋体" w:cs="宋体"/>
          <w:color w:val="auto"/>
          <w:sz w:val="22"/>
          <w:szCs w:val="22"/>
        </w:rPr>
        <w:t>搭建沟通桥梁，跟进订单响应情况，协助解决操作系统问题等；</w:t>
      </w:r>
    </w:p>
    <w:p w14:paraId="725EE0C4">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2.</w:t>
      </w:r>
      <w:r>
        <w:rPr>
          <w:rFonts w:hint="eastAsia" w:ascii="宋体" w:hAnsi="宋体" w:eastAsia="宋体" w:cs="宋体"/>
          <w:color w:val="auto"/>
          <w:sz w:val="22"/>
          <w:szCs w:val="22"/>
        </w:rPr>
        <w:t>接听平台的客户服务咨询电话并给予专业解答；</w:t>
      </w:r>
    </w:p>
    <w:p w14:paraId="0956BF57">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3.</w:t>
      </w:r>
      <w:r>
        <w:rPr>
          <w:rFonts w:hint="eastAsia" w:ascii="宋体" w:hAnsi="宋体" w:eastAsia="宋体" w:cs="宋体"/>
          <w:color w:val="auto"/>
          <w:sz w:val="22"/>
          <w:szCs w:val="22"/>
        </w:rPr>
        <w:t>每日客户咨询信息汇总；</w:t>
      </w:r>
    </w:p>
    <w:p w14:paraId="0236AE81">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4.</w:t>
      </w:r>
      <w:r>
        <w:rPr>
          <w:rFonts w:hint="eastAsia" w:ascii="宋体" w:hAnsi="宋体" w:eastAsia="宋体" w:cs="宋体"/>
          <w:color w:val="auto"/>
          <w:sz w:val="22"/>
          <w:szCs w:val="22"/>
        </w:rPr>
        <w:t>系统内企业信息审核、产品信息审核。</w:t>
      </w:r>
    </w:p>
    <w:p w14:paraId="053B9B08">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五、</w:t>
      </w:r>
      <w:r>
        <w:rPr>
          <w:rFonts w:hint="eastAsia" w:ascii="宋体" w:hAnsi="宋体" w:eastAsia="宋体" w:cs="宋体"/>
          <w:bCs/>
          <w:color w:val="auto"/>
          <w:sz w:val="22"/>
          <w:szCs w:val="22"/>
        </w:rPr>
        <w:t>大数据监管与智能分析岗不少于5人</w:t>
      </w:r>
    </w:p>
    <w:p w14:paraId="3A9F6760">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bCs/>
          <w:color w:val="auto"/>
          <w:sz w:val="22"/>
          <w:szCs w:val="22"/>
        </w:rPr>
      </w:pPr>
      <w:bookmarkStart w:id="50" w:name="_Toc100841290"/>
      <w:r>
        <w:rPr>
          <w:rFonts w:hint="eastAsia" w:ascii="宋体" w:hAnsi="宋体" w:eastAsia="宋体" w:cs="宋体"/>
          <w:bCs/>
          <w:color w:val="auto"/>
          <w:sz w:val="22"/>
          <w:szCs w:val="22"/>
          <w:lang w:val="en-US" w:eastAsia="zh-CN"/>
        </w:rPr>
        <w:t>1.</w:t>
      </w:r>
      <w:r>
        <w:rPr>
          <w:rFonts w:hint="eastAsia" w:ascii="宋体" w:hAnsi="宋体" w:eastAsia="宋体" w:cs="宋体"/>
          <w:bCs/>
          <w:color w:val="auto"/>
          <w:sz w:val="22"/>
          <w:szCs w:val="22"/>
        </w:rPr>
        <w:t>药品采购数据智能分析</w:t>
      </w:r>
      <w:bookmarkEnd w:id="50"/>
    </w:p>
    <w:p w14:paraId="6526F21A">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负责对药品全流程采购数据进行采购情况分析、各采购项目节省金额降幅分析、多平台采购情况对比分析；</w:t>
      </w:r>
    </w:p>
    <w:p w14:paraId="378ECAD1">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bCs/>
          <w:color w:val="auto"/>
          <w:sz w:val="22"/>
          <w:szCs w:val="22"/>
        </w:rPr>
      </w:pPr>
      <w:bookmarkStart w:id="51" w:name="_Toc100841291"/>
      <w:r>
        <w:rPr>
          <w:rFonts w:hint="eastAsia" w:ascii="宋体" w:hAnsi="宋体" w:eastAsia="宋体" w:cs="宋体"/>
          <w:bCs/>
          <w:color w:val="auto"/>
          <w:sz w:val="22"/>
          <w:szCs w:val="22"/>
          <w:lang w:val="en-US" w:eastAsia="zh-CN"/>
        </w:rPr>
        <w:t>2.</w:t>
      </w:r>
      <w:r>
        <w:rPr>
          <w:rFonts w:hint="eastAsia" w:ascii="宋体" w:hAnsi="宋体" w:eastAsia="宋体" w:cs="宋体"/>
          <w:bCs/>
          <w:color w:val="auto"/>
          <w:sz w:val="22"/>
          <w:szCs w:val="22"/>
        </w:rPr>
        <w:t>监测数据上报</w:t>
      </w:r>
      <w:bookmarkEnd w:id="51"/>
    </w:p>
    <w:p w14:paraId="3CB327B4">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负责主管部门和医疗机构对监测数据和报告的自动生成和导出；</w:t>
      </w:r>
    </w:p>
    <w:p w14:paraId="3394FEE1">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b/>
          <w:bCs/>
          <w:color w:val="auto"/>
          <w:sz w:val="22"/>
          <w:szCs w:val="22"/>
        </w:rPr>
      </w:pPr>
      <w:bookmarkStart w:id="52" w:name="_Toc100841292"/>
      <w:r>
        <w:rPr>
          <w:rFonts w:hint="eastAsia" w:ascii="宋体" w:hAnsi="宋体" w:eastAsia="宋体" w:cs="宋体"/>
          <w:bCs/>
          <w:color w:val="auto"/>
          <w:sz w:val="22"/>
          <w:szCs w:val="22"/>
          <w:lang w:val="en-US" w:eastAsia="zh-CN"/>
        </w:rPr>
        <w:t>3.</w:t>
      </w:r>
      <w:r>
        <w:rPr>
          <w:rFonts w:hint="eastAsia" w:ascii="宋体" w:hAnsi="宋体" w:eastAsia="宋体" w:cs="宋体"/>
          <w:bCs/>
          <w:color w:val="auto"/>
          <w:sz w:val="22"/>
          <w:szCs w:val="22"/>
        </w:rPr>
        <w:t>带量采购全流程监测</w:t>
      </w:r>
      <w:bookmarkEnd w:id="52"/>
    </w:p>
    <w:p w14:paraId="33B65408">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负责对药品采购规模的预测、采购情况的实时监测、药品降价幅度及节省金额的实时测算、超阈值或异常情况的预警</w:t>
      </w:r>
      <w:r>
        <w:rPr>
          <w:rFonts w:hint="eastAsia" w:ascii="宋体" w:hAnsi="宋体" w:eastAsia="宋体" w:cs="宋体"/>
          <w:color w:val="auto"/>
          <w:sz w:val="22"/>
          <w:szCs w:val="22"/>
          <w:highlight w:val="none"/>
        </w:rPr>
        <w:t>。</w:t>
      </w:r>
    </w:p>
    <w:p w14:paraId="495D001B">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eastAsia="zh-CN"/>
        </w:rPr>
        <w:t>六、</w:t>
      </w:r>
      <w:r>
        <w:rPr>
          <w:rFonts w:hint="eastAsia" w:ascii="宋体" w:hAnsi="宋体" w:eastAsia="宋体" w:cs="宋体"/>
          <w:color w:val="auto"/>
          <w:sz w:val="22"/>
          <w:szCs w:val="22"/>
        </w:rPr>
        <w:t>其他岗位人员根据实际情况灵活调配</w:t>
      </w:r>
    </w:p>
    <w:p w14:paraId="02DE721D">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1.</w:t>
      </w:r>
      <w:r>
        <w:rPr>
          <w:rFonts w:hint="eastAsia" w:ascii="宋体" w:hAnsi="宋体" w:eastAsia="宋体" w:cs="宋体"/>
          <w:color w:val="auto"/>
          <w:sz w:val="22"/>
          <w:szCs w:val="22"/>
        </w:rPr>
        <w:t>制定日常业务流程规范，受理、审核投标的药品生产经营企业资质证明文件、产品资质证明文件等；</w:t>
      </w:r>
    </w:p>
    <w:p w14:paraId="22C22CDE">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2.</w:t>
      </w:r>
      <w:r>
        <w:rPr>
          <w:rFonts w:hint="eastAsia" w:ascii="宋体" w:hAnsi="宋体" w:eastAsia="宋体" w:cs="宋体"/>
          <w:color w:val="auto"/>
          <w:sz w:val="22"/>
          <w:szCs w:val="22"/>
        </w:rPr>
        <w:t>投标资质审核、日常资质更新、业务数据处理、业务数据统计查询；编制培训教材、业务技术培训、系统操作培训，采购数据监测、统计分析等；</w:t>
      </w:r>
    </w:p>
    <w:p w14:paraId="31A8BFB2">
      <w:pPr>
        <w:pStyle w:val="40"/>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3.</w:t>
      </w:r>
      <w:r>
        <w:rPr>
          <w:rFonts w:hint="eastAsia" w:ascii="宋体" w:hAnsi="宋体" w:eastAsia="宋体" w:cs="宋体"/>
          <w:color w:val="auto"/>
          <w:sz w:val="22"/>
          <w:szCs w:val="22"/>
        </w:rPr>
        <w:t>负责平台申投诉处理及相关汇总分析；</w:t>
      </w:r>
    </w:p>
    <w:p w14:paraId="5239254E">
      <w:pPr>
        <w:pStyle w:val="40"/>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4.</w:t>
      </w:r>
      <w:r>
        <w:rPr>
          <w:rFonts w:hint="eastAsia" w:ascii="宋体" w:hAnsi="宋体" w:eastAsia="宋体" w:cs="宋体"/>
          <w:color w:val="auto"/>
          <w:sz w:val="22"/>
          <w:szCs w:val="22"/>
        </w:rPr>
        <w:t>供货预警；</w:t>
      </w:r>
    </w:p>
    <w:p w14:paraId="1793EC28">
      <w:pPr>
        <w:pStyle w:val="40"/>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5.</w:t>
      </w:r>
      <w:r>
        <w:rPr>
          <w:rFonts w:hint="eastAsia" w:ascii="宋体" w:hAnsi="宋体" w:eastAsia="宋体" w:cs="宋体"/>
          <w:color w:val="auto"/>
          <w:sz w:val="22"/>
          <w:szCs w:val="22"/>
        </w:rPr>
        <w:t>负责完成部门领导交办的其他工作；</w:t>
      </w:r>
    </w:p>
    <w:p w14:paraId="7E2C6901">
      <w:pPr>
        <w:pStyle w:val="40"/>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6.</w:t>
      </w:r>
      <w:r>
        <w:rPr>
          <w:rFonts w:hint="eastAsia" w:ascii="宋体" w:hAnsi="宋体" w:eastAsia="宋体" w:cs="宋体"/>
          <w:color w:val="auto"/>
          <w:sz w:val="22"/>
          <w:szCs w:val="22"/>
        </w:rPr>
        <w:t>负责平台的日常综合性事务工作；</w:t>
      </w:r>
    </w:p>
    <w:p w14:paraId="26068922">
      <w:pPr>
        <w:pStyle w:val="40"/>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7.</w:t>
      </w:r>
      <w:r>
        <w:rPr>
          <w:rFonts w:hint="eastAsia" w:ascii="宋体" w:hAnsi="宋体" w:eastAsia="宋体" w:cs="宋体"/>
          <w:color w:val="auto"/>
          <w:sz w:val="22"/>
          <w:szCs w:val="22"/>
        </w:rPr>
        <w:t>负责项目的分配和管理；</w:t>
      </w:r>
    </w:p>
    <w:p w14:paraId="64F9FA19">
      <w:pPr>
        <w:pStyle w:val="40"/>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8.</w:t>
      </w:r>
      <w:r>
        <w:rPr>
          <w:rFonts w:hint="eastAsia" w:ascii="宋体" w:hAnsi="宋体" w:eastAsia="宋体" w:cs="宋体"/>
          <w:color w:val="auto"/>
          <w:sz w:val="22"/>
          <w:szCs w:val="22"/>
        </w:rPr>
        <w:t>负责文件的整理及存档；</w:t>
      </w:r>
    </w:p>
    <w:p w14:paraId="57C85169">
      <w:pPr>
        <w:pStyle w:val="40"/>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9.</w:t>
      </w:r>
      <w:r>
        <w:rPr>
          <w:rFonts w:hint="eastAsia" w:ascii="宋体" w:hAnsi="宋体" w:eastAsia="宋体" w:cs="宋体"/>
          <w:color w:val="auto"/>
          <w:sz w:val="22"/>
          <w:szCs w:val="22"/>
        </w:rPr>
        <w:t>做好内部协调和对外联络工作。</w:t>
      </w:r>
    </w:p>
    <w:p w14:paraId="0D5500C7">
      <w:pPr>
        <w:pStyle w:val="40"/>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p>
    <w:p w14:paraId="31A5CA7C">
      <w:pPr>
        <w:pStyle w:val="6"/>
        <w:pageBreakBefore w:val="0"/>
        <w:widowControl/>
        <w:kinsoku/>
        <w:wordWrap/>
        <w:overflowPunct/>
        <w:topLinePunct w:val="0"/>
        <w:autoSpaceDE/>
        <w:autoSpaceDN/>
        <w:bidi w:val="0"/>
        <w:adjustRightInd/>
        <w:snapToGrid/>
        <w:spacing w:before="0" w:after="0" w:line="360" w:lineRule="auto"/>
        <w:ind w:left="0" w:leftChars="0" w:firstLine="442" w:firstLineChars="200"/>
        <w:jc w:val="both"/>
        <w:textAlignment w:val="auto"/>
        <w:rPr>
          <w:rFonts w:hint="eastAsia" w:ascii="宋体" w:hAnsi="宋体" w:eastAsia="宋体" w:cs="宋体"/>
          <w:b/>
          <w:bCs/>
          <w:color w:val="auto"/>
          <w:sz w:val="22"/>
          <w:szCs w:val="22"/>
        </w:rPr>
      </w:pPr>
      <w:r>
        <w:rPr>
          <w:rFonts w:hint="eastAsia" w:ascii="宋体" w:hAnsi="宋体" w:eastAsia="宋体" w:cs="宋体"/>
          <w:b/>
          <w:bCs/>
          <w:color w:val="auto"/>
          <w:sz w:val="22"/>
          <w:szCs w:val="22"/>
        </w:rPr>
        <w:t>第四节 系统优化服务</w:t>
      </w:r>
    </w:p>
    <w:p w14:paraId="5391AB19">
      <w:pPr>
        <w:pageBreakBefore w:val="0"/>
        <w:widowControl/>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本项目服务期内至少每半年进行一次系统性数据梳理和整体优化，确保数据管理效率。</w:t>
      </w:r>
    </w:p>
    <w:p w14:paraId="4D6A6E44">
      <w:pPr>
        <w:pageBreakBefore w:val="0"/>
        <w:widowControl/>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rPr>
      </w:pPr>
    </w:p>
    <w:p w14:paraId="65AEFBFE">
      <w:pPr>
        <w:pStyle w:val="6"/>
        <w:pageBreakBefore w:val="0"/>
        <w:widowControl/>
        <w:kinsoku/>
        <w:wordWrap/>
        <w:overflowPunct/>
        <w:topLinePunct w:val="0"/>
        <w:autoSpaceDE/>
        <w:autoSpaceDN/>
        <w:bidi w:val="0"/>
        <w:adjustRightInd/>
        <w:snapToGrid/>
        <w:spacing w:before="0" w:after="0" w:line="360" w:lineRule="auto"/>
        <w:ind w:left="0" w:leftChars="0" w:firstLine="442" w:firstLineChars="200"/>
        <w:jc w:val="both"/>
        <w:textAlignment w:val="auto"/>
        <w:rPr>
          <w:rFonts w:hint="eastAsia" w:ascii="宋体" w:hAnsi="宋体" w:eastAsia="宋体" w:cs="宋体"/>
          <w:b/>
          <w:bCs/>
          <w:color w:val="auto"/>
          <w:sz w:val="22"/>
          <w:szCs w:val="22"/>
        </w:rPr>
      </w:pPr>
      <w:r>
        <w:rPr>
          <w:rFonts w:hint="eastAsia" w:ascii="宋体" w:hAnsi="宋体" w:eastAsia="宋体" w:cs="宋体"/>
          <w:b/>
          <w:bCs/>
          <w:color w:val="auto"/>
          <w:sz w:val="22"/>
          <w:szCs w:val="22"/>
        </w:rPr>
        <w:t>第五节 安装与验收</w:t>
      </w:r>
    </w:p>
    <w:p w14:paraId="1AA32BAC">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投标人负责所提供</w:t>
      </w:r>
      <w:r>
        <w:rPr>
          <w:rFonts w:hint="eastAsia" w:ascii="宋体" w:hAnsi="宋体" w:eastAsia="宋体" w:cs="宋体"/>
          <w:color w:val="auto"/>
          <w:sz w:val="22"/>
          <w:szCs w:val="22"/>
          <w:lang w:val="en-US" w:eastAsia="zh-CN"/>
        </w:rPr>
        <w:t>信息化</w:t>
      </w:r>
      <w:r>
        <w:rPr>
          <w:rFonts w:hint="eastAsia" w:ascii="宋体" w:hAnsi="宋体" w:eastAsia="宋体" w:cs="宋体"/>
          <w:color w:val="auto"/>
          <w:sz w:val="22"/>
          <w:szCs w:val="22"/>
        </w:rPr>
        <w:t>系统的安装、二次开发、</w:t>
      </w:r>
      <w:r>
        <w:rPr>
          <w:rFonts w:hint="eastAsia" w:ascii="宋体" w:hAnsi="宋体" w:eastAsia="宋体" w:cs="宋体"/>
          <w:color w:val="auto"/>
          <w:sz w:val="22"/>
          <w:szCs w:val="22"/>
          <w:lang w:val="en-US" w:eastAsia="zh-CN"/>
        </w:rPr>
        <w:t>测试</w:t>
      </w:r>
      <w:r>
        <w:rPr>
          <w:rFonts w:hint="eastAsia" w:ascii="宋体" w:hAnsi="宋体" w:eastAsia="宋体" w:cs="宋体"/>
          <w:color w:val="auto"/>
          <w:sz w:val="22"/>
          <w:szCs w:val="22"/>
        </w:rPr>
        <w:t>、上线、验收和开通。</w:t>
      </w:r>
    </w:p>
    <w:p w14:paraId="658E9B39">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系统测试将由投标人提供测试方案，经</w:t>
      </w:r>
      <w:r>
        <w:rPr>
          <w:rFonts w:hint="eastAsia" w:ascii="宋体" w:hAnsi="宋体" w:eastAsia="宋体" w:cs="宋体"/>
          <w:color w:val="auto"/>
          <w:sz w:val="22"/>
          <w:szCs w:val="22"/>
          <w:lang w:eastAsia="zh-CN"/>
        </w:rPr>
        <w:t>采购人</w:t>
      </w:r>
      <w:r>
        <w:rPr>
          <w:rFonts w:hint="eastAsia" w:ascii="宋体" w:hAnsi="宋体" w:eastAsia="宋体" w:cs="宋体"/>
          <w:color w:val="auto"/>
          <w:sz w:val="22"/>
          <w:szCs w:val="22"/>
        </w:rPr>
        <w:t>确认后，在</w:t>
      </w:r>
      <w:r>
        <w:rPr>
          <w:rFonts w:hint="eastAsia" w:ascii="宋体" w:hAnsi="宋体" w:eastAsia="宋体" w:cs="宋体"/>
          <w:color w:val="auto"/>
          <w:sz w:val="22"/>
          <w:szCs w:val="22"/>
          <w:lang w:eastAsia="zh-CN"/>
        </w:rPr>
        <w:t>采购人</w:t>
      </w:r>
      <w:r>
        <w:rPr>
          <w:rFonts w:hint="eastAsia" w:ascii="宋体" w:hAnsi="宋体" w:eastAsia="宋体" w:cs="宋体"/>
          <w:color w:val="auto"/>
          <w:sz w:val="22"/>
          <w:szCs w:val="22"/>
        </w:rPr>
        <w:t>的</w:t>
      </w:r>
      <w:r>
        <w:rPr>
          <w:rFonts w:hint="eastAsia" w:ascii="宋体" w:hAnsi="宋体" w:eastAsia="宋体" w:cs="宋体"/>
          <w:color w:val="auto"/>
          <w:sz w:val="22"/>
          <w:szCs w:val="22"/>
          <w:lang w:val="en-US" w:eastAsia="zh-CN"/>
        </w:rPr>
        <w:t>监督</w:t>
      </w:r>
      <w:r>
        <w:rPr>
          <w:rFonts w:hint="eastAsia" w:ascii="宋体" w:hAnsi="宋体" w:eastAsia="宋体" w:cs="宋体"/>
          <w:color w:val="auto"/>
          <w:sz w:val="22"/>
          <w:szCs w:val="22"/>
        </w:rPr>
        <w:t>指导下进行，</w:t>
      </w:r>
      <w:r>
        <w:rPr>
          <w:rFonts w:hint="eastAsia" w:ascii="宋体" w:hAnsi="宋体" w:eastAsia="宋体" w:cs="宋体"/>
          <w:color w:val="auto"/>
          <w:sz w:val="22"/>
          <w:szCs w:val="22"/>
          <w:lang w:eastAsia="zh-CN"/>
        </w:rPr>
        <w:t>采购人的工作</w:t>
      </w:r>
      <w:r>
        <w:rPr>
          <w:rFonts w:hint="eastAsia" w:ascii="宋体" w:hAnsi="宋体" w:eastAsia="宋体" w:cs="宋体"/>
          <w:color w:val="auto"/>
          <w:sz w:val="22"/>
          <w:szCs w:val="22"/>
        </w:rPr>
        <w:t>人员将参加测试。系统测试的条款应与技术要求一致，测试范围应以最终确认的需求为基础，测试指标应以技术要求及认可的答复为标准。</w:t>
      </w:r>
    </w:p>
    <w:p w14:paraId="2458C523">
      <w:pPr>
        <w:pageBreakBefore w:val="0"/>
        <w:widowControl/>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在全部达到要求时，双方签署</w:t>
      </w:r>
      <w:r>
        <w:rPr>
          <w:rFonts w:hint="eastAsia" w:ascii="宋体" w:hAnsi="宋体" w:eastAsia="宋体" w:cs="宋体"/>
          <w:color w:val="auto"/>
          <w:sz w:val="22"/>
          <w:szCs w:val="22"/>
          <w:lang w:eastAsia="zh-CN"/>
        </w:rPr>
        <w:t>系统</w:t>
      </w:r>
      <w:r>
        <w:rPr>
          <w:rFonts w:hint="eastAsia" w:ascii="宋体" w:hAnsi="宋体" w:eastAsia="宋体" w:cs="宋体"/>
          <w:color w:val="auto"/>
          <w:sz w:val="22"/>
          <w:szCs w:val="22"/>
        </w:rPr>
        <w:t>验收文件，对于延迟移交造成的损失由投标人负责。</w:t>
      </w:r>
    </w:p>
    <w:p w14:paraId="67078960">
      <w:pPr>
        <w:pStyle w:val="19"/>
        <w:pageBreakBefore w:val="0"/>
        <w:widowControl/>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p>
    <w:p w14:paraId="4D58B1D2">
      <w:pPr>
        <w:pStyle w:val="6"/>
        <w:pageBreakBefore w:val="0"/>
        <w:widowControl/>
        <w:kinsoku/>
        <w:wordWrap/>
        <w:overflowPunct/>
        <w:topLinePunct w:val="0"/>
        <w:autoSpaceDE/>
        <w:autoSpaceDN/>
        <w:bidi w:val="0"/>
        <w:adjustRightInd/>
        <w:snapToGrid/>
        <w:spacing w:before="0" w:after="0" w:line="360" w:lineRule="auto"/>
        <w:ind w:left="0" w:leftChars="0" w:firstLine="442" w:firstLineChars="200"/>
        <w:jc w:val="both"/>
        <w:textAlignment w:val="auto"/>
        <w:rPr>
          <w:rFonts w:hint="eastAsia" w:ascii="宋体" w:hAnsi="宋体" w:eastAsia="宋体" w:cs="宋体"/>
          <w:b/>
          <w:bCs/>
          <w:color w:val="auto"/>
          <w:sz w:val="22"/>
          <w:szCs w:val="22"/>
        </w:rPr>
      </w:pPr>
      <w:r>
        <w:rPr>
          <w:rFonts w:hint="eastAsia" w:ascii="宋体" w:hAnsi="宋体" w:eastAsia="宋体" w:cs="宋体"/>
          <w:b/>
          <w:bCs/>
          <w:color w:val="auto"/>
          <w:sz w:val="22"/>
          <w:szCs w:val="22"/>
        </w:rPr>
        <w:t>第六节 维护及技术支持要求</w:t>
      </w:r>
    </w:p>
    <w:p w14:paraId="1CADFD41">
      <w:pPr>
        <w:pStyle w:val="40"/>
        <w:pageBreakBefore w:val="0"/>
        <w:widowControl/>
        <w:numPr>
          <w:ilvl w:val="-1"/>
          <w:numId w:val="0"/>
        </w:numPr>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eastAsia="zh-CN"/>
        </w:rPr>
        <w:t>一、</w:t>
      </w:r>
      <w:r>
        <w:rPr>
          <w:rFonts w:hint="eastAsia" w:ascii="宋体" w:hAnsi="宋体" w:eastAsia="宋体" w:cs="宋体"/>
          <w:color w:val="auto"/>
          <w:sz w:val="22"/>
          <w:szCs w:val="22"/>
        </w:rPr>
        <w:t>在软件运行期内，投标人应提供灵活、多样的通信手段（包括但不限于场地、设备及人员、专用服务电话），提供7*24小时的响应服务，保证在任何时候</w:t>
      </w:r>
      <w:r>
        <w:rPr>
          <w:rFonts w:hint="eastAsia" w:ascii="宋体" w:hAnsi="宋体" w:eastAsia="宋体" w:cs="宋体"/>
          <w:color w:val="auto"/>
          <w:sz w:val="22"/>
          <w:szCs w:val="22"/>
          <w:lang w:eastAsia="zh-CN"/>
        </w:rPr>
        <w:t>采购人的工作</w:t>
      </w:r>
      <w:r>
        <w:rPr>
          <w:rFonts w:hint="eastAsia" w:ascii="宋体" w:hAnsi="宋体" w:eastAsia="宋体" w:cs="宋体"/>
          <w:color w:val="auto"/>
          <w:sz w:val="22"/>
          <w:szCs w:val="22"/>
        </w:rPr>
        <w:t>人员都能及时找到投标人的服务人员；</w:t>
      </w:r>
    </w:p>
    <w:p w14:paraId="643FFF05">
      <w:pPr>
        <w:pStyle w:val="40"/>
        <w:pageBreakBefore w:val="0"/>
        <w:widowControl/>
        <w:numPr>
          <w:ilvl w:val="-1"/>
          <w:numId w:val="0"/>
        </w:numPr>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eastAsia="zh-CN"/>
        </w:rPr>
        <w:t>二、</w:t>
      </w:r>
      <w:r>
        <w:rPr>
          <w:rFonts w:hint="eastAsia" w:ascii="宋体" w:hAnsi="宋体" w:eastAsia="宋体" w:cs="宋体"/>
          <w:color w:val="auto"/>
          <w:sz w:val="22"/>
          <w:szCs w:val="22"/>
        </w:rPr>
        <w:t>所供软件出现问题时，其响应时间不超过15分钟，一般故障处理时间不超过2小时；特殊情况下，故障修复时间不超过24小时；</w:t>
      </w:r>
    </w:p>
    <w:p w14:paraId="3576DCEA">
      <w:pPr>
        <w:pStyle w:val="40"/>
        <w:pageBreakBefore w:val="0"/>
        <w:widowControl/>
        <w:numPr>
          <w:ilvl w:val="-1"/>
          <w:numId w:val="0"/>
        </w:numPr>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eastAsia="zh-CN"/>
        </w:rPr>
        <w:t>三、</w:t>
      </w:r>
      <w:r>
        <w:rPr>
          <w:rFonts w:hint="eastAsia" w:ascii="宋体" w:hAnsi="宋体" w:eastAsia="宋体" w:cs="宋体"/>
          <w:color w:val="auto"/>
          <w:sz w:val="22"/>
          <w:szCs w:val="22"/>
        </w:rPr>
        <w:t>投标人应提供排除故障响应的具体流程；</w:t>
      </w:r>
    </w:p>
    <w:p w14:paraId="2AD6E004">
      <w:pPr>
        <w:pStyle w:val="40"/>
        <w:pageBreakBefore w:val="0"/>
        <w:widowControl/>
        <w:numPr>
          <w:ilvl w:val="-1"/>
          <w:numId w:val="0"/>
        </w:numPr>
        <w:kinsoku/>
        <w:wordWrap/>
        <w:overflowPunct/>
        <w:topLinePunct w:val="0"/>
        <w:autoSpaceDE/>
        <w:autoSpaceDN/>
        <w:bidi w:val="0"/>
        <w:adjustRightInd/>
        <w:snapToGrid/>
        <w:spacing w:line="360" w:lineRule="auto"/>
        <w:ind w:left="0" w:leftChars="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eastAsia="zh-CN"/>
        </w:rPr>
        <w:t>四、</w:t>
      </w:r>
      <w:r>
        <w:rPr>
          <w:rFonts w:hint="eastAsia" w:ascii="宋体" w:hAnsi="宋体" w:eastAsia="宋体" w:cs="宋体"/>
          <w:color w:val="auto"/>
          <w:sz w:val="22"/>
          <w:szCs w:val="22"/>
        </w:rPr>
        <w:t>投标人应在投标文件中说明技术指导和技术支持的范围和程度，提供技术服务流程，技术服务内容和价格清单。</w:t>
      </w:r>
    </w:p>
    <w:p w14:paraId="6E8B855F">
      <w:pPr>
        <w:pStyle w:val="5"/>
        <w:spacing w:before="120" w:beforeLines="50" w:after="120" w:afterLines="50"/>
        <w:rPr>
          <w:rFonts w:eastAsia="宋体"/>
          <w:sz w:val="28"/>
          <w:szCs w:val="28"/>
        </w:rPr>
      </w:pPr>
      <w:r>
        <w:rPr>
          <w:rFonts w:hint="eastAsia" w:eastAsia="宋体"/>
          <w:sz w:val="28"/>
          <w:szCs w:val="28"/>
          <w:lang w:eastAsia="zh-CN"/>
        </w:rPr>
        <w:t>五</w:t>
      </w:r>
      <w:r>
        <w:rPr>
          <w:rFonts w:hint="eastAsia" w:eastAsia="宋体"/>
          <w:sz w:val="28"/>
          <w:szCs w:val="28"/>
        </w:rPr>
        <w:t>、商务要求</w:t>
      </w:r>
    </w:p>
    <w:p w14:paraId="1BF79445">
      <w:pPr>
        <w:ind w:firstLine="440" w:firstLineChars="200"/>
        <w:rPr>
          <w:b/>
          <w:sz w:val="22"/>
          <w:szCs w:val="20"/>
        </w:rPr>
      </w:pPr>
      <w:r>
        <w:rPr>
          <w:rFonts w:hint="eastAsia"/>
          <w:b/>
          <w:sz w:val="22"/>
          <w:szCs w:val="20"/>
        </w:rPr>
        <w:t>说明：</w:t>
      </w:r>
      <w:r>
        <w:rPr>
          <w:b/>
          <w:sz w:val="22"/>
          <w:szCs w:val="20"/>
        </w:rPr>
        <w:t>1</w:t>
      </w:r>
      <w:r>
        <w:rPr>
          <w:rFonts w:hint="eastAsia"/>
          <w:b/>
          <w:sz w:val="22"/>
          <w:szCs w:val="20"/>
        </w:rPr>
        <w:t>、带“</w:t>
      </w:r>
      <w:r>
        <w:rPr>
          <w:rFonts w:hint="eastAsia" w:ascii="宋体" w:hAnsi="宋体" w:cs="宋体"/>
          <w:b/>
          <w:sz w:val="22"/>
          <w:szCs w:val="20"/>
        </w:rPr>
        <w:t>★</w:t>
      </w:r>
      <w:r>
        <w:rPr>
          <w:rFonts w:hint="eastAsia"/>
          <w:b/>
          <w:sz w:val="22"/>
          <w:szCs w:val="20"/>
        </w:rPr>
        <w:t>”指标项为实质性条款，如出现负偏离，将被视为未实质性满足招标文件要求作投标无效处理。</w:t>
      </w:r>
    </w:p>
    <w:p w14:paraId="5BC12645">
      <w:pPr>
        <w:keepNext w:val="0"/>
        <w:keepLines w:val="0"/>
        <w:pageBreakBefore w:val="0"/>
        <w:widowControl/>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color w:val="auto"/>
          <w:sz w:val="22"/>
          <w:szCs w:val="22"/>
          <w:highlight w:val="yellow"/>
        </w:rPr>
      </w:pPr>
      <w:r>
        <w:rPr>
          <w:rFonts w:hint="eastAsia" w:ascii="宋体" w:hAnsi="宋体" w:eastAsia="宋体" w:cs="宋体"/>
          <w:color w:val="auto"/>
          <w:sz w:val="22"/>
          <w:szCs w:val="22"/>
        </w:rPr>
        <w:t>★</w:t>
      </w:r>
      <w:r>
        <w:rPr>
          <w:rFonts w:hint="eastAsia" w:ascii="宋体" w:hAnsi="宋体" w:eastAsia="宋体" w:cs="宋体"/>
          <w:b w:val="0"/>
          <w:color w:val="auto"/>
          <w:sz w:val="22"/>
          <w:szCs w:val="22"/>
          <w:lang w:eastAsia="zh-CN"/>
        </w:rPr>
        <w:t>（一）</w:t>
      </w:r>
      <w:r>
        <w:rPr>
          <w:rFonts w:hint="eastAsia" w:ascii="宋体" w:hAnsi="宋体" w:eastAsia="宋体" w:cs="宋体"/>
          <w:b w:val="0"/>
          <w:color w:val="auto"/>
          <w:sz w:val="22"/>
          <w:szCs w:val="22"/>
        </w:rPr>
        <w:t>服务期限：</w:t>
      </w:r>
      <w:r>
        <w:rPr>
          <w:rFonts w:hint="eastAsia" w:ascii="宋体" w:hAnsi="宋体" w:eastAsia="宋体" w:cs="宋体"/>
          <w:color w:val="auto"/>
          <w:sz w:val="22"/>
          <w:szCs w:val="22"/>
          <w:highlight w:val="none"/>
        </w:rPr>
        <w:t>自合同签订之日起一年。</w:t>
      </w:r>
    </w:p>
    <w:p w14:paraId="58B366C8">
      <w:pPr>
        <w:keepNext w:val="0"/>
        <w:keepLines w:val="0"/>
        <w:pageBreakBefore w:val="0"/>
        <w:widowControl/>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该项目为长期服务项目，合同期满可以续签，但合同履行期限最长不得超过三十六个月。如</w:t>
      </w:r>
      <w:r>
        <w:rPr>
          <w:rFonts w:hint="eastAsia" w:ascii="宋体" w:hAnsi="宋体" w:eastAsia="宋体" w:cs="宋体"/>
          <w:color w:val="auto"/>
          <w:sz w:val="22"/>
          <w:szCs w:val="22"/>
          <w:lang w:eastAsia="zh-CN"/>
        </w:rPr>
        <w:t>采购人</w:t>
      </w:r>
      <w:r>
        <w:rPr>
          <w:rFonts w:hint="eastAsia" w:ascii="宋体" w:hAnsi="宋体" w:eastAsia="宋体" w:cs="宋体"/>
          <w:color w:val="auto"/>
          <w:sz w:val="22"/>
          <w:szCs w:val="22"/>
        </w:rPr>
        <w:t>对履约情况不满意，</w:t>
      </w:r>
      <w:r>
        <w:rPr>
          <w:rFonts w:hint="eastAsia" w:ascii="宋体" w:hAnsi="宋体" w:eastAsia="宋体" w:cs="宋体"/>
          <w:color w:val="auto"/>
          <w:sz w:val="22"/>
          <w:szCs w:val="22"/>
          <w:lang w:eastAsia="zh-CN"/>
        </w:rPr>
        <w:t>可以</w:t>
      </w:r>
      <w:r>
        <w:rPr>
          <w:rFonts w:hint="eastAsia" w:ascii="宋体" w:hAnsi="宋体" w:eastAsia="宋体" w:cs="宋体"/>
          <w:color w:val="auto"/>
          <w:sz w:val="22"/>
          <w:szCs w:val="22"/>
        </w:rPr>
        <w:t>不再续约。</w:t>
      </w:r>
    </w:p>
    <w:p w14:paraId="17845453">
      <w:pPr>
        <w:keepNext w:val="0"/>
        <w:keepLines w:val="0"/>
        <w:pageBreakBefore w:val="0"/>
        <w:widowControl/>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eastAsia="zh-CN"/>
        </w:rPr>
        <w:t>（二）</w:t>
      </w:r>
      <w:r>
        <w:rPr>
          <w:rFonts w:hint="eastAsia" w:ascii="宋体" w:hAnsi="宋体" w:eastAsia="宋体" w:cs="宋体"/>
          <w:color w:val="auto"/>
          <w:sz w:val="22"/>
          <w:szCs w:val="22"/>
        </w:rPr>
        <w:t>履约验收</w:t>
      </w:r>
    </w:p>
    <w:p w14:paraId="2A9C54C1">
      <w:pPr>
        <w:keepNext w:val="0"/>
        <w:keepLines w:val="0"/>
        <w:pageBreakBefore w:val="0"/>
        <w:widowControl/>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由采购人按照招标文件与中标文件响应的内容，组织开展验收工作。</w:t>
      </w:r>
    </w:p>
    <w:p w14:paraId="433D5518">
      <w:pPr>
        <w:keepNext w:val="0"/>
        <w:keepLines w:val="0"/>
        <w:pageBreakBefore w:val="0"/>
        <w:widowControl/>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eastAsia="zh-CN"/>
        </w:rPr>
        <w:t>（三）</w:t>
      </w:r>
      <w:r>
        <w:rPr>
          <w:rFonts w:hint="eastAsia" w:ascii="宋体" w:hAnsi="宋体" w:eastAsia="宋体" w:cs="宋体"/>
          <w:color w:val="auto"/>
          <w:sz w:val="22"/>
          <w:szCs w:val="22"/>
        </w:rPr>
        <w:t>报价要求</w:t>
      </w:r>
    </w:p>
    <w:p w14:paraId="3A0939CC">
      <w:pPr>
        <w:pStyle w:val="19"/>
        <w:keepNext w:val="0"/>
        <w:keepLines w:val="0"/>
        <w:pageBreakBefore w:val="0"/>
        <w:widowControl/>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投标报价以人民币报价，合同期内，采购人不再增加与本采购服务内容的费用。投标人报价不得低于成本价，否则视为影响或者可能影响合同履行质量，将被视为投标无效。</w:t>
      </w:r>
    </w:p>
    <w:p w14:paraId="06703305">
      <w:pPr>
        <w:pStyle w:val="19"/>
        <w:keepNext w:val="0"/>
        <w:keepLines w:val="0"/>
        <w:pageBreakBefore w:val="0"/>
        <w:widowControl/>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★（四）付款方式</w:t>
      </w:r>
    </w:p>
    <w:p w14:paraId="3E89088B">
      <w:pPr>
        <w:pStyle w:val="19"/>
        <w:keepNext w:val="0"/>
        <w:keepLines w:val="0"/>
        <w:pageBreakBefore w:val="0"/>
        <w:widowControl/>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服务费用由甲方分四期向乙方进行支付，具体安排如下：</w:t>
      </w:r>
    </w:p>
    <w:p w14:paraId="72F98CC1">
      <w:pPr>
        <w:pStyle w:val="19"/>
        <w:keepNext w:val="0"/>
        <w:keepLines w:val="0"/>
        <w:pageBreakBefore w:val="0"/>
        <w:widowControl/>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1.合同履行至2025年11月30日，甲方向乙方支付服务费用五十四万元。</w:t>
      </w:r>
    </w:p>
    <w:p w14:paraId="5ED599F2">
      <w:pPr>
        <w:pStyle w:val="19"/>
        <w:keepNext w:val="0"/>
        <w:keepLines w:val="0"/>
        <w:pageBreakBefore w:val="0"/>
        <w:widowControl/>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2.合同履行至2026年3月31日，甲方向乙方支付服务费用的50%。</w:t>
      </w:r>
    </w:p>
    <w:p w14:paraId="683AD3F5">
      <w:pPr>
        <w:pStyle w:val="19"/>
        <w:keepNext w:val="0"/>
        <w:keepLines w:val="0"/>
        <w:pageBreakBefore w:val="0"/>
        <w:widowControl/>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3.合同履行至2026年6月30日，甲方向乙方支付服务费用的30%。</w:t>
      </w:r>
    </w:p>
    <w:p w14:paraId="626B4493">
      <w:pPr>
        <w:pStyle w:val="19"/>
        <w:keepNext w:val="0"/>
        <w:keepLines w:val="0"/>
        <w:pageBreakBefore w:val="0"/>
        <w:widowControl/>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4.合同履行完毕后10日内，甲方对乙方服务情况进行履约验收，并根据验收结果确定剩余服务费用支付比例（通过合同另行约定）。验收结果出具后的</w:t>
      </w:r>
      <w:r>
        <w:rPr>
          <w:rFonts w:hint="default" w:ascii="宋体" w:hAnsi="宋体" w:eastAsia="宋体" w:cs="宋体"/>
          <w:color w:val="auto"/>
          <w:sz w:val="22"/>
          <w:szCs w:val="22"/>
          <w:lang w:val="en-US" w:eastAsia="zh-CN"/>
        </w:rPr>
        <w:t>30日内</w:t>
      </w:r>
      <w:r>
        <w:rPr>
          <w:rFonts w:hint="eastAsia" w:ascii="宋体" w:hAnsi="宋体" w:eastAsia="宋体" w:cs="宋体"/>
          <w:color w:val="auto"/>
          <w:sz w:val="22"/>
          <w:szCs w:val="22"/>
          <w:lang w:eastAsia="zh-CN"/>
        </w:rPr>
        <w:t>，甲方向乙方合支付剩余服务费用。</w:t>
      </w:r>
    </w:p>
    <w:p w14:paraId="24F05D38">
      <w:pPr>
        <w:pStyle w:val="19"/>
        <w:keepNext w:val="0"/>
        <w:keepLines w:val="0"/>
        <w:pageBreakBefore w:val="0"/>
        <w:widowControl/>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以上甲方支付时间是指甲方申请政府财政部门向乙方支付的时间，如因政府财政部门审批或政策变动等原因而导致价款不能及时到账的，甲方不承担违约责任，乙方不得以此拒绝或怠于履行合同义务。</w:t>
      </w:r>
    </w:p>
    <w:p w14:paraId="521340ED">
      <w:pPr>
        <w:pStyle w:val="19"/>
        <w:keepNext w:val="0"/>
        <w:keepLines w:val="0"/>
        <w:pageBreakBefore w:val="0"/>
        <w:widowControl/>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乙方须按照财政支付政策要求提供当期应付款等额发票等付款材料，因提供的付款材料缺失、错误或者延误等原因，导致甲方无法按时支付的，相关后果皆由乙方自行承担，甲方不承担任何责任；由于乙方过错，给甲方造成损害或者给甲方增加额外成本的，乙方应承担相应的违约责任，甲方有权在支付价款时直接扣除乙方应承担的违约金和赔（补）偿金。</w:t>
      </w:r>
    </w:p>
    <w:p w14:paraId="308F1561">
      <w:pPr>
        <w:pStyle w:val="19"/>
        <w:keepNext w:val="0"/>
        <w:keepLines w:val="0"/>
        <w:pageBreakBefore w:val="0"/>
        <w:widowControl/>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val="en-US" w:eastAsia="zh-CN"/>
        </w:rPr>
        <w:t>（五）</w:t>
      </w:r>
      <w:r>
        <w:rPr>
          <w:rFonts w:hint="eastAsia" w:ascii="宋体" w:hAnsi="宋体" w:eastAsia="宋体" w:cs="宋体"/>
          <w:color w:val="auto"/>
          <w:sz w:val="22"/>
          <w:szCs w:val="22"/>
          <w:lang w:eastAsia="zh-CN"/>
        </w:rPr>
        <w:t>知识产权及相关要求</w:t>
      </w:r>
    </w:p>
    <w:p w14:paraId="52EC8199">
      <w:pPr>
        <w:keepNext w:val="0"/>
        <w:keepLines w:val="0"/>
        <w:pageBreakBefore w:val="0"/>
        <w:widowControl/>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1.</w:t>
      </w:r>
      <w:r>
        <w:rPr>
          <w:rFonts w:hint="eastAsia" w:ascii="宋体" w:hAnsi="宋体" w:eastAsia="宋体" w:cs="宋体"/>
          <w:color w:val="auto"/>
          <w:sz w:val="22"/>
          <w:szCs w:val="22"/>
        </w:rPr>
        <w:t>中标人应保证，采购人在使用中标人系统以及其他与履行本项目合同有关的产品或服务时，免受第三方提出的侵犯其专利权、计算机软件著作权、商标权、工业设计权、集成电路布图设计权和其他知识产权的起诉或以其他任何方式主张权利。任何第三方如果提出侵权指控或以其他任何方式主张权利，中标人须与第三方交涉及承担由此而引起的一切法律责任和费用，导致项目成果逾期交付或导致釆购人不能使用、或被限制使用、或存在使用被控侵权的风险，采购人有权要求中标人退还已收取的项目费用并赔偿由此给采购人造成的一切损失。</w:t>
      </w:r>
    </w:p>
    <w:p w14:paraId="06C90616">
      <w:pPr>
        <w:pStyle w:val="2"/>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宋体" w:hAnsi="宋体" w:eastAsia="宋体" w:cs="宋体"/>
          <w:b w:val="0"/>
          <w:bCs w:val="0"/>
          <w:color w:val="auto"/>
          <w:sz w:val="22"/>
          <w:szCs w:val="22"/>
          <w:lang w:val="en-US" w:eastAsia="zh-CN"/>
        </w:rPr>
      </w:pPr>
      <w:r>
        <w:rPr>
          <w:rFonts w:hint="eastAsia" w:ascii="宋体" w:hAnsi="宋体" w:eastAsia="宋体" w:cs="宋体"/>
          <w:b w:val="0"/>
          <w:bCs w:val="0"/>
          <w:color w:val="auto"/>
          <w:sz w:val="22"/>
          <w:szCs w:val="22"/>
          <w:lang w:val="en-US" w:eastAsia="zh-CN"/>
        </w:rPr>
        <w:t>2.中标人因提供本服务项目所产生的全部知识产权（包括但不限于著作权、专利申请权、技术秘密等）及相关衍生权益，自产生之日起即归采购人所有。</w:t>
      </w:r>
    </w:p>
    <w:p w14:paraId="7C75E9E4">
      <w:pPr>
        <w:keepNext w:val="0"/>
        <w:keepLines w:val="0"/>
        <w:pageBreakBefore w:val="0"/>
        <w:widowControl/>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3.中标人</w:t>
      </w:r>
      <w:r>
        <w:rPr>
          <w:rFonts w:hint="eastAsia" w:ascii="宋体" w:hAnsi="宋体" w:eastAsia="宋体" w:cs="宋体"/>
          <w:color w:val="auto"/>
          <w:sz w:val="22"/>
          <w:szCs w:val="22"/>
          <w:lang w:eastAsia="zh-CN" w:bidi="ar"/>
        </w:rPr>
        <w:t>因</w:t>
      </w:r>
      <w:r>
        <w:rPr>
          <w:rFonts w:hint="eastAsia" w:ascii="宋体" w:hAnsi="宋体" w:eastAsia="宋体" w:cs="宋体"/>
          <w:color w:val="auto"/>
          <w:kern w:val="0"/>
          <w:sz w:val="22"/>
          <w:szCs w:val="22"/>
          <w:lang w:val="en-US" w:eastAsia="zh-CN" w:bidi="ar"/>
        </w:rPr>
        <w:t>提供本服务项目所采集的所有数据归采购人所有。</w:t>
      </w:r>
    </w:p>
    <w:p w14:paraId="078505D7">
      <w:pPr>
        <w:pStyle w:val="2"/>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宋体" w:hAnsi="宋体" w:eastAsia="宋体" w:cs="宋体"/>
          <w:b w:val="0"/>
          <w:bCs w:val="0"/>
          <w:color w:val="auto"/>
          <w:kern w:val="0"/>
          <w:sz w:val="22"/>
          <w:szCs w:val="22"/>
          <w:lang w:val="en-US" w:eastAsia="zh-CN" w:bidi="ar"/>
        </w:rPr>
      </w:pPr>
      <w:r>
        <w:rPr>
          <w:rFonts w:hint="eastAsia" w:ascii="宋体" w:hAnsi="宋体" w:eastAsia="宋体" w:cs="宋体"/>
          <w:b w:val="0"/>
          <w:bCs w:val="0"/>
          <w:color w:val="auto"/>
          <w:kern w:val="0"/>
          <w:sz w:val="22"/>
          <w:szCs w:val="22"/>
          <w:lang w:val="en-US" w:eastAsia="zh-CN" w:bidi="ar"/>
        </w:rPr>
        <w:t>4.本服务项目合同周期结束后，采购人有权继续无偿使用中标人因提供本服务项目所运营和维护的药品采购交易信息化系统。</w:t>
      </w:r>
    </w:p>
    <w:p w14:paraId="202BD441">
      <w:pPr>
        <w:pStyle w:val="2"/>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宋体" w:hAnsi="宋体" w:eastAsia="宋体" w:cs="宋体"/>
          <w:b w:val="0"/>
          <w:bCs w:val="0"/>
          <w:color w:val="auto"/>
          <w:kern w:val="0"/>
          <w:sz w:val="22"/>
          <w:szCs w:val="22"/>
          <w:lang w:val="en-US" w:eastAsia="zh-CN" w:bidi="ar"/>
        </w:rPr>
      </w:pPr>
      <w:r>
        <w:rPr>
          <w:rFonts w:hint="eastAsia" w:ascii="宋体" w:hAnsi="宋体" w:eastAsia="宋体" w:cs="宋体"/>
          <w:b w:val="0"/>
          <w:bCs w:val="0"/>
          <w:color w:val="auto"/>
          <w:kern w:val="0"/>
          <w:sz w:val="22"/>
          <w:szCs w:val="22"/>
          <w:lang w:val="en-US" w:eastAsia="zh-CN" w:bidi="ar"/>
        </w:rPr>
        <w:t>5.为保证信息系统及数据安全，中标人须在每个合同周期开始后30个工作日内以及最后1个合同周期结束前30个工作日内，无条件提供以下材料：</w:t>
      </w:r>
    </w:p>
    <w:p w14:paraId="1B10A34F">
      <w:pPr>
        <w:pStyle w:val="2"/>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宋体" w:hAnsi="宋体" w:eastAsia="宋体" w:cs="宋体"/>
          <w:b w:val="0"/>
          <w:bCs w:val="0"/>
          <w:color w:val="auto"/>
          <w:kern w:val="0"/>
          <w:sz w:val="22"/>
          <w:szCs w:val="22"/>
          <w:lang w:val="en-US" w:eastAsia="zh-CN" w:bidi="ar"/>
        </w:rPr>
      </w:pPr>
      <w:r>
        <w:rPr>
          <w:rFonts w:hint="eastAsia" w:ascii="宋体" w:hAnsi="宋体" w:eastAsia="宋体" w:cs="宋体"/>
          <w:b w:val="0"/>
          <w:bCs w:val="0"/>
          <w:color w:val="auto"/>
          <w:kern w:val="0"/>
          <w:sz w:val="22"/>
          <w:szCs w:val="22"/>
          <w:lang w:val="en-US" w:eastAsia="zh-CN" w:bidi="ar"/>
        </w:rPr>
        <w:t>(1) 药品采购交易信息化系统的完整、最新版本源代码（含注释及版本说明）；</w:t>
      </w:r>
    </w:p>
    <w:p w14:paraId="28E3DE2E">
      <w:pPr>
        <w:pStyle w:val="2"/>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宋体" w:hAnsi="宋体" w:eastAsia="宋体" w:cs="宋体"/>
          <w:b w:val="0"/>
          <w:bCs w:val="0"/>
          <w:color w:val="auto"/>
          <w:kern w:val="0"/>
          <w:sz w:val="22"/>
          <w:szCs w:val="22"/>
          <w:lang w:val="en-US" w:eastAsia="zh-CN" w:bidi="ar"/>
        </w:rPr>
      </w:pPr>
      <w:r>
        <w:rPr>
          <w:rFonts w:hint="eastAsia" w:ascii="宋体" w:hAnsi="宋体" w:eastAsia="宋体" w:cs="宋体"/>
          <w:b w:val="0"/>
          <w:bCs w:val="0"/>
          <w:color w:val="auto"/>
          <w:kern w:val="0"/>
          <w:sz w:val="22"/>
          <w:szCs w:val="22"/>
          <w:lang w:val="en-US" w:eastAsia="zh-CN" w:bidi="ar"/>
        </w:rPr>
        <w:t>(2) 系统配置文档（包括但不限于部署指南、数据库结构说明、接口规范）；</w:t>
      </w:r>
    </w:p>
    <w:p w14:paraId="16B6B128">
      <w:pPr>
        <w:pStyle w:val="2"/>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宋体" w:hAnsi="宋体" w:eastAsia="宋体" w:cs="宋体"/>
          <w:b w:val="0"/>
          <w:bCs w:val="0"/>
          <w:color w:val="auto"/>
          <w:sz w:val="22"/>
          <w:szCs w:val="22"/>
          <w:lang w:val="en-US" w:eastAsia="zh-CN"/>
        </w:rPr>
      </w:pPr>
      <w:r>
        <w:rPr>
          <w:rFonts w:hint="eastAsia" w:ascii="宋体" w:hAnsi="宋体" w:eastAsia="宋体" w:cs="宋体"/>
          <w:b w:val="0"/>
          <w:bCs w:val="0"/>
          <w:color w:val="auto"/>
          <w:kern w:val="0"/>
          <w:sz w:val="22"/>
          <w:szCs w:val="22"/>
          <w:lang w:val="en-US" w:eastAsia="zh-CN" w:bidi="ar"/>
        </w:rPr>
        <w:t>(3) 第三方组件清单及授权文件（如涉及开源软件需明确许可协议），并附签署的《源代码完整性承诺书》。</w:t>
      </w:r>
    </w:p>
    <w:p w14:paraId="58597263">
      <w:pPr>
        <w:keepNext w:val="0"/>
        <w:keepLines w:val="0"/>
        <w:pageBreakBefore w:val="0"/>
        <w:widowControl/>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eastAsia="zh-CN"/>
        </w:rPr>
        <w:t>（六）</w:t>
      </w:r>
      <w:r>
        <w:rPr>
          <w:rFonts w:hint="eastAsia" w:ascii="宋体" w:hAnsi="宋体" w:eastAsia="宋体" w:cs="宋体"/>
          <w:color w:val="auto"/>
          <w:sz w:val="22"/>
          <w:szCs w:val="22"/>
        </w:rPr>
        <w:t>保密要求</w:t>
      </w:r>
    </w:p>
    <w:p w14:paraId="7142F133">
      <w:pPr>
        <w:keepNext w:val="0"/>
        <w:keepLines w:val="0"/>
        <w:pageBreakBefore w:val="0"/>
        <w:widowControl/>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1.</w:t>
      </w:r>
      <w:r>
        <w:rPr>
          <w:rFonts w:hint="eastAsia" w:ascii="宋体" w:hAnsi="宋体" w:eastAsia="宋体" w:cs="宋体"/>
          <w:color w:val="auto"/>
          <w:sz w:val="22"/>
          <w:szCs w:val="22"/>
        </w:rPr>
        <w:t>中标人</w:t>
      </w:r>
      <w:r>
        <w:rPr>
          <w:rFonts w:hint="eastAsia" w:ascii="宋体" w:hAnsi="宋体" w:eastAsia="宋体" w:cs="宋体"/>
          <w:color w:val="auto"/>
          <w:sz w:val="22"/>
          <w:szCs w:val="22"/>
          <w:lang w:eastAsia="zh-CN"/>
        </w:rPr>
        <w:t>因</w:t>
      </w:r>
      <w:r>
        <w:rPr>
          <w:rFonts w:hint="eastAsia" w:ascii="宋体" w:hAnsi="宋体" w:eastAsia="宋体" w:cs="宋体"/>
          <w:color w:val="auto"/>
          <w:sz w:val="22"/>
          <w:szCs w:val="22"/>
        </w:rPr>
        <w:t>履行</w:t>
      </w:r>
      <w:r>
        <w:rPr>
          <w:rFonts w:hint="eastAsia" w:ascii="宋体" w:hAnsi="宋体" w:eastAsia="宋体" w:cs="宋体"/>
          <w:color w:val="auto"/>
          <w:sz w:val="22"/>
          <w:szCs w:val="22"/>
          <w:lang w:eastAsia="zh-CN"/>
        </w:rPr>
        <w:t>本服务项目</w:t>
      </w:r>
      <w:r>
        <w:rPr>
          <w:rFonts w:hint="eastAsia" w:ascii="宋体" w:hAnsi="宋体" w:eastAsia="宋体" w:cs="宋体"/>
          <w:color w:val="auto"/>
          <w:kern w:val="2"/>
          <w:sz w:val="22"/>
          <w:szCs w:val="22"/>
          <w:lang w:val="en-US" w:eastAsia="zh-CN" w:bidi="ar"/>
        </w:rPr>
        <w:t>所获得或接触到任何资料、信息，未经采购人同意，不得向第三方透露</w:t>
      </w:r>
      <w:r>
        <w:rPr>
          <w:rFonts w:hint="eastAsia" w:ascii="宋体" w:hAnsi="宋体" w:eastAsia="宋体" w:cs="宋体"/>
          <w:color w:val="auto"/>
          <w:sz w:val="22"/>
          <w:szCs w:val="22"/>
        </w:rPr>
        <w:t>，否则视为违约，违约金为中标金额的30%，且采购人有权解除合同并追究中标人的其他法律责任。</w:t>
      </w:r>
    </w:p>
    <w:p w14:paraId="7E69B3B5">
      <w:pPr>
        <w:keepNext w:val="0"/>
        <w:keepLines w:val="0"/>
        <w:pageBreakBefore w:val="0"/>
        <w:widowControl/>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val="en-US" w:eastAsia="zh-CN"/>
        </w:rPr>
        <w:t>2.</w:t>
      </w:r>
      <w:r>
        <w:rPr>
          <w:rFonts w:hint="eastAsia" w:ascii="宋体" w:hAnsi="宋体" w:eastAsia="宋体" w:cs="宋体"/>
          <w:color w:val="auto"/>
          <w:sz w:val="22"/>
          <w:szCs w:val="22"/>
          <w:lang w:eastAsia="zh-CN"/>
        </w:rPr>
        <w:t>中标人实施本服务项目的一切程序都应符合国家安全、保密的有关规定和标准。</w:t>
      </w:r>
    </w:p>
    <w:p w14:paraId="22AEC54B">
      <w:pPr>
        <w:keepNext w:val="0"/>
        <w:keepLines w:val="0"/>
        <w:pageBreakBefore w:val="0"/>
        <w:widowControl/>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color w:val="auto"/>
          <w:sz w:val="22"/>
          <w:szCs w:val="22"/>
          <w:lang w:eastAsia="zh-CN" w:bidi="ar"/>
        </w:rPr>
      </w:pPr>
      <w:r>
        <w:rPr>
          <w:rFonts w:hint="eastAsia" w:ascii="宋体" w:hAnsi="宋体" w:eastAsia="宋体" w:cs="宋体"/>
          <w:color w:val="auto"/>
          <w:sz w:val="22"/>
          <w:szCs w:val="22"/>
          <w:lang w:val="en-US" w:eastAsia="zh-CN" w:bidi="ar"/>
        </w:rPr>
        <w:t>3.</w:t>
      </w:r>
      <w:r>
        <w:rPr>
          <w:rFonts w:hint="eastAsia" w:ascii="宋体" w:hAnsi="宋体" w:eastAsia="宋体" w:cs="宋体"/>
          <w:color w:val="auto"/>
          <w:sz w:val="22"/>
          <w:szCs w:val="22"/>
          <w:lang w:eastAsia="zh-CN" w:bidi="ar"/>
        </w:rPr>
        <w:t>本服务项目要求中标人安全保密制度按照国家、省的有关法规文件规定，履行保密责任，中标人须与采购人签订保密承诺函。具体以合同约定为准。</w:t>
      </w:r>
    </w:p>
    <w:p w14:paraId="64C76834">
      <w:pPr>
        <w:pStyle w:val="19"/>
        <w:keepNext w:val="0"/>
        <w:keepLines w:val="0"/>
        <w:pageBreakBefore w:val="0"/>
        <w:widowControl/>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★（七）相关承诺要求</w:t>
      </w:r>
    </w:p>
    <w:p w14:paraId="4B467573">
      <w:pPr>
        <w:pStyle w:val="19"/>
        <w:keepNext w:val="0"/>
        <w:keepLines w:val="0"/>
        <w:pageBreakBefore w:val="0"/>
        <w:widowControl/>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val="en-US" w:eastAsia="zh-CN"/>
        </w:rPr>
        <w:t>1.</w:t>
      </w:r>
      <w:r>
        <w:rPr>
          <w:rFonts w:hint="eastAsia" w:ascii="宋体" w:hAnsi="宋体" w:eastAsia="宋体" w:cs="宋体"/>
          <w:color w:val="auto"/>
          <w:sz w:val="22"/>
          <w:szCs w:val="22"/>
          <w:lang w:eastAsia="zh-CN"/>
        </w:rPr>
        <w:t>驻场人数、专业、职称等情况不低于采购人最低要求。</w:t>
      </w:r>
    </w:p>
    <w:p w14:paraId="3EFEF729">
      <w:pPr>
        <w:pStyle w:val="19"/>
        <w:keepNext w:val="0"/>
        <w:keepLines w:val="0"/>
        <w:pageBreakBefore w:val="0"/>
        <w:widowControl/>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val="en-US" w:eastAsia="zh-CN"/>
        </w:rPr>
        <w:t>2.</w:t>
      </w:r>
      <w:r>
        <w:rPr>
          <w:rFonts w:hint="eastAsia" w:ascii="宋体" w:hAnsi="宋体" w:eastAsia="宋体" w:cs="宋体"/>
          <w:color w:val="auto"/>
          <w:sz w:val="22"/>
          <w:szCs w:val="22"/>
          <w:lang w:eastAsia="zh-CN"/>
        </w:rPr>
        <w:t>驻场时间承诺：工作日期间驻场时间与采购人工作时间一致，特殊情况下按照采购人要求在节假日期间也驻场。</w:t>
      </w:r>
    </w:p>
    <w:p w14:paraId="6A594D2B">
      <w:pPr>
        <w:pStyle w:val="19"/>
        <w:keepNext w:val="0"/>
        <w:keepLines w:val="0"/>
        <w:pageBreakBefore w:val="0"/>
        <w:widowControl/>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val="en-US" w:eastAsia="zh-CN"/>
        </w:rPr>
        <w:t>3.</w:t>
      </w:r>
      <w:r>
        <w:rPr>
          <w:rFonts w:hint="eastAsia" w:ascii="宋体" w:hAnsi="宋体" w:eastAsia="宋体" w:cs="宋体"/>
          <w:color w:val="auto"/>
          <w:sz w:val="22"/>
          <w:szCs w:val="22"/>
          <w:lang w:eastAsia="zh-CN"/>
        </w:rPr>
        <w:t>承诺维保服务质量达到实施方案要求。</w:t>
      </w:r>
    </w:p>
    <w:p w14:paraId="7E623AD1">
      <w:pPr>
        <w:pStyle w:val="19"/>
        <w:keepNext w:val="0"/>
        <w:keepLines w:val="0"/>
        <w:pageBreakBefore w:val="0"/>
        <w:widowControl/>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val="en-US" w:eastAsia="zh-CN"/>
        </w:rPr>
        <w:t>4.</w:t>
      </w:r>
      <w:r>
        <w:rPr>
          <w:rFonts w:hint="eastAsia" w:ascii="宋体" w:hAnsi="宋体" w:eastAsia="宋体" w:cs="宋体"/>
          <w:color w:val="auto"/>
          <w:sz w:val="22"/>
          <w:szCs w:val="22"/>
          <w:lang w:eastAsia="zh-CN"/>
        </w:rPr>
        <w:t>投标人收到中标通知书后，须在15个工作日内与原深圳药品交易系统完成系统交接（交接标准：包括原系统的现有满足采购人需求的功能以及历史数据）。因特殊原因无法在15个工作日内完成系统交接的，应在期满前5日内向采购人报备并提出解决方案及相应期限，否则视为中标人放弃中标资格。中标人正式进驻后须保证平台系统正常运行，不得影响药品采购各方正常使用。</w:t>
      </w:r>
    </w:p>
    <w:p w14:paraId="0991FF39">
      <w:pPr>
        <w:pStyle w:val="19"/>
        <w:keepNext w:val="0"/>
        <w:keepLines w:val="0"/>
        <w:pageBreakBefore w:val="0"/>
        <w:widowControl/>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val="en-US" w:eastAsia="zh-CN"/>
        </w:rPr>
        <w:t>5.</w:t>
      </w:r>
      <w:r>
        <w:rPr>
          <w:rFonts w:hint="eastAsia" w:ascii="宋体" w:hAnsi="宋体" w:eastAsia="宋体" w:cs="宋体"/>
          <w:color w:val="auto"/>
          <w:sz w:val="22"/>
          <w:szCs w:val="22"/>
          <w:lang w:eastAsia="zh-CN"/>
        </w:rPr>
        <w:t>未在</w:t>
      </w:r>
      <w:r>
        <w:rPr>
          <w:rFonts w:hint="eastAsia" w:ascii="宋体" w:hAnsi="宋体" w:eastAsia="宋体" w:cs="宋体"/>
          <w:color w:val="auto"/>
          <w:sz w:val="22"/>
          <w:szCs w:val="22"/>
          <w:highlight w:val="none"/>
          <w:lang w:eastAsia="zh-CN"/>
        </w:rPr>
        <w:t>相应期</w:t>
      </w:r>
      <w:r>
        <w:rPr>
          <w:rFonts w:hint="eastAsia" w:ascii="宋体" w:hAnsi="宋体" w:eastAsia="宋体" w:cs="宋体"/>
          <w:color w:val="auto"/>
          <w:sz w:val="22"/>
          <w:szCs w:val="22"/>
          <w:lang w:eastAsia="zh-CN"/>
        </w:rPr>
        <w:t>限内完成相关工作，按合同总额10%支付违约金。</w:t>
      </w:r>
    </w:p>
    <w:p w14:paraId="7D92C83D">
      <w:pPr>
        <w:pStyle w:val="19"/>
        <w:keepNext w:val="0"/>
        <w:keepLines w:val="0"/>
        <w:pageBreakBefore w:val="0"/>
        <w:widowControl/>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★（八）违约责任</w:t>
      </w:r>
    </w:p>
    <w:p w14:paraId="7103F06B">
      <w:pPr>
        <w:pStyle w:val="19"/>
        <w:keepNext w:val="0"/>
        <w:keepLines w:val="0"/>
        <w:pageBreakBefore w:val="0"/>
        <w:widowControl/>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中标人违反本采购需求和合同约定的，应在采购人规定的时间内整改，每违约一次，则向采购人支付合同金额的万分之一作为违约金，如果一年内违约次数达3次以上的，采购人有权单方解除合同，并追究中标人因违约行为给采购人造成的损失。</w:t>
      </w:r>
    </w:p>
    <w:p w14:paraId="630DF82D">
      <w:pPr>
        <w:pStyle w:val="19"/>
        <w:keepNext w:val="0"/>
        <w:keepLines w:val="0"/>
        <w:pageBreakBefore w:val="0"/>
        <w:widowControl/>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val="en-US" w:eastAsia="zh-CN"/>
        </w:rPr>
        <w:t>（九）</w:t>
      </w:r>
      <w:r>
        <w:rPr>
          <w:rFonts w:hint="eastAsia" w:ascii="宋体" w:hAnsi="宋体" w:eastAsia="宋体" w:cs="宋体"/>
          <w:color w:val="auto"/>
          <w:sz w:val="22"/>
          <w:szCs w:val="22"/>
          <w:lang w:eastAsia="zh-CN"/>
        </w:rPr>
        <w:t xml:space="preserve">争议解决 </w:t>
      </w:r>
    </w:p>
    <w:p w14:paraId="19DBAEBA">
      <w:pPr>
        <w:pStyle w:val="19"/>
        <w:keepNext w:val="0"/>
        <w:keepLines w:val="0"/>
        <w:pageBreakBefore w:val="0"/>
        <w:widowControl/>
        <w:tabs>
          <w:tab w:val="left" w:pos="0"/>
          <w:tab w:val="left" w:pos="993"/>
          <w:tab w:val="left" w:pos="1134"/>
        </w:tabs>
        <w:kinsoku/>
        <w:wordWrap/>
        <w:overflowPunct/>
        <w:topLinePunct w:val="0"/>
        <w:autoSpaceDE/>
        <w:autoSpaceDN/>
        <w:bidi w:val="0"/>
        <w:adjustRightInd/>
        <w:snapToGrid/>
        <w:spacing w:after="0" w:line="360" w:lineRule="auto"/>
        <w:ind w:left="0" w:leftChars="0" w:firstLine="440" w:firstLineChars="200"/>
        <w:jc w:val="both"/>
        <w:textAlignment w:val="auto"/>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采购人和投标人因合同履行发生争议，应当友好协商解决；如协商不成，任何一方均有权将争议向采购人所在地有管辖权的人民法院起诉。</w:t>
      </w:r>
    </w:p>
    <w:p w14:paraId="7CCC8344">
      <w:pPr>
        <w:pStyle w:val="5"/>
        <w:spacing w:before="120" w:beforeLines="50" w:after="120" w:afterLines="50"/>
        <w:rPr>
          <w:rFonts w:hint="eastAsia" w:eastAsia="宋体"/>
          <w:sz w:val="28"/>
          <w:szCs w:val="28"/>
        </w:rPr>
      </w:pPr>
      <w:r>
        <w:rPr>
          <w:rFonts w:hint="eastAsia" w:eastAsia="宋体"/>
          <w:sz w:val="28"/>
          <w:szCs w:val="28"/>
          <w:lang w:eastAsia="zh-CN"/>
        </w:rPr>
        <w:t>六</w:t>
      </w:r>
      <w:r>
        <w:rPr>
          <w:rFonts w:hint="eastAsia" w:eastAsia="宋体"/>
          <w:sz w:val="28"/>
          <w:szCs w:val="28"/>
        </w:rPr>
        <w:t>、演示要求</w:t>
      </w:r>
    </w:p>
    <w:p w14:paraId="338C498C">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（一）总体要求：</w:t>
      </w:r>
    </w:p>
    <w:p w14:paraId="5A090D55">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供应商授权委托人应在本项目开标当日解密时间结束前到签到地点（深圳市罗湖区太宁路2号百仕达大厦27B），</w:t>
      </w:r>
      <w:r>
        <w:rPr>
          <w:rFonts w:hint="eastAsia" w:ascii="宋体" w:hAnsi="宋体" w:eastAsia="宋体" w:cs="宋体"/>
          <w:bCs/>
          <w:sz w:val="22"/>
          <w:szCs w:val="22"/>
          <w:highlight w:val="none"/>
        </w:rPr>
        <w:t>按现场工作人员指引</w:t>
      </w:r>
      <w:r>
        <w:rPr>
          <w:rFonts w:hint="eastAsia" w:ascii="宋体" w:hAnsi="宋体" w:eastAsia="宋体" w:cs="宋体"/>
          <w:sz w:val="22"/>
          <w:szCs w:val="22"/>
          <w:highlight w:val="none"/>
        </w:rPr>
        <w:t>填写《演示签到表》。</w:t>
      </w:r>
    </w:p>
    <w:p w14:paraId="7D59B8B9">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现场演示地点提供</w:t>
      </w:r>
      <w:r>
        <w:rPr>
          <w:rFonts w:hint="eastAsia" w:ascii="宋体" w:hAnsi="宋体" w:eastAsia="宋体" w:cs="宋体"/>
          <w:bCs/>
          <w:sz w:val="22"/>
          <w:szCs w:val="22"/>
          <w:highlight w:val="none"/>
        </w:rPr>
        <w:t>电源、带VGA接口的液晶显示器及宽带上网环境（无WIFI环境）</w:t>
      </w:r>
      <w:r>
        <w:rPr>
          <w:rFonts w:hint="eastAsia" w:ascii="宋体" w:hAnsi="宋体" w:eastAsia="宋体" w:cs="宋体"/>
          <w:sz w:val="22"/>
          <w:szCs w:val="22"/>
          <w:highlight w:val="none"/>
        </w:rPr>
        <w:t>，由投标（谈判）供应商授权委托人自带</w:t>
      </w:r>
      <w:r>
        <w:rPr>
          <w:rFonts w:hint="eastAsia" w:ascii="宋体" w:hAnsi="宋体" w:eastAsia="宋体" w:cs="宋体"/>
          <w:bCs/>
          <w:sz w:val="22"/>
          <w:szCs w:val="22"/>
          <w:highlight w:val="none"/>
        </w:rPr>
        <w:t>手提电脑、U盘等能完成方案讲解的便携设备（具体以自身实际需要为准）</w:t>
      </w:r>
      <w:r>
        <w:rPr>
          <w:rFonts w:hint="eastAsia" w:ascii="宋体" w:hAnsi="宋体" w:eastAsia="宋体" w:cs="宋体"/>
          <w:sz w:val="22"/>
          <w:szCs w:val="22"/>
          <w:highlight w:val="none"/>
        </w:rPr>
        <w:t>进行现场演示。由于场地有限，建议不携带过大设备。</w:t>
      </w:r>
    </w:p>
    <w:p w14:paraId="2679F144">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每个投标（谈判）供应商演示时间不超过</w:t>
      </w:r>
      <w:r>
        <w:rPr>
          <w:rFonts w:hint="eastAsia" w:ascii="宋体" w:hAnsi="宋体" w:eastAsia="宋体" w:cs="宋体"/>
          <w:sz w:val="22"/>
          <w:szCs w:val="22"/>
          <w:highlight w:val="none"/>
          <w:lang w:val="en-US" w:eastAsia="zh-CN"/>
        </w:rPr>
        <w:t>30</w:t>
      </w:r>
      <w:r>
        <w:rPr>
          <w:rFonts w:hint="eastAsia" w:ascii="宋体" w:hAnsi="宋体" w:eastAsia="宋体" w:cs="宋体"/>
          <w:sz w:val="22"/>
          <w:szCs w:val="22"/>
          <w:highlight w:val="none"/>
        </w:rPr>
        <w:t>分钟（期间评委可能会进行提问，并有权酌情延长时间）。演示人员不得超过</w:t>
      </w:r>
      <w:r>
        <w:rPr>
          <w:rFonts w:hint="eastAsia" w:ascii="宋体" w:hAnsi="宋体" w:eastAsia="宋体" w:cs="宋体"/>
          <w:bCs/>
          <w:sz w:val="22"/>
          <w:szCs w:val="22"/>
          <w:highlight w:val="none"/>
        </w:rPr>
        <w:t>2</w:t>
      </w:r>
      <w:r>
        <w:rPr>
          <w:rFonts w:hint="eastAsia" w:ascii="宋体" w:hAnsi="宋体" w:eastAsia="宋体" w:cs="宋体"/>
          <w:sz w:val="22"/>
          <w:szCs w:val="22"/>
          <w:highlight w:val="none"/>
        </w:rPr>
        <w:t>人。</w:t>
      </w:r>
    </w:p>
    <w:p w14:paraId="42B8AF3B">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（二）具体程序：</w:t>
      </w:r>
    </w:p>
    <w:p w14:paraId="55077AA3">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宋体" w:hAnsi="宋体" w:eastAsia="宋体" w:cs="宋体"/>
          <w:bCs/>
          <w:sz w:val="22"/>
          <w:szCs w:val="22"/>
          <w:highlight w:val="none"/>
        </w:rPr>
      </w:pPr>
      <w:r>
        <w:rPr>
          <w:rFonts w:hint="eastAsia" w:ascii="宋体" w:hAnsi="宋体" w:eastAsia="宋体" w:cs="宋体"/>
          <w:sz w:val="22"/>
          <w:szCs w:val="22"/>
          <w:highlight w:val="none"/>
        </w:rPr>
        <w:t>1、供应商授权委托人</w:t>
      </w:r>
      <w:r>
        <w:rPr>
          <w:rFonts w:hint="eastAsia" w:ascii="宋体" w:hAnsi="宋体" w:eastAsia="宋体" w:cs="宋体"/>
          <w:bCs/>
          <w:sz w:val="22"/>
          <w:szCs w:val="22"/>
          <w:highlight w:val="none"/>
        </w:rPr>
        <w:t>需在演示签到截止时间前，提供法定代表人（负责人）演示授权委托书（加盖公章）、授权委托人身份证（港澳台居民可提供来往通行证；非中国国籍管辖范围人员，可提供公安部门认可的身份证明材料，下同）原件，到深圳市东海国际招标有限公司</w:t>
      </w:r>
      <w:r>
        <w:rPr>
          <w:rFonts w:hint="eastAsia" w:ascii="宋体" w:hAnsi="宋体" w:eastAsia="宋体" w:cs="宋体"/>
          <w:sz w:val="22"/>
          <w:szCs w:val="22"/>
          <w:highlight w:val="none"/>
        </w:rPr>
        <w:t>指定签到地点</w:t>
      </w:r>
      <w:r>
        <w:rPr>
          <w:rFonts w:hint="eastAsia" w:ascii="宋体" w:hAnsi="宋体" w:eastAsia="宋体" w:cs="宋体"/>
          <w:bCs/>
          <w:sz w:val="22"/>
          <w:szCs w:val="22"/>
          <w:highlight w:val="none"/>
        </w:rPr>
        <w:t>按现场工作人员指引填写《演示签到表》。（演示授权委托书模板详见附件）</w:t>
      </w:r>
    </w:p>
    <w:p w14:paraId="6D741B95">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宋体" w:hAnsi="宋体" w:eastAsia="宋体" w:cs="宋体"/>
          <w:bCs/>
          <w:sz w:val="22"/>
          <w:szCs w:val="22"/>
          <w:highlight w:val="none"/>
        </w:rPr>
      </w:pPr>
      <w:r>
        <w:rPr>
          <w:rFonts w:hint="eastAsia" w:ascii="宋体" w:hAnsi="宋体" w:eastAsia="宋体" w:cs="宋体"/>
          <w:bCs/>
          <w:sz w:val="22"/>
          <w:szCs w:val="22"/>
          <w:highlight w:val="none"/>
        </w:rPr>
        <w:t>特别注意事项：（1）资料不符合要求，不予签到；（2）规定的截止时间后，不再受理签到；（3）未进行签到的人员，不能参与现场演示</w:t>
      </w:r>
    </w:p>
    <w:p w14:paraId="5E769242">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宋体" w:hAnsi="宋体" w:eastAsia="宋体" w:cs="宋体"/>
          <w:kern w:val="0"/>
          <w:sz w:val="22"/>
          <w:szCs w:val="22"/>
          <w:highlight w:val="none"/>
        </w:rPr>
      </w:pPr>
      <w:r>
        <w:rPr>
          <w:rFonts w:hint="eastAsia" w:ascii="宋体" w:hAnsi="宋体" w:eastAsia="宋体" w:cs="宋体"/>
          <w:sz w:val="22"/>
          <w:szCs w:val="22"/>
          <w:highlight w:val="none"/>
        </w:rPr>
        <w:t>2、初审合格的供应商应按评委要求进行演示</w:t>
      </w:r>
      <w:r>
        <w:rPr>
          <w:rFonts w:hint="eastAsia" w:ascii="宋体" w:hAnsi="宋体" w:eastAsia="宋体" w:cs="宋体"/>
          <w:kern w:val="0"/>
          <w:sz w:val="22"/>
          <w:szCs w:val="22"/>
          <w:highlight w:val="none"/>
        </w:rPr>
        <w:t>。</w:t>
      </w:r>
      <w:r>
        <w:rPr>
          <w:rFonts w:hint="eastAsia" w:ascii="宋体" w:hAnsi="宋体" w:eastAsia="宋体" w:cs="宋体"/>
          <w:bCs/>
          <w:sz w:val="22"/>
          <w:szCs w:val="22"/>
          <w:highlight w:val="none"/>
        </w:rPr>
        <w:t>演示</w:t>
      </w:r>
      <w:r>
        <w:rPr>
          <w:rFonts w:hint="eastAsia" w:ascii="宋体" w:hAnsi="宋体" w:eastAsia="宋体" w:cs="宋体"/>
          <w:kern w:val="0"/>
          <w:sz w:val="22"/>
          <w:szCs w:val="22"/>
          <w:highlight w:val="none"/>
        </w:rPr>
        <w:t>正式开始前将进行身份核对；核对内容为</w:t>
      </w:r>
      <w:r>
        <w:rPr>
          <w:rFonts w:hint="eastAsia" w:ascii="宋体" w:hAnsi="宋体" w:eastAsia="宋体" w:cs="宋体"/>
          <w:bCs/>
          <w:sz w:val="22"/>
          <w:szCs w:val="22"/>
          <w:highlight w:val="none"/>
        </w:rPr>
        <w:t>演示</w:t>
      </w:r>
      <w:r>
        <w:rPr>
          <w:rFonts w:hint="eastAsia" w:ascii="宋体" w:hAnsi="宋体" w:eastAsia="宋体" w:cs="宋体"/>
          <w:kern w:val="0"/>
          <w:sz w:val="22"/>
          <w:szCs w:val="22"/>
          <w:highlight w:val="none"/>
        </w:rPr>
        <w:t>人员提供的“</w:t>
      </w:r>
      <w:r>
        <w:rPr>
          <w:rFonts w:hint="eastAsia" w:ascii="宋体" w:hAnsi="宋体" w:eastAsia="宋体" w:cs="宋体"/>
          <w:bCs/>
          <w:sz w:val="22"/>
          <w:szCs w:val="22"/>
          <w:highlight w:val="none"/>
        </w:rPr>
        <w:t>法定代表人（负责人）授权委托书（加盖公章）、授权委托人身份证原件</w:t>
      </w:r>
      <w:r>
        <w:rPr>
          <w:rFonts w:hint="eastAsia" w:ascii="宋体" w:hAnsi="宋体" w:eastAsia="宋体" w:cs="宋体"/>
          <w:sz w:val="22"/>
          <w:szCs w:val="22"/>
          <w:highlight w:val="none"/>
        </w:rPr>
        <w:t>和复印件</w:t>
      </w:r>
      <w:r>
        <w:rPr>
          <w:rFonts w:hint="eastAsia" w:ascii="宋体" w:hAnsi="宋体" w:eastAsia="宋体" w:cs="宋体"/>
          <w:kern w:val="0"/>
          <w:sz w:val="22"/>
          <w:szCs w:val="22"/>
          <w:highlight w:val="none"/>
        </w:rPr>
        <w:t>”。资料不齐全的，不得参与</w:t>
      </w:r>
      <w:r>
        <w:rPr>
          <w:rFonts w:hint="eastAsia" w:ascii="宋体" w:hAnsi="宋体" w:eastAsia="宋体" w:cs="宋体"/>
          <w:bCs/>
          <w:sz w:val="22"/>
          <w:szCs w:val="22"/>
          <w:highlight w:val="none"/>
        </w:rPr>
        <w:t>演示</w:t>
      </w:r>
      <w:r>
        <w:rPr>
          <w:rFonts w:hint="eastAsia" w:ascii="宋体" w:hAnsi="宋体" w:eastAsia="宋体" w:cs="宋体"/>
          <w:kern w:val="0"/>
          <w:sz w:val="22"/>
          <w:szCs w:val="22"/>
          <w:highlight w:val="none"/>
        </w:rPr>
        <w:t>。</w:t>
      </w:r>
    </w:p>
    <w:p w14:paraId="7C474F0C">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（三）其它演示规则：</w:t>
      </w:r>
    </w:p>
    <w:p w14:paraId="0C16C0BA">
      <w:pPr>
        <w:pStyle w:val="8"/>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A.参加本次</w:t>
      </w:r>
      <w:r>
        <w:rPr>
          <w:rFonts w:hint="eastAsia" w:ascii="宋体" w:hAnsi="宋体" w:eastAsia="宋体" w:cs="宋体"/>
          <w:bCs/>
          <w:sz w:val="22"/>
          <w:szCs w:val="22"/>
          <w:highlight w:val="none"/>
        </w:rPr>
        <w:t>演示</w:t>
      </w:r>
      <w:r>
        <w:rPr>
          <w:rFonts w:hint="eastAsia" w:ascii="宋体" w:hAnsi="宋体" w:eastAsia="宋体" w:cs="宋体"/>
          <w:sz w:val="22"/>
          <w:szCs w:val="22"/>
          <w:highlight w:val="none"/>
        </w:rPr>
        <w:t>的各投标（谈判）供应商，均认为本次</w:t>
      </w:r>
      <w:r>
        <w:rPr>
          <w:rFonts w:hint="eastAsia" w:ascii="宋体" w:hAnsi="宋体" w:eastAsia="宋体" w:cs="宋体"/>
          <w:bCs/>
          <w:sz w:val="22"/>
          <w:szCs w:val="22"/>
          <w:highlight w:val="none"/>
        </w:rPr>
        <w:t>演示</w:t>
      </w:r>
      <w:r>
        <w:rPr>
          <w:rFonts w:hint="eastAsia" w:ascii="宋体" w:hAnsi="宋体" w:eastAsia="宋体" w:cs="宋体"/>
          <w:sz w:val="22"/>
          <w:szCs w:val="22"/>
          <w:highlight w:val="none"/>
        </w:rPr>
        <w:t>的程序和环境能够满足</w:t>
      </w:r>
      <w:r>
        <w:rPr>
          <w:rFonts w:hint="eastAsia" w:ascii="宋体" w:hAnsi="宋体" w:eastAsia="宋体" w:cs="宋体"/>
          <w:bCs/>
          <w:sz w:val="22"/>
          <w:szCs w:val="22"/>
          <w:highlight w:val="none"/>
        </w:rPr>
        <w:t>演示</w:t>
      </w:r>
      <w:r>
        <w:rPr>
          <w:rFonts w:hint="eastAsia" w:ascii="宋体" w:hAnsi="宋体" w:eastAsia="宋体" w:cs="宋体"/>
          <w:sz w:val="22"/>
          <w:szCs w:val="22"/>
          <w:highlight w:val="none"/>
        </w:rPr>
        <w:t>基本条件，并对本</w:t>
      </w:r>
      <w:r>
        <w:rPr>
          <w:rFonts w:hint="eastAsia" w:ascii="宋体" w:hAnsi="宋体" w:eastAsia="宋体" w:cs="宋体"/>
          <w:bCs/>
          <w:sz w:val="22"/>
          <w:szCs w:val="22"/>
          <w:highlight w:val="none"/>
        </w:rPr>
        <w:t>演示</w:t>
      </w:r>
      <w:r>
        <w:rPr>
          <w:rFonts w:hint="eastAsia" w:ascii="宋体" w:hAnsi="宋体" w:eastAsia="宋体" w:cs="宋体"/>
          <w:sz w:val="22"/>
          <w:szCs w:val="22"/>
          <w:highlight w:val="none"/>
        </w:rPr>
        <w:t>方案要求内的各项规定不做事后异议，且能够严格遵守相关规定。</w:t>
      </w:r>
    </w:p>
    <w:p w14:paraId="5D8F2D24">
      <w:pPr>
        <w:pStyle w:val="8"/>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B.演示在评审环节进行。演示原则上</w:t>
      </w:r>
      <w:r>
        <w:rPr>
          <w:rFonts w:hint="eastAsia" w:ascii="宋体" w:hAnsi="宋体" w:eastAsia="宋体" w:cs="宋体"/>
          <w:bCs/>
          <w:sz w:val="22"/>
          <w:szCs w:val="22"/>
          <w:highlight w:val="none"/>
        </w:rPr>
        <w:t>按签到顺序</w:t>
      </w:r>
      <w:r>
        <w:rPr>
          <w:rFonts w:hint="eastAsia" w:ascii="宋体" w:hAnsi="宋体" w:eastAsia="宋体" w:cs="宋体"/>
          <w:sz w:val="22"/>
          <w:szCs w:val="22"/>
          <w:highlight w:val="none"/>
        </w:rPr>
        <w:t>依次进行（经评委同意，可以酌情进行调整）。一个供应商一次性</w:t>
      </w:r>
      <w:r>
        <w:rPr>
          <w:rFonts w:hint="eastAsia" w:ascii="宋体" w:hAnsi="宋体" w:eastAsia="宋体" w:cs="宋体"/>
          <w:bCs/>
          <w:sz w:val="22"/>
          <w:szCs w:val="22"/>
          <w:highlight w:val="none"/>
        </w:rPr>
        <w:t>演示</w:t>
      </w:r>
      <w:r>
        <w:rPr>
          <w:rFonts w:hint="eastAsia" w:ascii="宋体" w:hAnsi="宋体" w:eastAsia="宋体" w:cs="宋体"/>
          <w:sz w:val="22"/>
          <w:szCs w:val="22"/>
          <w:highlight w:val="none"/>
        </w:rPr>
        <w:t>完毕。一个供应商在进行</w:t>
      </w:r>
      <w:r>
        <w:rPr>
          <w:rFonts w:hint="eastAsia" w:ascii="宋体" w:hAnsi="宋体" w:eastAsia="宋体" w:cs="宋体"/>
          <w:bCs/>
          <w:sz w:val="22"/>
          <w:szCs w:val="22"/>
          <w:highlight w:val="none"/>
        </w:rPr>
        <w:t>演示</w:t>
      </w:r>
      <w:r>
        <w:rPr>
          <w:rFonts w:hint="eastAsia" w:ascii="宋体" w:hAnsi="宋体" w:eastAsia="宋体" w:cs="宋体"/>
          <w:sz w:val="22"/>
          <w:szCs w:val="22"/>
          <w:highlight w:val="none"/>
        </w:rPr>
        <w:t>时，其他供应商不得进入现场。</w:t>
      </w:r>
      <w:r>
        <w:rPr>
          <w:rFonts w:hint="eastAsia" w:ascii="宋体" w:hAnsi="宋体" w:eastAsia="宋体" w:cs="宋体"/>
          <w:bCs/>
          <w:sz w:val="22"/>
          <w:szCs w:val="22"/>
          <w:highlight w:val="none"/>
        </w:rPr>
        <w:t>演示</w:t>
      </w:r>
      <w:r>
        <w:rPr>
          <w:rFonts w:hint="eastAsia" w:ascii="宋体" w:hAnsi="宋体" w:eastAsia="宋体" w:cs="宋体"/>
          <w:sz w:val="22"/>
          <w:szCs w:val="22"/>
          <w:highlight w:val="none"/>
        </w:rPr>
        <w:t>期间，评委可视情况对讲解人员进行提问。</w:t>
      </w:r>
    </w:p>
    <w:p w14:paraId="546E8EBC">
      <w:pPr>
        <w:pStyle w:val="8"/>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C.投标人对本次</w:t>
      </w:r>
      <w:r>
        <w:rPr>
          <w:rFonts w:hint="eastAsia" w:ascii="宋体" w:hAnsi="宋体" w:eastAsia="宋体" w:cs="宋体"/>
          <w:bCs/>
          <w:sz w:val="22"/>
          <w:szCs w:val="22"/>
          <w:highlight w:val="none"/>
        </w:rPr>
        <w:t>演示</w:t>
      </w:r>
      <w:r>
        <w:rPr>
          <w:rFonts w:hint="eastAsia" w:ascii="宋体" w:hAnsi="宋体" w:eastAsia="宋体" w:cs="宋体"/>
          <w:sz w:val="22"/>
          <w:szCs w:val="22"/>
          <w:highlight w:val="none"/>
        </w:rPr>
        <w:t>条件的不确定性疑虑应在开始前做书面表达，若所有疑虑不能完全消除，并认为</w:t>
      </w:r>
      <w:r>
        <w:rPr>
          <w:rFonts w:hint="eastAsia" w:ascii="宋体" w:hAnsi="宋体" w:eastAsia="宋体" w:cs="宋体"/>
          <w:bCs/>
          <w:sz w:val="22"/>
          <w:szCs w:val="22"/>
          <w:highlight w:val="none"/>
        </w:rPr>
        <w:t>演示</w:t>
      </w:r>
      <w:r>
        <w:rPr>
          <w:rFonts w:hint="eastAsia" w:ascii="宋体" w:hAnsi="宋体" w:eastAsia="宋体" w:cs="宋体"/>
          <w:sz w:val="22"/>
          <w:szCs w:val="22"/>
          <w:highlight w:val="none"/>
        </w:rPr>
        <w:t>结果仍会产生误判，则可以退出</w:t>
      </w:r>
      <w:r>
        <w:rPr>
          <w:rFonts w:hint="eastAsia" w:ascii="宋体" w:hAnsi="宋体" w:eastAsia="宋体" w:cs="宋体"/>
          <w:bCs/>
          <w:sz w:val="22"/>
          <w:szCs w:val="22"/>
          <w:highlight w:val="none"/>
        </w:rPr>
        <w:t>演示</w:t>
      </w:r>
      <w:r>
        <w:rPr>
          <w:rFonts w:hint="eastAsia" w:ascii="宋体" w:hAnsi="宋体" w:eastAsia="宋体" w:cs="宋体"/>
          <w:sz w:val="22"/>
          <w:szCs w:val="22"/>
          <w:highlight w:val="none"/>
        </w:rPr>
        <w:t>。</w:t>
      </w:r>
    </w:p>
    <w:p w14:paraId="4C5B02EF">
      <w:pPr>
        <w:pStyle w:val="8"/>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D.由于</w:t>
      </w:r>
      <w:r>
        <w:rPr>
          <w:rFonts w:hint="eastAsia" w:ascii="宋体" w:hAnsi="宋体" w:eastAsia="宋体" w:cs="宋体"/>
          <w:bCs/>
          <w:sz w:val="22"/>
          <w:szCs w:val="22"/>
          <w:highlight w:val="none"/>
        </w:rPr>
        <w:t>演示</w:t>
      </w:r>
      <w:r>
        <w:rPr>
          <w:rFonts w:hint="eastAsia" w:ascii="宋体" w:hAnsi="宋体" w:eastAsia="宋体" w:cs="宋体"/>
          <w:sz w:val="22"/>
          <w:szCs w:val="22"/>
          <w:highlight w:val="none"/>
        </w:rPr>
        <w:t>时间有限，投标人同意承担其演示结果不确定性的风险，即同意专家以方案讲解情况的判定结论。</w:t>
      </w:r>
    </w:p>
    <w:p w14:paraId="4848935A">
      <w:pPr>
        <w:pStyle w:val="8"/>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E.本次</w:t>
      </w:r>
      <w:r>
        <w:rPr>
          <w:rFonts w:hint="eastAsia" w:ascii="宋体" w:hAnsi="宋体" w:eastAsia="宋体" w:cs="宋体"/>
          <w:bCs/>
          <w:sz w:val="22"/>
          <w:szCs w:val="22"/>
          <w:highlight w:val="none"/>
        </w:rPr>
        <w:t>演示</w:t>
      </w:r>
      <w:r>
        <w:rPr>
          <w:rFonts w:hint="eastAsia" w:ascii="宋体" w:hAnsi="宋体" w:eastAsia="宋体" w:cs="宋体"/>
          <w:sz w:val="22"/>
          <w:szCs w:val="22"/>
          <w:highlight w:val="none"/>
        </w:rPr>
        <w:t>的结果，仅对本项目评审委员会（谈判小组）负责，无义务向其余各方出具方案讲解结果。</w:t>
      </w:r>
    </w:p>
    <w:p w14:paraId="30988746">
      <w:pPr>
        <w:pStyle w:val="8"/>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F.风险及费用说明：各项费用由供应商自理、风险自负。</w:t>
      </w:r>
    </w:p>
    <w:p w14:paraId="778E3B6B">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宋体" w:hAnsi="宋体" w:eastAsia="宋体" w:cs="宋体"/>
          <w:sz w:val="22"/>
          <w:szCs w:val="22"/>
          <w:highlight w:val="none"/>
          <w:lang w:eastAsia="zh-CN"/>
        </w:rPr>
      </w:pPr>
      <w:r>
        <w:rPr>
          <w:rFonts w:hint="eastAsia" w:ascii="宋体" w:hAnsi="宋体" w:eastAsia="宋体" w:cs="宋体"/>
          <w:sz w:val="22"/>
          <w:szCs w:val="22"/>
          <w:highlight w:val="none"/>
        </w:rPr>
        <w:t>（四）演示内容</w:t>
      </w:r>
      <w:r>
        <w:rPr>
          <w:rFonts w:hint="eastAsia" w:ascii="宋体" w:hAnsi="宋体" w:eastAsia="宋体" w:cs="宋体"/>
          <w:sz w:val="22"/>
          <w:szCs w:val="22"/>
          <w:highlight w:val="none"/>
          <w:lang w:eastAsia="zh-CN"/>
        </w:rPr>
        <w:t>详见评标信息中“现场演示”。</w:t>
      </w:r>
    </w:p>
    <w:p w14:paraId="53FE8986">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宋体" w:hAnsi="宋体" w:eastAsia="宋体" w:cs="宋体"/>
          <w:b/>
          <w:bCs/>
          <w:sz w:val="22"/>
          <w:szCs w:val="22"/>
          <w:highlight w:val="none"/>
        </w:rPr>
      </w:pPr>
      <w:r>
        <w:rPr>
          <w:rFonts w:hint="eastAsia" w:ascii="宋体" w:hAnsi="宋体" w:eastAsia="宋体" w:cs="宋体"/>
          <w:sz w:val="22"/>
          <w:szCs w:val="22"/>
          <w:highlight w:val="none"/>
        </w:rPr>
        <w:t>（五）附件：演示授权书</w:t>
      </w:r>
    </w:p>
    <w:p w14:paraId="7F86A818">
      <w:pPr>
        <w:jc w:val="center"/>
        <w:rPr>
          <w:rFonts w:cs="微软雅黑" w:asciiTheme="minorEastAsia" w:hAnsiTheme="minorEastAsia"/>
          <w:sz w:val="32"/>
          <w:szCs w:val="40"/>
          <w:highlight w:val="none"/>
        </w:rPr>
      </w:pPr>
      <w:r>
        <w:rPr>
          <w:rFonts w:hint="eastAsia" w:cs="微软雅黑" w:asciiTheme="minorEastAsia" w:hAnsiTheme="minorEastAsia"/>
          <w:sz w:val="32"/>
          <w:szCs w:val="40"/>
          <w:highlight w:val="none"/>
        </w:rPr>
        <w:t>演示授权委托书</w:t>
      </w:r>
    </w:p>
    <w:p w14:paraId="542B57C6">
      <w:pPr>
        <w:spacing w:line="360" w:lineRule="auto"/>
        <w:ind w:firstLine="440" w:firstLineChars="200"/>
        <w:rPr>
          <w:sz w:val="22"/>
          <w:szCs w:val="22"/>
          <w:highlight w:val="none"/>
        </w:rPr>
      </w:pPr>
      <w:r>
        <w:rPr>
          <w:rFonts w:hint="eastAsia"/>
          <w:sz w:val="22"/>
          <w:szCs w:val="22"/>
          <w:highlight w:val="none"/>
        </w:rPr>
        <w:t>本授权委托书声明：我</w:t>
      </w:r>
      <w:r>
        <w:rPr>
          <w:rFonts w:hint="eastAsia"/>
          <w:sz w:val="22"/>
          <w:szCs w:val="22"/>
          <w:highlight w:val="none"/>
          <w:u w:val="single"/>
        </w:rPr>
        <w:t xml:space="preserve">           </w:t>
      </w:r>
      <w:r>
        <w:rPr>
          <w:rFonts w:hint="eastAsia"/>
          <w:sz w:val="22"/>
          <w:szCs w:val="22"/>
          <w:highlight w:val="none"/>
        </w:rPr>
        <w:t>（姓名）系</w:t>
      </w:r>
      <w:r>
        <w:rPr>
          <w:rFonts w:hint="eastAsia"/>
          <w:sz w:val="22"/>
          <w:szCs w:val="22"/>
          <w:highlight w:val="none"/>
          <w:u w:val="single"/>
        </w:rPr>
        <w:t xml:space="preserve">             </w:t>
      </w:r>
      <w:r>
        <w:rPr>
          <w:rFonts w:hint="eastAsia"/>
          <w:sz w:val="22"/>
          <w:szCs w:val="22"/>
          <w:highlight w:val="none"/>
        </w:rPr>
        <w:t>（投标人名称）的法定代表人（负责人），现授权委托</w:t>
      </w:r>
      <w:r>
        <w:rPr>
          <w:rFonts w:hint="eastAsia"/>
          <w:sz w:val="22"/>
          <w:szCs w:val="22"/>
          <w:highlight w:val="none"/>
          <w:u w:val="single"/>
        </w:rPr>
        <w:t xml:space="preserve">            </w:t>
      </w:r>
      <w:r>
        <w:rPr>
          <w:rFonts w:hint="eastAsia"/>
          <w:sz w:val="22"/>
          <w:szCs w:val="22"/>
          <w:highlight w:val="none"/>
        </w:rPr>
        <w:t>（姓名）为我单位参与</w:t>
      </w:r>
      <w:r>
        <w:rPr>
          <w:rFonts w:hint="eastAsia"/>
          <w:sz w:val="22"/>
          <w:szCs w:val="22"/>
          <w:highlight w:val="none"/>
          <w:u w:val="single"/>
        </w:rPr>
        <w:t>（此处填写项目名称）</w:t>
      </w:r>
      <w:r>
        <w:rPr>
          <w:rFonts w:hint="eastAsia"/>
          <w:sz w:val="22"/>
          <w:szCs w:val="22"/>
          <w:highlight w:val="none"/>
        </w:rPr>
        <w:t>项目，项目编号：</w:t>
      </w:r>
      <w:r>
        <w:rPr>
          <w:sz w:val="22"/>
          <w:szCs w:val="22"/>
          <w:highlight w:val="none"/>
          <w:u w:val="single"/>
        </w:rPr>
        <w:t xml:space="preserve">   </w:t>
      </w:r>
      <w:r>
        <w:rPr>
          <w:rFonts w:hint="eastAsia"/>
          <w:sz w:val="22"/>
          <w:szCs w:val="22"/>
          <w:highlight w:val="none"/>
          <w:u w:val="single"/>
        </w:rPr>
        <w:t xml:space="preserve">      （此处填写项目编号）</w:t>
      </w:r>
      <w:r>
        <w:rPr>
          <w:rFonts w:hint="eastAsia"/>
          <w:sz w:val="22"/>
          <w:szCs w:val="22"/>
          <w:highlight w:val="none"/>
        </w:rPr>
        <w:t>演示工作的授权委托代理人，代理人全权代表我参与项目演示，演示的内容我均承认。</w:t>
      </w:r>
    </w:p>
    <w:p w14:paraId="37935B91">
      <w:pPr>
        <w:spacing w:line="360" w:lineRule="auto"/>
        <w:ind w:firstLine="420"/>
        <w:rPr>
          <w:sz w:val="22"/>
          <w:szCs w:val="22"/>
          <w:highlight w:val="none"/>
        </w:rPr>
      </w:pPr>
      <w:r>
        <w:rPr>
          <w:rFonts w:hint="eastAsia"/>
          <w:sz w:val="22"/>
          <w:szCs w:val="22"/>
          <w:highlight w:val="none"/>
        </w:rPr>
        <w:t>代理人无转委托权，特此委托。</w:t>
      </w:r>
    </w:p>
    <w:p w14:paraId="05B89D12">
      <w:pPr>
        <w:spacing w:line="360" w:lineRule="auto"/>
        <w:ind w:firstLine="420"/>
        <w:rPr>
          <w:sz w:val="22"/>
          <w:szCs w:val="22"/>
          <w:highlight w:val="none"/>
        </w:rPr>
      </w:pPr>
    </w:p>
    <w:p w14:paraId="550C7CE3">
      <w:pPr>
        <w:spacing w:line="360" w:lineRule="auto"/>
        <w:ind w:left="617" w:leftChars="257"/>
        <w:rPr>
          <w:sz w:val="22"/>
          <w:szCs w:val="22"/>
          <w:highlight w:val="none"/>
          <w:u w:val="single"/>
        </w:rPr>
      </w:pPr>
      <w:r>
        <w:rPr>
          <w:rFonts w:hint="eastAsia"/>
          <w:sz w:val="22"/>
          <w:szCs w:val="22"/>
          <w:highlight w:val="none"/>
        </w:rPr>
        <w:t>代理人：</w:t>
      </w:r>
      <w:r>
        <w:rPr>
          <w:rFonts w:hint="eastAsia"/>
          <w:sz w:val="22"/>
          <w:szCs w:val="22"/>
          <w:highlight w:val="none"/>
          <w:u w:val="single"/>
        </w:rPr>
        <w:t xml:space="preserve">             </w:t>
      </w:r>
    </w:p>
    <w:p w14:paraId="0C55C165">
      <w:pPr>
        <w:spacing w:line="360" w:lineRule="auto"/>
        <w:ind w:left="617" w:leftChars="257"/>
        <w:rPr>
          <w:sz w:val="22"/>
          <w:szCs w:val="22"/>
          <w:highlight w:val="none"/>
        </w:rPr>
      </w:pPr>
      <w:r>
        <w:rPr>
          <w:rFonts w:hint="eastAsia"/>
          <w:sz w:val="22"/>
          <w:szCs w:val="22"/>
          <w:highlight w:val="none"/>
        </w:rPr>
        <w:t>联系电话：</w:t>
      </w:r>
      <w:r>
        <w:rPr>
          <w:rFonts w:hint="eastAsia"/>
          <w:sz w:val="22"/>
          <w:szCs w:val="22"/>
          <w:highlight w:val="none"/>
          <w:u w:val="single"/>
        </w:rPr>
        <w:t xml:space="preserve">            </w:t>
      </w:r>
      <w:r>
        <w:rPr>
          <w:rFonts w:hint="eastAsia"/>
          <w:sz w:val="22"/>
          <w:szCs w:val="22"/>
          <w:highlight w:val="none"/>
        </w:rPr>
        <w:t xml:space="preserve">  手机：</w:t>
      </w:r>
      <w:r>
        <w:rPr>
          <w:rFonts w:hint="eastAsia"/>
          <w:sz w:val="22"/>
          <w:szCs w:val="22"/>
          <w:highlight w:val="none"/>
          <w:u w:val="single"/>
        </w:rPr>
        <w:t xml:space="preserve">                   </w:t>
      </w:r>
    </w:p>
    <w:p w14:paraId="4B0E7E5D">
      <w:pPr>
        <w:spacing w:line="360" w:lineRule="auto"/>
        <w:ind w:left="617" w:leftChars="257"/>
        <w:rPr>
          <w:sz w:val="22"/>
          <w:szCs w:val="22"/>
          <w:highlight w:val="none"/>
          <w:u w:val="single"/>
        </w:rPr>
      </w:pPr>
      <w:r>
        <w:rPr>
          <w:rFonts w:hint="eastAsia"/>
          <w:sz w:val="22"/>
          <w:szCs w:val="22"/>
          <w:highlight w:val="none"/>
        </w:rPr>
        <w:t>身份证号码：</w:t>
      </w:r>
      <w:r>
        <w:rPr>
          <w:rFonts w:hint="eastAsia"/>
          <w:sz w:val="22"/>
          <w:szCs w:val="22"/>
          <w:highlight w:val="none"/>
          <w:u w:val="single"/>
        </w:rPr>
        <w:t xml:space="preserve">                        </w:t>
      </w:r>
      <w:r>
        <w:rPr>
          <w:rFonts w:hint="eastAsia"/>
          <w:sz w:val="22"/>
          <w:szCs w:val="22"/>
          <w:highlight w:val="none"/>
        </w:rPr>
        <w:t>职务：</w:t>
      </w:r>
      <w:r>
        <w:rPr>
          <w:rFonts w:hint="eastAsia"/>
          <w:sz w:val="22"/>
          <w:szCs w:val="22"/>
          <w:highlight w:val="none"/>
          <w:u w:val="single"/>
        </w:rPr>
        <w:t xml:space="preserve">       </w:t>
      </w:r>
    </w:p>
    <w:p w14:paraId="2B19302F">
      <w:pPr>
        <w:spacing w:line="360" w:lineRule="auto"/>
        <w:ind w:left="617" w:leftChars="257"/>
        <w:rPr>
          <w:sz w:val="22"/>
          <w:szCs w:val="22"/>
          <w:highlight w:val="none"/>
        </w:rPr>
      </w:pPr>
      <w:r>
        <w:rPr>
          <w:rFonts w:hint="eastAsia"/>
          <w:sz w:val="22"/>
          <w:szCs w:val="22"/>
          <w:highlight w:val="none"/>
        </w:rPr>
        <w:t>授权委托日期：</w:t>
      </w:r>
      <w:r>
        <w:rPr>
          <w:rFonts w:hint="eastAsia"/>
          <w:sz w:val="22"/>
          <w:szCs w:val="22"/>
          <w:highlight w:val="none"/>
          <w:u w:val="single"/>
        </w:rPr>
        <w:t xml:space="preserve">         </w:t>
      </w:r>
      <w:r>
        <w:rPr>
          <w:rFonts w:hint="eastAsia"/>
          <w:sz w:val="22"/>
          <w:szCs w:val="22"/>
          <w:highlight w:val="none"/>
        </w:rPr>
        <w:t>年</w:t>
      </w:r>
      <w:r>
        <w:rPr>
          <w:rFonts w:hint="eastAsia"/>
          <w:sz w:val="22"/>
          <w:szCs w:val="22"/>
          <w:highlight w:val="none"/>
          <w:u w:val="single"/>
        </w:rPr>
        <w:t xml:space="preserve">     </w:t>
      </w:r>
      <w:r>
        <w:rPr>
          <w:rFonts w:hint="eastAsia"/>
          <w:sz w:val="22"/>
          <w:szCs w:val="22"/>
          <w:highlight w:val="none"/>
        </w:rPr>
        <w:t xml:space="preserve">月 </w:t>
      </w:r>
      <w:r>
        <w:rPr>
          <w:rFonts w:hint="eastAsia"/>
          <w:sz w:val="22"/>
          <w:szCs w:val="22"/>
          <w:highlight w:val="none"/>
          <w:u w:val="single"/>
        </w:rPr>
        <w:t xml:space="preserve">      </w:t>
      </w:r>
      <w:r>
        <w:rPr>
          <w:rFonts w:hint="eastAsia"/>
          <w:sz w:val="22"/>
          <w:szCs w:val="22"/>
          <w:highlight w:val="none"/>
        </w:rPr>
        <w:t>日</w:t>
      </w:r>
    </w:p>
    <w:p w14:paraId="4022381F">
      <w:pPr>
        <w:spacing w:line="360" w:lineRule="auto"/>
        <w:ind w:firstLine="440" w:firstLineChars="200"/>
        <w:rPr>
          <w:b/>
          <w:color w:val="FF0000"/>
          <w:sz w:val="22"/>
          <w:szCs w:val="22"/>
          <w:highlight w:val="none"/>
        </w:rPr>
      </w:pPr>
      <w:r>
        <w:rPr>
          <w:rFonts w:hint="eastAsia"/>
          <w:b/>
          <w:color w:val="FF0000"/>
          <w:sz w:val="22"/>
          <w:szCs w:val="22"/>
          <w:highlight w:val="none"/>
        </w:rPr>
        <w:t>附： 请提供授权委托代理人身份证扫描件（正反两面）（非中国国籍管辖范围人员，可提供公安部门认可的身份证明材料）扫描件。</w:t>
      </w:r>
    </w:p>
    <w:p w14:paraId="5301E70F">
      <w:pPr>
        <w:spacing w:line="360" w:lineRule="auto"/>
        <w:ind w:firstLine="440" w:firstLineChars="200"/>
        <w:jc w:val="right"/>
        <w:rPr>
          <w:sz w:val="22"/>
          <w:szCs w:val="22"/>
          <w:highlight w:val="none"/>
        </w:rPr>
      </w:pPr>
      <w:r>
        <w:rPr>
          <w:rFonts w:hint="eastAsia"/>
          <w:sz w:val="22"/>
          <w:szCs w:val="22"/>
          <w:highlight w:val="none"/>
        </w:rPr>
        <w:t>（此处填写投标人名称）公司（加盖投标人公章）</w:t>
      </w:r>
    </w:p>
    <w:p w14:paraId="02DC0FB1">
      <w:pPr>
        <w:spacing w:line="360" w:lineRule="auto"/>
        <w:ind w:firstLine="440" w:firstLineChars="200"/>
        <w:jc w:val="right"/>
        <w:rPr>
          <w:sz w:val="22"/>
          <w:szCs w:val="22"/>
          <w:highlight w:val="none"/>
        </w:rPr>
      </w:pPr>
      <w:r>
        <w:rPr>
          <w:rFonts w:hint="eastAsia"/>
          <w:sz w:val="22"/>
          <w:szCs w:val="22"/>
          <w:highlight w:val="none"/>
        </w:rPr>
        <w:t>XX年XX月XX日</w:t>
      </w:r>
    </w:p>
    <w:p w14:paraId="76509AB1">
      <w:pPr>
        <w:pStyle w:val="19"/>
        <w:tabs>
          <w:tab w:val="left" w:pos="0"/>
          <w:tab w:val="left" w:pos="993"/>
          <w:tab w:val="left" w:pos="1134"/>
        </w:tabs>
        <w:spacing w:after="0" w:line="360" w:lineRule="auto"/>
        <w:ind w:firstLine="480" w:firstLineChars="200"/>
        <w:rPr>
          <w:rFonts w:hint="eastAsia"/>
        </w:rPr>
      </w:pPr>
    </w:p>
    <w:p w14:paraId="72A814F9">
      <w:pPr>
        <w:pStyle w:val="5"/>
        <w:spacing w:before="120" w:beforeLines="50" w:after="120" w:afterLines="50"/>
        <w:rPr>
          <w:sz w:val="28"/>
          <w:szCs w:val="28"/>
        </w:rPr>
      </w:pPr>
      <w:r>
        <w:rPr>
          <w:rFonts w:hint="eastAsia"/>
          <w:sz w:val="28"/>
          <w:szCs w:val="28"/>
          <w:lang w:val="en-US" w:eastAsia="zh-CN"/>
        </w:rPr>
        <w:t>七、</w:t>
      </w:r>
      <w:r>
        <w:rPr>
          <w:rFonts w:hint="eastAsia" w:eastAsia="宋体"/>
          <w:sz w:val="28"/>
          <w:szCs w:val="28"/>
          <w:lang w:val="en-US" w:eastAsia="zh-CN"/>
        </w:rPr>
        <w:t>其他重要条款</w:t>
      </w:r>
    </w:p>
    <w:p w14:paraId="18FF8389">
      <w:pPr>
        <w:numPr>
          <w:ilvl w:val="0"/>
          <w:numId w:val="2"/>
        </w:numPr>
        <w:spacing w:line="360" w:lineRule="auto"/>
        <w:ind w:firstLine="440" w:firstLineChars="200"/>
        <w:rPr>
          <w:rFonts w:hint="eastAsia" w:ascii="宋体" w:hAnsi="宋体" w:eastAsia="宋体" w:cs="宋体"/>
          <w:bCs/>
          <w:sz w:val="22"/>
          <w:szCs w:val="22"/>
        </w:rPr>
      </w:pPr>
      <w:r>
        <w:rPr>
          <w:rFonts w:hint="eastAsia" w:ascii="宋体" w:hAnsi="宋体" w:eastAsia="宋体" w:cs="宋体"/>
          <w:bCs/>
          <w:sz w:val="22"/>
          <w:szCs w:val="22"/>
        </w:rPr>
        <w:t>本项目服务费采用包干制，应包括服务成本、法定税费和企业的利润。由企业根据招标文件所提供的资料自行测算投标报价；一经中标，投标报价总价作为中标单位与采购人签订的合同价，合同期限内不做调整。</w:t>
      </w:r>
    </w:p>
    <w:p w14:paraId="68D1052D">
      <w:pPr>
        <w:numPr>
          <w:ilvl w:val="0"/>
          <w:numId w:val="2"/>
        </w:numPr>
        <w:spacing w:line="360" w:lineRule="auto"/>
        <w:ind w:firstLine="440" w:firstLineChars="200"/>
        <w:rPr>
          <w:rFonts w:hint="eastAsia" w:ascii="宋体" w:hAnsi="宋体" w:eastAsia="宋体" w:cs="宋体"/>
          <w:bCs/>
          <w:sz w:val="22"/>
          <w:szCs w:val="22"/>
        </w:rPr>
      </w:pPr>
      <w:r>
        <w:rPr>
          <w:rFonts w:hint="eastAsia" w:ascii="宋体" w:hAnsi="宋体" w:eastAsia="宋体" w:cs="宋体"/>
          <w:bCs/>
          <w:sz w:val="22"/>
          <w:szCs w:val="22"/>
        </w:rPr>
        <w:t>投标人应根据本企业的成本自行决定报价，但不得以低于其企业成本的报价投标；评标时，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1C92C2D8">
      <w:pPr>
        <w:numPr>
          <w:ilvl w:val="0"/>
          <w:numId w:val="2"/>
        </w:numPr>
        <w:spacing w:line="360" w:lineRule="auto"/>
        <w:ind w:firstLine="440" w:firstLineChars="200"/>
        <w:rPr>
          <w:rFonts w:hint="eastAsia" w:ascii="宋体" w:hAnsi="宋体" w:eastAsia="宋体" w:cs="宋体"/>
          <w:bCs/>
          <w:sz w:val="22"/>
          <w:szCs w:val="22"/>
        </w:rPr>
      </w:pPr>
      <w:r>
        <w:rPr>
          <w:rFonts w:hint="eastAsia" w:ascii="宋体" w:hAnsi="宋体" w:eastAsia="宋体" w:cs="宋体"/>
          <w:bCs/>
          <w:sz w:val="22"/>
          <w:szCs w:val="22"/>
        </w:rPr>
        <w:t>投标报价合理性的提交及认定：</w:t>
      </w:r>
    </w:p>
    <w:p w14:paraId="6C27832D">
      <w:pPr>
        <w:spacing w:line="360" w:lineRule="auto"/>
        <w:ind w:left="480" w:leftChars="200"/>
        <w:rPr>
          <w:rFonts w:hint="eastAsia" w:ascii="宋体" w:hAnsi="宋体" w:eastAsia="宋体" w:cs="宋体"/>
          <w:bCs/>
          <w:sz w:val="22"/>
          <w:szCs w:val="22"/>
        </w:rPr>
      </w:pPr>
      <w:r>
        <w:rPr>
          <w:rFonts w:hint="eastAsia" w:ascii="宋体" w:hAnsi="宋体" w:eastAsia="宋体" w:cs="宋体"/>
          <w:bCs/>
          <w:sz w:val="22"/>
          <w:szCs w:val="22"/>
        </w:rPr>
        <w:t>a. 投标报价合理性说明的提交方式：现场或电子邮件提交（邮箱地址：dh@szdhit.com）；</w:t>
      </w:r>
    </w:p>
    <w:p w14:paraId="3DA6AF31">
      <w:pPr>
        <w:spacing w:line="360" w:lineRule="auto"/>
        <w:ind w:left="480" w:leftChars="200"/>
        <w:rPr>
          <w:rFonts w:hint="eastAsia" w:ascii="宋体" w:hAnsi="宋体" w:eastAsia="宋体" w:cs="宋体"/>
          <w:bCs/>
          <w:sz w:val="22"/>
          <w:szCs w:val="22"/>
        </w:rPr>
      </w:pPr>
      <w:r>
        <w:rPr>
          <w:rFonts w:hint="eastAsia" w:ascii="宋体" w:hAnsi="宋体" w:eastAsia="宋体" w:cs="宋体"/>
          <w:bCs/>
          <w:sz w:val="22"/>
          <w:szCs w:val="22"/>
        </w:rPr>
        <w:t>b.若评审委员会成员对是否须由投标人作出报价合理性说明，以及书面说明是否采纳等判断不一致的，按照“少数服从多数”的原则确定评审委员会的意见。</w:t>
      </w:r>
    </w:p>
    <w:p w14:paraId="4EA6019D">
      <w:pPr>
        <w:numPr>
          <w:ilvl w:val="0"/>
          <w:numId w:val="2"/>
        </w:numPr>
        <w:spacing w:line="360" w:lineRule="auto"/>
        <w:ind w:firstLine="440" w:firstLineChars="200"/>
        <w:rPr>
          <w:rFonts w:hint="eastAsia" w:ascii="宋体" w:hAnsi="宋体" w:eastAsia="宋体" w:cs="宋体"/>
          <w:bCs/>
          <w:sz w:val="22"/>
          <w:szCs w:val="22"/>
        </w:rPr>
      </w:pPr>
      <w:r>
        <w:rPr>
          <w:rFonts w:hint="eastAsia" w:ascii="宋体" w:hAnsi="宋体" w:eastAsia="宋体" w:cs="宋体"/>
          <w:bCs/>
          <w:sz w:val="22"/>
          <w:szCs w:val="22"/>
        </w:rPr>
        <w:t>投标人的投标报价，应是本项目招标范围和招标文件及合同条款上所列的各项内容中所述的全部，不得以任何理由予以重复，并以投标人在投标文件中提出的综合单价或总价为依据。</w:t>
      </w:r>
    </w:p>
    <w:p w14:paraId="7CF42AD1">
      <w:pPr>
        <w:numPr>
          <w:ilvl w:val="0"/>
          <w:numId w:val="2"/>
        </w:numPr>
        <w:spacing w:line="360" w:lineRule="auto"/>
        <w:ind w:firstLine="440" w:firstLineChars="200"/>
        <w:rPr>
          <w:rFonts w:hint="eastAsia" w:ascii="宋体" w:hAnsi="宋体" w:eastAsia="宋体" w:cs="宋体"/>
          <w:bCs/>
          <w:sz w:val="22"/>
          <w:szCs w:val="22"/>
        </w:rPr>
      </w:pPr>
      <w:r>
        <w:rPr>
          <w:rFonts w:hint="eastAsia" w:ascii="宋体" w:hAnsi="宋体" w:eastAsia="宋体" w:cs="宋体"/>
          <w:bCs/>
          <w:sz w:val="22"/>
          <w:szCs w:val="22"/>
        </w:rPr>
        <w:t>投标人应充分了解项目的位置、情况、道路及任何其它足以影响投标报价的情况，任何因忽视或误解项目情况而导致的索赔或服务期限延长申请将不获批准。</w:t>
      </w:r>
    </w:p>
    <w:p w14:paraId="7BC6EB3C">
      <w:pPr>
        <w:numPr>
          <w:ilvl w:val="0"/>
          <w:numId w:val="2"/>
        </w:numPr>
        <w:spacing w:line="360" w:lineRule="auto"/>
        <w:ind w:firstLine="440" w:firstLineChars="200"/>
        <w:rPr>
          <w:rFonts w:hint="eastAsia" w:ascii="宋体" w:hAnsi="宋体" w:eastAsia="宋体" w:cs="宋体"/>
          <w:bCs/>
          <w:sz w:val="22"/>
          <w:szCs w:val="22"/>
        </w:rPr>
      </w:pPr>
      <w:r>
        <w:rPr>
          <w:rFonts w:hint="eastAsia" w:ascii="宋体" w:hAnsi="宋体" w:eastAsia="宋体" w:cs="宋体"/>
          <w:bCs/>
          <w:sz w:val="22"/>
          <w:szCs w:val="22"/>
        </w:rPr>
        <w:t>投标人不得期望通过索赔等方式获取补偿，否则，除可能遭到拒绝外，还可能将被作为不良行为记录在案，并可能影响其以后参加政府采购的项目投标。各投标人在投标报价时，应充分考虑投标报价的风险。</w:t>
      </w:r>
    </w:p>
    <w:p w14:paraId="2252CA06">
      <w:pPr>
        <w:numPr>
          <w:ilvl w:val="0"/>
          <w:numId w:val="2"/>
        </w:numPr>
        <w:spacing w:line="360" w:lineRule="auto"/>
        <w:ind w:firstLine="440" w:firstLineChars="200"/>
        <w:rPr>
          <w:rFonts w:hint="eastAsia" w:ascii="宋体" w:hAnsi="宋体" w:eastAsia="宋体" w:cs="宋体"/>
          <w:bCs/>
          <w:sz w:val="22"/>
          <w:szCs w:val="22"/>
        </w:rPr>
      </w:pPr>
      <w:r>
        <w:rPr>
          <w:rFonts w:hint="eastAsia" w:ascii="宋体" w:hAnsi="宋体" w:eastAsia="宋体" w:cs="宋体"/>
          <w:bCs/>
          <w:sz w:val="22"/>
          <w:szCs w:val="22"/>
        </w:rPr>
        <w:t>鼓励采购人积极运用公共信用信息，明确对信用记录良好的供应商（特别是中小微企业）免收履约保证金，确需收取履约保证金的，列明通过保函等非现金方式收取。在采购合同中明确对上述企业加大首付款或预付款比例，具体由采购人根据项目实际情况确定。</w:t>
      </w:r>
    </w:p>
    <w:p w14:paraId="113FCB49">
      <w:pPr>
        <w:numPr>
          <w:ilvl w:val="0"/>
          <w:numId w:val="2"/>
        </w:numPr>
        <w:spacing w:line="360" w:lineRule="auto"/>
        <w:ind w:firstLine="440" w:firstLineChars="200"/>
        <w:rPr>
          <w:rFonts w:hint="eastAsia" w:ascii="宋体" w:hAnsi="宋体" w:eastAsia="宋体" w:cs="宋体"/>
          <w:bCs/>
          <w:sz w:val="22"/>
          <w:szCs w:val="22"/>
        </w:rPr>
      </w:pPr>
      <w:r>
        <w:rPr>
          <w:rFonts w:hint="eastAsia" w:ascii="宋体" w:hAnsi="宋体" w:eastAsia="宋体" w:cs="宋体"/>
          <w:bCs/>
          <w:sz w:val="22"/>
          <w:szCs w:val="22"/>
        </w:rPr>
        <w:t>除政府采购合同继续履行将损害国家利益和社会公共利益外，双方当事人不得擅自变更、中止或者终止合同。</w:t>
      </w:r>
    </w:p>
    <w:p w14:paraId="307F7583">
      <w:pPr>
        <w:numPr>
          <w:ilvl w:val="0"/>
          <w:numId w:val="2"/>
        </w:numPr>
        <w:spacing w:line="360" w:lineRule="auto"/>
        <w:ind w:firstLine="440" w:firstLineChars="200"/>
        <w:rPr>
          <w:rFonts w:hint="eastAsia" w:ascii="宋体" w:hAnsi="宋体" w:eastAsia="宋体" w:cs="宋体"/>
          <w:bCs/>
          <w:sz w:val="22"/>
          <w:szCs w:val="22"/>
        </w:rPr>
      </w:pPr>
      <w:r>
        <w:rPr>
          <w:rFonts w:hint="eastAsia" w:ascii="宋体" w:hAnsi="宋体" w:eastAsia="宋体" w:cs="宋体"/>
          <w:bCs/>
          <w:sz w:val="22"/>
          <w:szCs w:val="22"/>
        </w:rPr>
        <w:t>2014年起，政府部门、国有企业在进行设备或工程采购时，应在招标文件中明确要求工程机械、装卸机械满足国家现阶段非道路移动机械用柴油机排放标准，并鼓励使用LNG或电动工程机械、装卸机械。2015年起，政府部门、国有企业采购设备或工程项目中选用LNG或电动工程机械、装卸机械的比例不低于30%。</w:t>
      </w:r>
    </w:p>
    <w:p w14:paraId="3C08F19A">
      <w:pPr>
        <w:numPr>
          <w:ilvl w:val="0"/>
          <w:numId w:val="2"/>
        </w:numPr>
        <w:spacing w:line="360" w:lineRule="auto"/>
        <w:ind w:firstLine="440" w:firstLineChars="200"/>
        <w:rPr>
          <w:rFonts w:hint="eastAsia" w:ascii="宋体" w:hAnsi="宋体" w:eastAsia="宋体" w:cs="宋体"/>
          <w:bCs/>
          <w:sz w:val="22"/>
          <w:szCs w:val="22"/>
        </w:rPr>
      </w:pPr>
      <w:r>
        <w:rPr>
          <w:rFonts w:hint="eastAsia" w:ascii="宋体" w:hAnsi="宋体" w:eastAsia="宋体" w:cs="宋体"/>
          <w:bCs/>
          <w:sz w:val="22"/>
          <w:szCs w:val="22"/>
        </w:rPr>
        <w:t>根据《深圳市财政局关于印发《深圳市财政局政府采购供应商信用信息管理办法》的通知》（深财规〔2023〕3号），供应商参加政府采购活动前三年内，发生管理办法第九条第一项规定的严重违法失信行为的，依法禁止参与本市政府采购活动。</w:t>
      </w:r>
    </w:p>
    <w:p w14:paraId="49711DF5">
      <w:pPr>
        <w:numPr>
          <w:ilvl w:val="0"/>
          <w:numId w:val="2"/>
        </w:numPr>
        <w:spacing w:line="360" w:lineRule="auto"/>
        <w:ind w:firstLine="440" w:firstLineChars="200"/>
        <w:rPr>
          <w:rFonts w:hint="eastAsia" w:ascii="宋体" w:hAnsi="宋体" w:eastAsia="宋体" w:cs="宋体"/>
          <w:bCs/>
          <w:sz w:val="22"/>
          <w:szCs w:val="22"/>
        </w:rPr>
      </w:pPr>
      <w:r>
        <w:rPr>
          <w:rFonts w:hint="eastAsia" w:ascii="宋体" w:hAnsi="宋体" w:eastAsia="宋体" w:cs="宋体"/>
          <w:sz w:val="22"/>
          <w:szCs w:val="22"/>
          <w:lang w:val="en-US" w:eastAsia="zh-CN" w:bidi="ar-SA"/>
        </w:rPr>
        <w:t>“信用中国”、“中国政府采购网”、“深圳信用网”以及“深圳市政府采购监管网”</w:t>
      </w:r>
      <w:r>
        <w:rPr>
          <w:rFonts w:hint="eastAsia" w:ascii="宋体" w:hAnsi="宋体" w:eastAsia="宋体" w:cs="宋体"/>
          <w:bCs/>
          <w:sz w:val="22"/>
          <w:szCs w:val="22"/>
        </w:rPr>
        <w:t>为供应商信用信息的查询渠道，相关信息以开标当日的查询结果为准，如开标当日四个网站出现网站无法打开的特殊情况，相关信息则以中标通知书发出前的查询结果为准。</w:t>
      </w:r>
    </w:p>
    <w:p w14:paraId="67403C0A">
      <w:pPr>
        <w:numPr>
          <w:ilvl w:val="0"/>
          <w:numId w:val="2"/>
        </w:numPr>
        <w:spacing w:line="360" w:lineRule="auto"/>
        <w:ind w:firstLine="440" w:firstLineChars="200"/>
        <w:rPr>
          <w:rFonts w:hint="eastAsia" w:ascii="宋体" w:hAnsi="宋体" w:eastAsia="宋体" w:cs="宋体"/>
          <w:bCs/>
          <w:sz w:val="22"/>
          <w:szCs w:val="22"/>
        </w:rPr>
      </w:pPr>
      <w:r>
        <w:rPr>
          <w:rFonts w:hint="eastAsia" w:ascii="宋体" w:hAnsi="宋体" w:eastAsia="宋体" w:cs="宋体"/>
          <w:bCs/>
          <w:sz w:val="22"/>
          <w:szCs w:val="22"/>
        </w:rPr>
        <w:t>投标人所投产品属于已列入“《关于印发环境标志产品政府采购品目清单的通知》（财库〔2019〕18号）、《关于印发节能产品政府采购品目清单的通知》（财库〔2019〕19号）”的，投标人需出具“国家确定的认证机构出具的、处于有效期之内的节能产品、环境标志产品认证证书”等证明文件扫描件。</w:t>
      </w:r>
    </w:p>
    <w:p w14:paraId="3E037C18">
      <w:pPr>
        <w:pStyle w:val="8"/>
        <w:spacing w:before="60" w:beforeLines="25" w:after="60" w:afterLines="25" w:line="360" w:lineRule="auto"/>
        <w:ind w:firstLine="411" w:firstLineChars="187"/>
        <w:rPr>
          <w:rFonts w:ascii="宋体" w:hAnsi="宋体" w:eastAsia="宋体"/>
          <w:sz w:val="22"/>
          <w:szCs w:val="22"/>
        </w:rPr>
      </w:pPr>
      <w:r>
        <w:rPr>
          <w:rFonts w:hint="eastAsia" w:ascii="宋体" w:hAnsi="宋体" w:eastAsia="宋体"/>
          <w:sz w:val="22"/>
          <w:szCs w:val="22"/>
        </w:rPr>
        <w:br w:type="page"/>
      </w:r>
    </w:p>
    <w:p w14:paraId="392BB8EA">
      <w:pPr>
        <w:pStyle w:val="5"/>
      </w:pPr>
      <w:r>
        <w:rPr>
          <w:rFonts w:hint="eastAsia"/>
        </w:rPr>
        <w:t xml:space="preserve"> 第三章投标文件格式、附件</w:t>
      </w:r>
    </w:p>
    <w:p w14:paraId="4B20F12F">
      <w:pPr>
        <w:rPr>
          <w:rFonts w:ascii="黑体" w:eastAsia="黑体"/>
          <w:bCs/>
          <w:highlight w:val="none"/>
        </w:rPr>
      </w:pPr>
      <w:bookmarkStart w:id="53" w:name="_Hlk86246764"/>
      <w:r>
        <w:rPr>
          <w:rFonts w:hint="eastAsia" w:ascii="黑体" w:eastAsia="黑体"/>
          <w:bCs/>
          <w:highlight w:val="none"/>
        </w:rPr>
        <w:t>特别提醒：</w:t>
      </w:r>
    </w:p>
    <w:p w14:paraId="1C6EDE74">
      <w:pPr>
        <w:ind w:firstLine="480"/>
        <w:rPr>
          <w:rFonts w:ascii="仿宋_GB2312" w:eastAsia="仿宋_GB2312"/>
          <w:highlight w:val="none"/>
        </w:rPr>
      </w:pPr>
      <w:r>
        <w:rPr>
          <w:rFonts w:hint="eastAsia" w:ascii="仿宋_GB2312" w:eastAsia="仿宋_GB2312"/>
          <w:highlight w:val="none"/>
        </w:rPr>
        <w:t>投标文件正文将对外公开，投标文件附件不公开。投标人在编辑投标文件时，在投标文件目录中属于本节点内容的必须在本节点中填写，填写到其他节点或附件的将可能导致投标无效，一切后果由供应商自行承担。</w:t>
      </w:r>
    </w:p>
    <w:p w14:paraId="6376616C">
      <w:pPr>
        <w:rPr>
          <w:rFonts w:ascii="仿宋_GB2312" w:eastAsia="仿宋_GB2312"/>
          <w:highlight w:val="none"/>
        </w:rPr>
      </w:pPr>
      <w:r>
        <w:rPr>
          <w:rFonts w:hint="eastAsia" w:ascii="仿宋_GB2312" w:eastAsia="仿宋_GB2312"/>
          <w:highlight w:val="none"/>
        </w:rPr>
        <w:t xml:space="preserve">    投标文件正文（信息公开部分）必须编制于“投标书目录”部分，投标文件附件（非信息公开部分）必须编制于“投标书附件”部分，如下图所示。</w:t>
      </w:r>
    </w:p>
    <w:p w14:paraId="389ECF2E">
      <w:pPr>
        <w:rPr>
          <w:rFonts w:ascii="宋体" w:hAnsi="宋体" w:cs="宋体"/>
          <w:highlight w:val="green"/>
        </w:rPr>
      </w:pPr>
      <w:r>
        <w:rPr>
          <w:rFonts w:ascii="仿宋_GB2312" w:eastAsia="仿宋_GB2312"/>
          <w:highlight w:val="green"/>
        </w:rPr>
        <w:drawing>
          <wp:inline distT="0" distB="0" distL="114300" distR="114300">
            <wp:extent cx="5280660" cy="4130040"/>
            <wp:effectExtent l="0" t="0" r="15240" b="3810"/>
            <wp:docPr id="2" name="图片 1" descr="图形用户界面, 应用程序&#10;&#10;&#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图形用户界面, 应用程序&#10;&#10;&#10;&#10;描述已自动生成"/>
                    <pic:cNvPicPr>
                      <a:picLocks noChangeAspect="1"/>
                    </pic:cNvPicPr>
                  </pic:nvPicPr>
                  <pic:blipFill>
                    <a:blip r:embed="rId6"/>
                    <a:stretch>
                      <a:fillRect/>
                    </a:stretch>
                  </pic:blipFill>
                  <pic:spPr>
                    <a:xfrm>
                      <a:off x="0" y="0"/>
                      <a:ext cx="5280660" cy="4130040"/>
                    </a:xfrm>
                    <a:prstGeom prst="rect">
                      <a:avLst/>
                    </a:prstGeom>
                    <a:noFill/>
                    <a:ln>
                      <a:noFill/>
                    </a:ln>
                  </pic:spPr>
                </pic:pic>
              </a:graphicData>
            </a:graphic>
          </wp:inline>
        </w:drawing>
      </w:r>
    </w:p>
    <w:p w14:paraId="004D239F">
      <w:pPr>
        <w:rPr>
          <w:rFonts w:ascii="仿宋_GB2312" w:eastAsia="仿宋_GB2312"/>
          <w:highlight w:val="green"/>
        </w:rPr>
      </w:pPr>
    </w:p>
    <w:p w14:paraId="1636B431">
      <w:pPr>
        <w:jc w:val="center"/>
        <w:rPr>
          <w:rFonts w:ascii="仿宋_GB2312" w:eastAsia="仿宋_GB2312"/>
          <w:highlight w:val="green"/>
        </w:rPr>
      </w:pPr>
    </w:p>
    <w:p w14:paraId="7C7E9B69">
      <w:pPr>
        <w:ind w:firstLine="480"/>
        <w:rPr>
          <w:rFonts w:ascii="仿宋_GB2312" w:eastAsia="仿宋_GB2312"/>
          <w:highlight w:val="none"/>
        </w:rPr>
      </w:pPr>
      <w:bookmarkStart w:id="54" w:name="_Hlk72257167"/>
      <w:r>
        <w:rPr>
          <w:rFonts w:hint="eastAsia" w:ascii="仿宋_GB2312" w:eastAsia="仿宋_GB2312"/>
          <w:highlight w:val="none"/>
        </w:rPr>
        <w:t>代理机构公布投标文件正文（信息公开部分）时为计算机截取信息自动公布，</w:t>
      </w:r>
      <w:r>
        <w:rPr>
          <w:rFonts w:hint="eastAsia" w:ascii="仿宋_GB2312" w:eastAsia="仿宋_GB2312"/>
          <w:b/>
          <w:bCs/>
          <w:highlight w:val="none"/>
        </w:rPr>
        <w:t>如投标人误将涉及个人隐私的信息放入投标文件正文，相关后果由投标人自负；</w:t>
      </w:r>
      <w:r>
        <w:rPr>
          <w:rFonts w:hint="eastAsia" w:ascii="仿宋_GB2312" w:eastAsia="仿宋_GB2312"/>
          <w:highlight w:val="none"/>
        </w:rPr>
        <w:t>如投标人将必须放于投标文件正文（信息公开部分）的内容放入投标文件附件（非信息公开部分），将作投标无效处理。</w:t>
      </w:r>
    </w:p>
    <w:bookmarkEnd w:id="53"/>
    <w:bookmarkEnd w:id="54"/>
    <w:p w14:paraId="1DCA4DDE">
      <w:pPr>
        <w:ind w:firstLine="480" w:firstLineChars="200"/>
        <w:rPr>
          <w:rFonts w:ascii="仿宋_GB2312" w:eastAsia="仿宋_GB2312"/>
        </w:rPr>
      </w:pPr>
    </w:p>
    <w:p w14:paraId="49CC97F3">
      <w:pPr>
        <w:ind w:firstLine="480" w:firstLineChars="200"/>
        <w:rPr>
          <w:rFonts w:ascii="宋体"/>
          <w:b/>
        </w:rPr>
      </w:pPr>
    </w:p>
    <w:p w14:paraId="7C3E1473">
      <w:pPr>
        <w:ind w:firstLine="480"/>
        <w:rPr>
          <w:rFonts w:hint="eastAsia" w:ascii="仿宋_GB2312" w:hAnsi="Times New Roman" w:eastAsia="仿宋_GB2312" w:cs="Times New Roman"/>
          <w:b/>
          <w:bCs/>
          <w:highlight w:val="none"/>
        </w:rPr>
      </w:pPr>
      <w:r>
        <w:rPr>
          <w:rFonts w:hint="eastAsia" w:ascii="仿宋_GB2312" w:hAnsi="Times New Roman" w:eastAsia="仿宋_GB2312" w:cs="Times New Roman"/>
          <w:b/>
          <w:bCs/>
          <w:highlight w:val="none"/>
        </w:rPr>
        <w:t>备注：</w:t>
      </w:r>
    </w:p>
    <w:p w14:paraId="6993722A">
      <w:pPr>
        <w:ind w:firstLine="480"/>
        <w:rPr>
          <w:rFonts w:hint="eastAsia" w:ascii="仿宋_GB2312" w:hAnsi="Times New Roman" w:eastAsia="仿宋_GB2312" w:cs="Times New Roman"/>
          <w:b/>
          <w:bCs/>
          <w:highlight w:val="none"/>
        </w:rPr>
      </w:pPr>
      <w:r>
        <w:rPr>
          <w:rFonts w:hint="eastAsia" w:ascii="仿宋_GB2312" w:hAnsi="Times New Roman" w:eastAsia="仿宋_GB2312" w:cs="Times New Roman"/>
          <w:b/>
          <w:bCs/>
          <w:highlight w:val="none"/>
        </w:rPr>
        <w:t>1.本项目为网上电子投标项目，投标文件不需法人或授权委托人另行签字，无需加盖单位公章，招标文件专用条款另有规定的除外。</w:t>
      </w:r>
    </w:p>
    <w:p w14:paraId="086ED4D6">
      <w:pPr>
        <w:rPr>
          <w:rFonts w:ascii="宋体"/>
        </w:rPr>
      </w:pPr>
      <w:r>
        <w:rPr>
          <w:rFonts w:hint="eastAsia" w:ascii="宋体" w:hAnsi="宋体"/>
        </w:rPr>
        <w:br w:type="page"/>
      </w:r>
      <w:r>
        <w:rPr>
          <w:rFonts w:hint="eastAsia" w:ascii="宋体" w:hAnsi="宋体"/>
        </w:rPr>
        <w:t>投标文件组成：</w:t>
      </w:r>
    </w:p>
    <w:p w14:paraId="17A892AF">
      <w:pPr>
        <w:ind w:firstLine="484" w:firstLineChars="202"/>
        <w:rPr>
          <w:rFonts w:ascii="宋体"/>
        </w:rPr>
      </w:pPr>
      <w:r>
        <w:rPr>
          <w:rFonts w:ascii="宋体" w:hAnsi="宋体"/>
        </w:rPr>
        <w:t>1.</w:t>
      </w:r>
      <w:r>
        <w:rPr>
          <w:rFonts w:hint="eastAsia" w:ascii="宋体" w:hAnsi="宋体"/>
        </w:rPr>
        <w:t>投标文件正文</w:t>
      </w:r>
      <w:r>
        <w:rPr>
          <w:rFonts w:hint="eastAsia" w:ascii="宋体" w:hAnsi="宋体"/>
          <w:b/>
          <w:szCs w:val="21"/>
        </w:rPr>
        <w:t>（信息公开部分）</w:t>
      </w:r>
      <w:r>
        <w:rPr>
          <w:rFonts w:hint="eastAsia" w:ascii="宋体" w:hAnsi="宋体"/>
        </w:rPr>
        <w:t>，主要</w:t>
      </w:r>
      <w:r>
        <w:rPr>
          <w:rFonts w:hint="eastAsia" w:ascii="宋体" w:hAnsi="宋体"/>
          <w:szCs w:val="21"/>
        </w:rPr>
        <w:t>包括以下内容：</w:t>
      </w:r>
      <w:r>
        <w:rPr>
          <w:rFonts w:hint="eastAsia" w:ascii="宋体" w:hAnsi="宋体"/>
        </w:rPr>
        <w:t>：</w:t>
      </w:r>
    </w:p>
    <w:p w14:paraId="625C78B2">
      <w:pPr>
        <w:pStyle w:val="8"/>
        <w:keepNext w:val="0"/>
        <w:keepLines w:val="0"/>
        <w:pageBreakBefore w:val="0"/>
        <w:widowControl/>
        <w:numPr>
          <w:ilvl w:val="0"/>
          <w:numId w:val="3"/>
        </w:numPr>
        <w:kinsoku/>
        <w:wordWrap/>
        <w:overflowPunct/>
        <w:topLinePunct w:val="0"/>
        <w:autoSpaceDE/>
        <w:autoSpaceDN/>
        <w:bidi w:val="0"/>
        <w:adjustRightInd/>
        <w:snapToGrid/>
        <w:spacing w:before="60" w:beforeLines="25" w:after="60" w:afterLines="25"/>
        <w:ind w:left="0" w:leftChars="0" w:firstLine="425" w:firstLineChars="0"/>
        <w:textAlignment w:val="auto"/>
        <w:rPr>
          <w:rFonts w:ascii="宋体"/>
          <w:szCs w:val="21"/>
        </w:rPr>
      </w:pPr>
      <w:r>
        <w:rPr>
          <w:rFonts w:hint="eastAsia" w:ascii="宋体" w:hAnsi="宋体"/>
          <w:szCs w:val="21"/>
        </w:rPr>
        <w:t>投标函</w:t>
      </w:r>
    </w:p>
    <w:p w14:paraId="1019F7EA">
      <w:pPr>
        <w:pStyle w:val="8"/>
        <w:keepNext w:val="0"/>
        <w:keepLines w:val="0"/>
        <w:pageBreakBefore w:val="0"/>
        <w:widowControl/>
        <w:numPr>
          <w:ilvl w:val="0"/>
          <w:numId w:val="3"/>
        </w:numPr>
        <w:kinsoku/>
        <w:wordWrap/>
        <w:overflowPunct/>
        <w:topLinePunct w:val="0"/>
        <w:autoSpaceDE/>
        <w:autoSpaceDN/>
        <w:bidi w:val="0"/>
        <w:adjustRightInd/>
        <w:snapToGrid/>
        <w:spacing w:before="60" w:beforeLines="25" w:after="60" w:afterLines="25"/>
        <w:ind w:left="0" w:leftChars="0" w:firstLine="425" w:firstLineChars="0"/>
        <w:textAlignment w:val="auto"/>
        <w:rPr>
          <w:rFonts w:ascii="宋体"/>
          <w:szCs w:val="21"/>
        </w:rPr>
      </w:pPr>
      <w:r>
        <w:rPr>
          <w:rFonts w:hint="eastAsia" w:ascii="宋体" w:hAnsi="宋体"/>
          <w:szCs w:val="21"/>
        </w:rPr>
        <w:t>政府采购投标及履约承诺函</w:t>
      </w:r>
    </w:p>
    <w:p w14:paraId="1AC4AF5A">
      <w:pPr>
        <w:pStyle w:val="8"/>
        <w:keepNext w:val="0"/>
        <w:keepLines w:val="0"/>
        <w:pageBreakBefore w:val="0"/>
        <w:widowControl/>
        <w:numPr>
          <w:ilvl w:val="0"/>
          <w:numId w:val="3"/>
        </w:numPr>
        <w:kinsoku/>
        <w:wordWrap/>
        <w:overflowPunct/>
        <w:topLinePunct w:val="0"/>
        <w:autoSpaceDE/>
        <w:autoSpaceDN/>
        <w:bidi w:val="0"/>
        <w:adjustRightInd/>
        <w:snapToGrid/>
        <w:spacing w:before="60" w:beforeLines="25" w:after="60" w:afterLines="25"/>
        <w:ind w:left="0" w:leftChars="0" w:firstLine="425" w:firstLineChars="0"/>
        <w:textAlignment w:val="auto"/>
        <w:rPr>
          <w:rFonts w:ascii="宋体" w:hAnsi="宋体"/>
          <w:szCs w:val="21"/>
        </w:rPr>
      </w:pPr>
      <w:r>
        <w:rPr>
          <w:rFonts w:hint="eastAsia" w:ascii="宋体" w:hAnsi="宋体"/>
          <w:szCs w:val="21"/>
        </w:rPr>
        <w:t>政府采购违法行为风险知悉确认书</w:t>
      </w:r>
    </w:p>
    <w:p w14:paraId="0583AFD4">
      <w:pPr>
        <w:pStyle w:val="8"/>
        <w:keepNext w:val="0"/>
        <w:keepLines w:val="0"/>
        <w:pageBreakBefore w:val="0"/>
        <w:widowControl/>
        <w:numPr>
          <w:ilvl w:val="0"/>
          <w:numId w:val="3"/>
        </w:numPr>
        <w:kinsoku/>
        <w:wordWrap/>
        <w:overflowPunct/>
        <w:topLinePunct w:val="0"/>
        <w:autoSpaceDE/>
        <w:autoSpaceDN/>
        <w:bidi w:val="0"/>
        <w:adjustRightInd/>
        <w:snapToGrid/>
        <w:spacing w:before="60" w:beforeLines="25" w:after="60" w:afterLines="25"/>
        <w:ind w:left="0" w:leftChars="0" w:firstLine="425" w:firstLineChars="0"/>
        <w:textAlignment w:val="auto"/>
        <w:rPr>
          <w:rFonts w:hint="eastAsia" w:ascii="宋体" w:hAnsi="宋体" w:eastAsia="Times New Roman" w:cs="Times New Roman"/>
          <w:szCs w:val="21"/>
          <w:lang w:val="en-US" w:eastAsia="zh-CN"/>
        </w:rPr>
      </w:pPr>
      <w:r>
        <w:rPr>
          <w:rFonts w:hint="eastAsia" w:ascii="宋体" w:hAnsi="宋体" w:eastAsia="Times New Roman" w:cs="Times New Roman"/>
          <w:szCs w:val="21"/>
          <w:lang w:val="en-US" w:eastAsia="zh-CN"/>
        </w:rPr>
        <w:t>投标人情况介绍及资格要求</w:t>
      </w:r>
    </w:p>
    <w:p w14:paraId="791EEBD0">
      <w:pPr>
        <w:pStyle w:val="8"/>
        <w:keepNext w:val="0"/>
        <w:keepLines w:val="0"/>
        <w:pageBreakBefore w:val="0"/>
        <w:widowControl/>
        <w:numPr>
          <w:ilvl w:val="0"/>
          <w:numId w:val="3"/>
        </w:numPr>
        <w:kinsoku/>
        <w:wordWrap/>
        <w:overflowPunct/>
        <w:topLinePunct w:val="0"/>
        <w:autoSpaceDE/>
        <w:autoSpaceDN/>
        <w:bidi w:val="0"/>
        <w:adjustRightInd/>
        <w:snapToGrid/>
        <w:spacing w:before="60" w:beforeLines="25" w:after="60" w:afterLines="25"/>
        <w:ind w:left="0" w:leftChars="0" w:firstLine="425" w:firstLineChars="0"/>
        <w:textAlignment w:val="auto"/>
        <w:rPr>
          <w:rFonts w:hint="eastAsia" w:ascii="宋体" w:hAnsi="宋体" w:eastAsia="Times New Roman" w:cs="Times New Roman"/>
          <w:szCs w:val="21"/>
          <w:lang w:val="en-US" w:eastAsia="zh-CN"/>
        </w:rPr>
      </w:pPr>
      <w:r>
        <w:rPr>
          <w:rFonts w:hint="eastAsia" w:ascii="宋体" w:hAnsi="宋体" w:eastAsia="Times New Roman" w:cs="Times New Roman"/>
          <w:szCs w:val="21"/>
          <w:lang w:val="en-US" w:eastAsia="zh-CN"/>
        </w:rPr>
        <w:t>详细分项报价清单</w:t>
      </w:r>
    </w:p>
    <w:p w14:paraId="43A8303C">
      <w:pPr>
        <w:pStyle w:val="8"/>
        <w:keepNext w:val="0"/>
        <w:keepLines w:val="0"/>
        <w:pageBreakBefore w:val="0"/>
        <w:widowControl/>
        <w:numPr>
          <w:ilvl w:val="0"/>
          <w:numId w:val="3"/>
        </w:numPr>
        <w:kinsoku/>
        <w:wordWrap/>
        <w:overflowPunct/>
        <w:topLinePunct w:val="0"/>
        <w:autoSpaceDE/>
        <w:autoSpaceDN/>
        <w:bidi w:val="0"/>
        <w:adjustRightInd/>
        <w:snapToGrid/>
        <w:spacing w:before="60" w:beforeLines="25" w:after="60" w:afterLines="25"/>
        <w:ind w:left="0" w:leftChars="0" w:firstLine="425" w:firstLineChars="0"/>
        <w:textAlignment w:val="auto"/>
        <w:rPr>
          <w:rFonts w:hint="eastAsia" w:ascii="宋体" w:hAnsi="宋体" w:eastAsia="Times New Roman" w:cs="Times New Roman"/>
          <w:szCs w:val="21"/>
          <w:lang w:val="en-US" w:eastAsia="zh-CN"/>
        </w:rPr>
      </w:pPr>
      <w:r>
        <w:rPr>
          <w:rFonts w:hint="eastAsia" w:ascii="宋体" w:hAnsi="宋体" w:eastAsia="Times New Roman" w:cs="Times New Roman"/>
          <w:szCs w:val="21"/>
          <w:lang w:val="en-US" w:eastAsia="zh-CN"/>
        </w:rPr>
        <w:t>政府采购优惠政策文件</w:t>
      </w:r>
    </w:p>
    <w:p w14:paraId="14A1A13C">
      <w:pPr>
        <w:pStyle w:val="8"/>
        <w:keepNext w:val="0"/>
        <w:keepLines w:val="0"/>
        <w:pageBreakBefore w:val="0"/>
        <w:widowControl/>
        <w:numPr>
          <w:ilvl w:val="0"/>
          <w:numId w:val="3"/>
        </w:numPr>
        <w:kinsoku/>
        <w:wordWrap/>
        <w:overflowPunct/>
        <w:topLinePunct w:val="0"/>
        <w:autoSpaceDE/>
        <w:autoSpaceDN/>
        <w:bidi w:val="0"/>
        <w:adjustRightInd/>
        <w:snapToGrid/>
        <w:spacing w:before="60" w:beforeLines="25" w:after="60" w:afterLines="25"/>
        <w:ind w:left="0" w:leftChars="0" w:firstLine="425" w:firstLineChars="0"/>
        <w:textAlignment w:val="auto"/>
        <w:rPr>
          <w:rFonts w:hint="eastAsia" w:ascii="宋体" w:hAnsi="宋体" w:eastAsia="Times New Roman" w:cs="Times New Roman"/>
          <w:szCs w:val="21"/>
          <w:lang w:val="en-US" w:eastAsia="zh-CN"/>
        </w:rPr>
      </w:pPr>
      <w:r>
        <w:rPr>
          <w:rFonts w:hint="eastAsia" w:ascii="宋体" w:hAnsi="宋体" w:eastAsia="Times New Roman" w:cs="Times New Roman"/>
          <w:szCs w:val="21"/>
          <w:lang w:val="en-US" w:eastAsia="zh-CN"/>
        </w:rPr>
        <w:t>招标代理服务费承诺函</w:t>
      </w:r>
    </w:p>
    <w:p w14:paraId="48352638">
      <w:pPr>
        <w:pStyle w:val="8"/>
        <w:keepNext w:val="0"/>
        <w:keepLines w:val="0"/>
        <w:pageBreakBefore w:val="0"/>
        <w:widowControl/>
        <w:numPr>
          <w:ilvl w:val="0"/>
          <w:numId w:val="3"/>
        </w:numPr>
        <w:kinsoku/>
        <w:wordWrap/>
        <w:overflowPunct/>
        <w:topLinePunct w:val="0"/>
        <w:autoSpaceDE/>
        <w:autoSpaceDN/>
        <w:bidi w:val="0"/>
        <w:adjustRightInd/>
        <w:snapToGrid/>
        <w:spacing w:before="60" w:beforeLines="25" w:after="60" w:afterLines="25"/>
        <w:ind w:left="0" w:leftChars="0" w:firstLine="425" w:firstLineChars="0"/>
        <w:textAlignment w:val="auto"/>
        <w:rPr>
          <w:rFonts w:hint="default" w:ascii="宋体" w:hAnsi="宋体" w:eastAsia="宋体" w:cs="Times New Roman"/>
          <w:szCs w:val="21"/>
          <w:highlight w:val="none"/>
          <w:lang w:val="en-US" w:eastAsia="zh-CN"/>
        </w:rPr>
      </w:pPr>
      <w:r>
        <w:rPr>
          <w:rFonts w:hint="eastAsia" w:ascii="宋体" w:hAnsi="宋体" w:eastAsia="Times New Roman" w:cs="Times New Roman"/>
          <w:szCs w:val="21"/>
          <w:highlight w:val="none"/>
          <w:lang w:val="en-US" w:eastAsia="zh-CN"/>
        </w:rPr>
        <w:t>承诺书</w:t>
      </w:r>
    </w:p>
    <w:p w14:paraId="0C2B02B0">
      <w:pPr>
        <w:pStyle w:val="8"/>
        <w:keepNext w:val="0"/>
        <w:keepLines w:val="0"/>
        <w:pageBreakBefore w:val="0"/>
        <w:widowControl/>
        <w:numPr>
          <w:ilvl w:val="0"/>
          <w:numId w:val="3"/>
        </w:numPr>
        <w:kinsoku/>
        <w:wordWrap/>
        <w:overflowPunct/>
        <w:topLinePunct w:val="0"/>
        <w:autoSpaceDE/>
        <w:autoSpaceDN/>
        <w:bidi w:val="0"/>
        <w:adjustRightInd/>
        <w:snapToGrid/>
        <w:spacing w:before="60" w:beforeLines="25" w:after="60" w:afterLines="25"/>
        <w:ind w:left="0" w:leftChars="0" w:firstLine="425" w:firstLineChars="0"/>
        <w:textAlignment w:val="auto"/>
        <w:rPr>
          <w:rFonts w:hint="default" w:ascii="宋体" w:hAnsi="宋体"/>
          <w:szCs w:val="21"/>
          <w:highlight w:val="none"/>
          <w:lang w:val="en-US"/>
        </w:rPr>
      </w:pPr>
      <w:r>
        <w:rPr>
          <w:rFonts w:hint="eastAsia" w:ascii="宋体" w:hAnsi="宋体" w:eastAsia="Times New Roman" w:cs="Times New Roman"/>
          <w:szCs w:val="21"/>
          <w:highlight w:val="none"/>
          <w:lang w:val="en-US" w:eastAsia="zh-CN"/>
        </w:rPr>
        <w:t>项目完成（服务期满）后的服务承诺</w:t>
      </w:r>
    </w:p>
    <w:p w14:paraId="250F41E1">
      <w:pPr>
        <w:pStyle w:val="8"/>
        <w:keepNext w:val="0"/>
        <w:keepLines w:val="0"/>
        <w:pageBreakBefore w:val="0"/>
        <w:widowControl/>
        <w:numPr>
          <w:ilvl w:val="0"/>
          <w:numId w:val="3"/>
        </w:numPr>
        <w:kinsoku/>
        <w:wordWrap/>
        <w:overflowPunct/>
        <w:topLinePunct w:val="0"/>
        <w:autoSpaceDE/>
        <w:autoSpaceDN/>
        <w:bidi w:val="0"/>
        <w:adjustRightInd/>
        <w:snapToGrid/>
        <w:spacing w:before="60" w:beforeLines="25" w:after="60" w:afterLines="25"/>
        <w:ind w:left="0" w:leftChars="0" w:firstLine="425" w:firstLineChars="0"/>
        <w:textAlignment w:val="auto"/>
        <w:rPr>
          <w:rFonts w:hint="default" w:ascii="宋体" w:hAnsi="宋体"/>
          <w:szCs w:val="21"/>
          <w:highlight w:val="none"/>
        </w:rPr>
      </w:pPr>
      <w:r>
        <w:rPr>
          <w:rFonts w:hint="eastAsia" w:ascii="宋体" w:hAnsi="宋体" w:eastAsia="宋体"/>
          <w:szCs w:val="21"/>
          <w:highlight w:val="none"/>
          <w:lang w:eastAsia="zh-CN"/>
        </w:rPr>
        <w:t>违约承诺</w:t>
      </w:r>
    </w:p>
    <w:p w14:paraId="5E3D22DF">
      <w:pPr>
        <w:pStyle w:val="8"/>
        <w:keepNext w:val="0"/>
        <w:keepLines w:val="0"/>
        <w:pageBreakBefore w:val="0"/>
        <w:widowControl/>
        <w:numPr>
          <w:ilvl w:val="0"/>
          <w:numId w:val="3"/>
        </w:numPr>
        <w:kinsoku/>
        <w:wordWrap/>
        <w:overflowPunct/>
        <w:topLinePunct w:val="0"/>
        <w:autoSpaceDE/>
        <w:autoSpaceDN/>
        <w:bidi w:val="0"/>
        <w:adjustRightInd/>
        <w:snapToGrid/>
        <w:spacing w:before="60" w:beforeLines="25" w:after="60" w:afterLines="25"/>
        <w:ind w:left="0" w:leftChars="0" w:firstLine="425" w:firstLineChars="0"/>
        <w:textAlignment w:val="auto"/>
        <w:rPr>
          <w:rFonts w:hint="eastAsia" w:ascii="宋体" w:hAnsi="宋体"/>
          <w:szCs w:val="21"/>
        </w:rPr>
      </w:pPr>
      <w:r>
        <w:rPr>
          <w:rFonts w:hint="eastAsia" w:ascii="宋体" w:hAnsi="宋体"/>
          <w:szCs w:val="21"/>
        </w:rPr>
        <w:t>拟安排的项目负责人情况（仅限一人）</w:t>
      </w:r>
    </w:p>
    <w:p w14:paraId="30580B11">
      <w:pPr>
        <w:pStyle w:val="8"/>
        <w:keepNext w:val="0"/>
        <w:keepLines w:val="0"/>
        <w:pageBreakBefore w:val="0"/>
        <w:widowControl/>
        <w:numPr>
          <w:ilvl w:val="0"/>
          <w:numId w:val="3"/>
        </w:numPr>
        <w:kinsoku/>
        <w:wordWrap/>
        <w:overflowPunct/>
        <w:topLinePunct w:val="0"/>
        <w:autoSpaceDE/>
        <w:autoSpaceDN/>
        <w:bidi w:val="0"/>
        <w:adjustRightInd/>
        <w:snapToGrid/>
        <w:spacing w:before="60" w:beforeLines="25" w:after="60" w:afterLines="25"/>
        <w:ind w:left="0" w:leftChars="0" w:firstLine="425" w:firstLineChars="0"/>
        <w:textAlignment w:val="auto"/>
        <w:rPr>
          <w:rFonts w:hint="eastAsia" w:ascii="宋体" w:hAnsi="宋体"/>
          <w:szCs w:val="21"/>
        </w:rPr>
      </w:pPr>
      <w:r>
        <w:rPr>
          <w:rFonts w:hint="eastAsia" w:ascii="宋体" w:hAnsi="宋体"/>
          <w:szCs w:val="21"/>
        </w:rPr>
        <w:t>拟安排的项目主要团队成员（主要技术人员）情况（项目负责人除外）</w:t>
      </w:r>
    </w:p>
    <w:p w14:paraId="4D9B592D">
      <w:pPr>
        <w:pStyle w:val="8"/>
        <w:keepNext w:val="0"/>
        <w:keepLines w:val="0"/>
        <w:pageBreakBefore w:val="0"/>
        <w:widowControl/>
        <w:numPr>
          <w:ilvl w:val="0"/>
          <w:numId w:val="3"/>
        </w:numPr>
        <w:kinsoku/>
        <w:wordWrap/>
        <w:overflowPunct/>
        <w:topLinePunct w:val="0"/>
        <w:autoSpaceDE/>
        <w:autoSpaceDN/>
        <w:bidi w:val="0"/>
        <w:adjustRightInd/>
        <w:snapToGrid/>
        <w:spacing w:before="60" w:beforeLines="25" w:after="60" w:afterLines="25"/>
        <w:ind w:left="0" w:leftChars="0" w:firstLine="425" w:firstLineChars="0"/>
        <w:textAlignment w:val="auto"/>
        <w:rPr>
          <w:rFonts w:hint="eastAsia" w:ascii="宋体" w:hAnsi="宋体"/>
          <w:szCs w:val="21"/>
        </w:rPr>
      </w:pPr>
      <w:r>
        <w:rPr>
          <w:rFonts w:hint="eastAsia" w:ascii="宋体" w:hAnsi="宋体"/>
          <w:szCs w:val="21"/>
        </w:rPr>
        <w:t>拟投入的服务资源（车辆、场地、工具、机器等）情况</w:t>
      </w:r>
    </w:p>
    <w:p w14:paraId="3F0F4572">
      <w:pPr>
        <w:pStyle w:val="8"/>
        <w:keepNext w:val="0"/>
        <w:keepLines w:val="0"/>
        <w:pageBreakBefore w:val="0"/>
        <w:widowControl/>
        <w:numPr>
          <w:ilvl w:val="0"/>
          <w:numId w:val="3"/>
        </w:numPr>
        <w:kinsoku/>
        <w:wordWrap/>
        <w:overflowPunct/>
        <w:topLinePunct w:val="0"/>
        <w:autoSpaceDE/>
        <w:autoSpaceDN/>
        <w:bidi w:val="0"/>
        <w:adjustRightInd/>
        <w:snapToGrid/>
        <w:spacing w:before="60" w:beforeLines="25" w:after="60" w:afterLines="25"/>
        <w:ind w:left="0" w:leftChars="0" w:firstLine="425" w:firstLineChars="0"/>
        <w:textAlignment w:val="auto"/>
        <w:rPr>
          <w:rFonts w:hint="eastAsia" w:ascii="宋体" w:hAnsi="宋体"/>
          <w:szCs w:val="21"/>
        </w:rPr>
      </w:pPr>
      <w:r>
        <w:rPr>
          <w:rFonts w:hint="eastAsia" w:ascii="宋体" w:hAnsi="宋体"/>
          <w:szCs w:val="21"/>
        </w:rPr>
        <w:t>供应商认证情况</w:t>
      </w:r>
    </w:p>
    <w:p w14:paraId="58F7320B">
      <w:pPr>
        <w:pStyle w:val="8"/>
        <w:keepNext w:val="0"/>
        <w:keepLines w:val="0"/>
        <w:pageBreakBefore w:val="0"/>
        <w:widowControl/>
        <w:numPr>
          <w:ilvl w:val="0"/>
          <w:numId w:val="3"/>
        </w:numPr>
        <w:kinsoku/>
        <w:wordWrap/>
        <w:overflowPunct/>
        <w:topLinePunct w:val="0"/>
        <w:autoSpaceDE/>
        <w:autoSpaceDN/>
        <w:bidi w:val="0"/>
        <w:adjustRightInd/>
        <w:snapToGrid/>
        <w:spacing w:before="60" w:beforeLines="25" w:after="60" w:afterLines="25"/>
        <w:ind w:left="0" w:leftChars="0" w:firstLine="425" w:firstLineChars="0"/>
        <w:textAlignment w:val="auto"/>
        <w:rPr>
          <w:rFonts w:hint="eastAsia" w:ascii="宋体" w:hAnsi="宋体"/>
          <w:szCs w:val="21"/>
        </w:rPr>
      </w:pPr>
      <w:r>
        <w:rPr>
          <w:rFonts w:hint="eastAsia" w:ascii="宋体" w:hAnsi="宋体"/>
          <w:szCs w:val="21"/>
        </w:rPr>
        <w:t>供应商同类项目业绩情况</w:t>
      </w:r>
    </w:p>
    <w:p w14:paraId="344F7AAD">
      <w:pPr>
        <w:pStyle w:val="8"/>
        <w:keepNext w:val="0"/>
        <w:keepLines w:val="0"/>
        <w:pageBreakBefore w:val="0"/>
        <w:widowControl/>
        <w:numPr>
          <w:ilvl w:val="0"/>
          <w:numId w:val="3"/>
        </w:numPr>
        <w:kinsoku/>
        <w:wordWrap/>
        <w:overflowPunct/>
        <w:topLinePunct w:val="0"/>
        <w:autoSpaceDE/>
        <w:autoSpaceDN/>
        <w:bidi w:val="0"/>
        <w:adjustRightInd/>
        <w:snapToGrid/>
        <w:spacing w:before="60" w:beforeLines="25" w:after="60" w:afterLines="25"/>
        <w:ind w:left="0" w:leftChars="0" w:firstLine="425" w:firstLineChars="0"/>
        <w:textAlignment w:val="auto"/>
        <w:rPr>
          <w:rFonts w:hint="eastAsia" w:ascii="宋体" w:hAnsi="宋体"/>
          <w:szCs w:val="21"/>
        </w:rPr>
      </w:pPr>
      <w:r>
        <w:rPr>
          <w:rFonts w:hint="eastAsia" w:ascii="宋体" w:hAnsi="宋体"/>
          <w:szCs w:val="21"/>
        </w:rPr>
        <w:t>供应商自主知识产权产品（创新、设计）情况</w:t>
      </w:r>
    </w:p>
    <w:p w14:paraId="64FF04D8">
      <w:pPr>
        <w:pStyle w:val="8"/>
        <w:keepNext w:val="0"/>
        <w:keepLines w:val="0"/>
        <w:pageBreakBefore w:val="0"/>
        <w:widowControl/>
        <w:numPr>
          <w:ilvl w:val="0"/>
          <w:numId w:val="3"/>
        </w:numPr>
        <w:kinsoku/>
        <w:wordWrap/>
        <w:overflowPunct/>
        <w:topLinePunct w:val="0"/>
        <w:autoSpaceDE/>
        <w:autoSpaceDN/>
        <w:bidi w:val="0"/>
        <w:adjustRightInd/>
        <w:snapToGrid/>
        <w:spacing w:before="60" w:beforeLines="25" w:after="60" w:afterLines="25"/>
        <w:ind w:left="0" w:leftChars="0" w:firstLine="425" w:firstLineChars="0"/>
        <w:textAlignment w:val="auto"/>
        <w:rPr>
          <w:rFonts w:hint="eastAsia" w:ascii="宋体" w:hAnsi="宋体"/>
          <w:szCs w:val="21"/>
        </w:rPr>
      </w:pPr>
      <w:r>
        <w:rPr>
          <w:rFonts w:hint="eastAsia" w:ascii="宋体" w:hAnsi="宋体"/>
          <w:szCs w:val="21"/>
        </w:rPr>
        <w:t>服务网点</w:t>
      </w:r>
    </w:p>
    <w:p w14:paraId="25E65D40">
      <w:pPr>
        <w:pStyle w:val="8"/>
        <w:keepNext w:val="0"/>
        <w:keepLines w:val="0"/>
        <w:pageBreakBefore w:val="0"/>
        <w:widowControl/>
        <w:numPr>
          <w:ilvl w:val="0"/>
          <w:numId w:val="3"/>
        </w:numPr>
        <w:kinsoku/>
        <w:wordWrap/>
        <w:overflowPunct/>
        <w:topLinePunct w:val="0"/>
        <w:autoSpaceDE/>
        <w:autoSpaceDN/>
        <w:bidi w:val="0"/>
        <w:adjustRightInd/>
        <w:snapToGrid/>
        <w:spacing w:before="60" w:beforeLines="25" w:after="60" w:afterLines="25"/>
        <w:ind w:left="0" w:leftChars="0" w:firstLine="425" w:firstLineChars="0"/>
        <w:textAlignment w:val="auto"/>
        <w:rPr>
          <w:rFonts w:hint="eastAsia" w:ascii="宋体" w:hAnsi="宋体"/>
          <w:szCs w:val="21"/>
        </w:rPr>
      </w:pPr>
      <w:r>
        <w:rPr>
          <w:rFonts w:hint="eastAsia" w:ascii="宋体" w:hAnsi="宋体"/>
          <w:szCs w:val="21"/>
        </w:rPr>
        <w:t>其它招标文件要求的内容及投标人认为需要补充的内容（格式自定）</w:t>
      </w:r>
    </w:p>
    <w:p w14:paraId="27233EB4">
      <w:pPr>
        <w:pStyle w:val="8"/>
        <w:spacing w:before="60" w:beforeLines="25" w:after="60" w:afterLines="25"/>
        <w:ind w:firstLine="1132" w:firstLineChars="472"/>
        <w:rPr>
          <w:szCs w:val="21"/>
        </w:rPr>
      </w:pPr>
      <w:r>
        <w:rPr>
          <w:rFonts w:hint="eastAsia"/>
          <w:szCs w:val="21"/>
        </w:rPr>
        <w:t>注：具体按评分信息设置标书节点</w:t>
      </w:r>
    </w:p>
    <w:p w14:paraId="56654A33">
      <w:pPr>
        <w:pStyle w:val="8"/>
        <w:ind w:firstLine="484" w:firstLineChars="202"/>
        <w:rPr>
          <w:rFonts w:ascii="宋体"/>
          <w:szCs w:val="21"/>
        </w:rPr>
      </w:pPr>
    </w:p>
    <w:p w14:paraId="34E662BA">
      <w:pPr>
        <w:pStyle w:val="8"/>
        <w:ind w:firstLine="484" w:firstLineChars="202"/>
        <w:rPr>
          <w:rFonts w:ascii="宋体"/>
          <w:szCs w:val="21"/>
        </w:rPr>
      </w:pPr>
      <w:r>
        <w:rPr>
          <w:rFonts w:ascii="宋体" w:hAnsi="宋体"/>
          <w:szCs w:val="21"/>
        </w:rPr>
        <w:t>2.</w:t>
      </w:r>
      <w:r>
        <w:rPr>
          <w:rFonts w:hint="eastAsia" w:ascii="宋体" w:hAnsi="宋体"/>
          <w:szCs w:val="21"/>
        </w:rPr>
        <w:t>投标文件附件</w:t>
      </w:r>
      <w:r>
        <w:rPr>
          <w:rFonts w:hint="eastAsia" w:ascii="宋体" w:hAnsi="宋体"/>
          <w:b/>
          <w:szCs w:val="21"/>
        </w:rPr>
        <w:t>（非信息公开部分）</w:t>
      </w:r>
      <w:r>
        <w:rPr>
          <w:rFonts w:hint="eastAsia" w:ascii="宋体" w:hAnsi="宋体"/>
          <w:szCs w:val="21"/>
        </w:rPr>
        <w:t>，主要包括以下内容：</w:t>
      </w:r>
    </w:p>
    <w:p w14:paraId="47DCBDFC">
      <w:pPr>
        <w:pStyle w:val="8"/>
        <w:keepNext w:val="0"/>
        <w:keepLines w:val="0"/>
        <w:pageBreakBefore w:val="0"/>
        <w:widowControl/>
        <w:numPr>
          <w:ilvl w:val="0"/>
          <w:numId w:val="4"/>
        </w:numPr>
        <w:kinsoku/>
        <w:wordWrap/>
        <w:overflowPunct/>
        <w:topLinePunct w:val="0"/>
        <w:autoSpaceDE/>
        <w:autoSpaceDN/>
        <w:bidi w:val="0"/>
        <w:adjustRightInd/>
        <w:snapToGrid/>
        <w:spacing w:before="60" w:beforeLines="25" w:after="60" w:afterLines="25"/>
        <w:ind w:left="0" w:leftChars="0" w:firstLine="425" w:firstLineChars="0"/>
        <w:textAlignment w:val="auto"/>
        <w:rPr>
          <w:rFonts w:ascii="宋体" w:hAnsi="宋体"/>
          <w:szCs w:val="21"/>
        </w:rPr>
      </w:pPr>
      <w:r>
        <w:rPr>
          <w:rFonts w:hint="eastAsia" w:ascii="宋体" w:hAnsi="宋体"/>
          <w:szCs w:val="21"/>
        </w:rPr>
        <w:t>法定代表人（负责人）资格证明书</w:t>
      </w:r>
    </w:p>
    <w:p w14:paraId="0745B833">
      <w:pPr>
        <w:pStyle w:val="8"/>
        <w:keepNext w:val="0"/>
        <w:keepLines w:val="0"/>
        <w:pageBreakBefore w:val="0"/>
        <w:widowControl/>
        <w:numPr>
          <w:ilvl w:val="0"/>
          <w:numId w:val="4"/>
        </w:numPr>
        <w:kinsoku/>
        <w:wordWrap/>
        <w:overflowPunct/>
        <w:topLinePunct w:val="0"/>
        <w:autoSpaceDE/>
        <w:autoSpaceDN/>
        <w:bidi w:val="0"/>
        <w:adjustRightInd/>
        <w:snapToGrid/>
        <w:spacing w:before="60" w:beforeLines="25" w:after="60" w:afterLines="25"/>
        <w:ind w:left="0" w:leftChars="0" w:firstLine="425" w:firstLineChars="0"/>
        <w:textAlignment w:val="auto"/>
        <w:rPr>
          <w:rFonts w:ascii="宋体" w:hAnsi="宋体"/>
          <w:szCs w:val="21"/>
        </w:rPr>
      </w:pPr>
      <w:r>
        <w:rPr>
          <w:rFonts w:hint="eastAsia" w:ascii="宋体" w:hAnsi="宋体"/>
          <w:szCs w:val="21"/>
        </w:rPr>
        <w:t>投标文件签署授权委托书</w:t>
      </w:r>
    </w:p>
    <w:p w14:paraId="50183C75">
      <w:pPr>
        <w:pStyle w:val="8"/>
        <w:keepNext w:val="0"/>
        <w:keepLines w:val="0"/>
        <w:pageBreakBefore w:val="0"/>
        <w:widowControl/>
        <w:numPr>
          <w:ilvl w:val="0"/>
          <w:numId w:val="4"/>
        </w:numPr>
        <w:kinsoku/>
        <w:wordWrap/>
        <w:overflowPunct/>
        <w:topLinePunct w:val="0"/>
        <w:autoSpaceDE/>
        <w:autoSpaceDN/>
        <w:bidi w:val="0"/>
        <w:adjustRightInd/>
        <w:snapToGrid/>
        <w:spacing w:before="60" w:beforeLines="25" w:after="60" w:afterLines="25"/>
        <w:ind w:left="0" w:leftChars="0" w:firstLine="425" w:firstLineChars="0"/>
        <w:textAlignment w:val="auto"/>
        <w:rPr>
          <w:rFonts w:hint="eastAsia" w:ascii="宋体" w:hAnsi="宋体"/>
          <w:szCs w:val="21"/>
          <w:highlight w:val="none"/>
        </w:rPr>
      </w:pPr>
      <w:r>
        <w:rPr>
          <w:rFonts w:hint="eastAsia" w:ascii="宋体" w:hAnsi="宋体"/>
          <w:szCs w:val="21"/>
          <w:highlight w:val="none"/>
        </w:rPr>
        <w:t>实质性条款响应情况表</w:t>
      </w:r>
    </w:p>
    <w:p w14:paraId="5BA79826">
      <w:pPr>
        <w:pStyle w:val="8"/>
        <w:keepNext w:val="0"/>
        <w:keepLines w:val="0"/>
        <w:pageBreakBefore w:val="0"/>
        <w:widowControl/>
        <w:numPr>
          <w:ilvl w:val="0"/>
          <w:numId w:val="4"/>
        </w:numPr>
        <w:kinsoku/>
        <w:wordWrap/>
        <w:overflowPunct/>
        <w:topLinePunct w:val="0"/>
        <w:autoSpaceDE/>
        <w:autoSpaceDN/>
        <w:bidi w:val="0"/>
        <w:adjustRightInd/>
        <w:snapToGrid/>
        <w:spacing w:before="60" w:beforeLines="25" w:after="60" w:afterLines="25"/>
        <w:ind w:left="0" w:leftChars="0" w:firstLine="425" w:firstLineChars="0"/>
        <w:textAlignment w:val="auto"/>
        <w:rPr>
          <w:rFonts w:hint="eastAsia" w:ascii="宋体" w:hAnsi="宋体"/>
          <w:szCs w:val="21"/>
          <w:highlight w:val="none"/>
        </w:rPr>
      </w:pPr>
      <w:r>
        <w:rPr>
          <w:rFonts w:hint="eastAsia" w:ascii="宋体" w:hAnsi="宋体"/>
          <w:szCs w:val="21"/>
          <w:highlight w:val="none"/>
        </w:rPr>
        <w:t>服务条款偏离表</w:t>
      </w:r>
    </w:p>
    <w:p w14:paraId="09A1D79C">
      <w:pPr>
        <w:pStyle w:val="8"/>
        <w:keepNext w:val="0"/>
        <w:keepLines w:val="0"/>
        <w:pageBreakBefore w:val="0"/>
        <w:widowControl/>
        <w:numPr>
          <w:ilvl w:val="0"/>
          <w:numId w:val="4"/>
        </w:numPr>
        <w:kinsoku/>
        <w:wordWrap/>
        <w:overflowPunct/>
        <w:topLinePunct w:val="0"/>
        <w:autoSpaceDE/>
        <w:autoSpaceDN/>
        <w:bidi w:val="0"/>
        <w:adjustRightInd/>
        <w:snapToGrid/>
        <w:spacing w:before="60" w:beforeLines="25" w:after="60" w:afterLines="25"/>
        <w:ind w:left="0" w:leftChars="0" w:firstLine="425" w:firstLineChars="0"/>
        <w:textAlignment w:val="auto"/>
        <w:rPr>
          <w:rFonts w:hint="eastAsia" w:ascii="宋体" w:hAnsi="宋体"/>
          <w:szCs w:val="21"/>
          <w:highlight w:val="none"/>
        </w:rPr>
      </w:pPr>
      <w:r>
        <w:rPr>
          <w:rFonts w:hint="eastAsia" w:ascii="宋体" w:hAnsi="宋体"/>
          <w:szCs w:val="21"/>
          <w:highlight w:val="none"/>
        </w:rPr>
        <w:t>商务需求偏离表</w:t>
      </w:r>
    </w:p>
    <w:p w14:paraId="567FAF6C">
      <w:pPr>
        <w:pStyle w:val="8"/>
        <w:keepNext w:val="0"/>
        <w:keepLines w:val="0"/>
        <w:pageBreakBefore w:val="0"/>
        <w:widowControl/>
        <w:numPr>
          <w:ilvl w:val="0"/>
          <w:numId w:val="4"/>
        </w:numPr>
        <w:kinsoku/>
        <w:wordWrap/>
        <w:overflowPunct/>
        <w:topLinePunct w:val="0"/>
        <w:autoSpaceDE/>
        <w:autoSpaceDN/>
        <w:bidi w:val="0"/>
        <w:adjustRightInd/>
        <w:snapToGrid/>
        <w:spacing w:before="60" w:beforeLines="25" w:after="60" w:afterLines="25"/>
        <w:ind w:left="0" w:leftChars="0" w:firstLine="425" w:firstLineChars="0"/>
        <w:textAlignment w:val="auto"/>
        <w:rPr>
          <w:rFonts w:hint="eastAsia" w:ascii="宋体" w:hAnsi="宋体"/>
          <w:szCs w:val="21"/>
          <w:highlight w:val="none"/>
        </w:rPr>
      </w:pPr>
      <w:r>
        <w:rPr>
          <w:rFonts w:hint="eastAsia" w:ascii="宋体" w:hAnsi="宋体"/>
          <w:szCs w:val="21"/>
          <w:highlight w:val="none"/>
        </w:rPr>
        <w:t>供应商基本情况表</w:t>
      </w:r>
    </w:p>
    <w:p w14:paraId="1987B361">
      <w:pPr>
        <w:pStyle w:val="8"/>
        <w:keepNext w:val="0"/>
        <w:keepLines w:val="0"/>
        <w:pageBreakBefore w:val="0"/>
        <w:widowControl/>
        <w:numPr>
          <w:ilvl w:val="0"/>
          <w:numId w:val="4"/>
        </w:numPr>
        <w:kinsoku/>
        <w:wordWrap/>
        <w:overflowPunct/>
        <w:topLinePunct w:val="0"/>
        <w:autoSpaceDE/>
        <w:autoSpaceDN/>
        <w:bidi w:val="0"/>
        <w:adjustRightInd/>
        <w:snapToGrid/>
        <w:spacing w:before="60" w:beforeLines="25" w:after="60" w:afterLines="25"/>
        <w:ind w:left="0" w:leftChars="0" w:firstLine="425" w:firstLineChars="0"/>
        <w:textAlignment w:val="auto"/>
        <w:rPr>
          <w:rFonts w:hint="eastAsia" w:ascii="宋体" w:hAnsi="宋体"/>
          <w:szCs w:val="21"/>
          <w:highlight w:val="none"/>
        </w:rPr>
      </w:pPr>
      <w:r>
        <w:rPr>
          <w:rFonts w:hint="eastAsia" w:ascii="宋体" w:hAnsi="宋体"/>
          <w:szCs w:val="21"/>
          <w:highlight w:val="none"/>
        </w:rPr>
        <w:t>实施方案</w:t>
      </w:r>
    </w:p>
    <w:p w14:paraId="0F293BB4">
      <w:pPr>
        <w:pStyle w:val="8"/>
        <w:keepNext w:val="0"/>
        <w:keepLines w:val="0"/>
        <w:pageBreakBefore w:val="0"/>
        <w:widowControl/>
        <w:numPr>
          <w:ilvl w:val="0"/>
          <w:numId w:val="4"/>
        </w:numPr>
        <w:kinsoku/>
        <w:wordWrap/>
        <w:overflowPunct/>
        <w:topLinePunct w:val="0"/>
        <w:autoSpaceDE/>
        <w:autoSpaceDN/>
        <w:bidi w:val="0"/>
        <w:adjustRightInd/>
        <w:snapToGrid/>
        <w:spacing w:before="60" w:beforeLines="25" w:after="60" w:afterLines="25"/>
        <w:ind w:left="0" w:leftChars="0" w:firstLine="425" w:firstLineChars="0"/>
        <w:textAlignment w:val="auto"/>
        <w:rPr>
          <w:rFonts w:hint="eastAsia" w:ascii="宋体" w:hAnsi="宋体"/>
          <w:szCs w:val="21"/>
          <w:highlight w:val="none"/>
        </w:rPr>
      </w:pPr>
      <w:r>
        <w:rPr>
          <w:rFonts w:hint="eastAsia" w:ascii="宋体" w:hAnsi="宋体"/>
          <w:szCs w:val="21"/>
          <w:highlight w:val="none"/>
        </w:rPr>
        <w:t>平台系统功能设计</w:t>
      </w:r>
    </w:p>
    <w:p w14:paraId="1F0AA806">
      <w:pPr>
        <w:pStyle w:val="8"/>
        <w:keepNext w:val="0"/>
        <w:keepLines w:val="0"/>
        <w:pageBreakBefore w:val="0"/>
        <w:widowControl/>
        <w:numPr>
          <w:ilvl w:val="0"/>
          <w:numId w:val="4"/>
        </w:numPr>
        <w:kinsoku/>
        <w:wordWrap/>
        <w:overflowPunct/>
        <w:topLinePunct w:val="0"/>
        <w:autoSpaceDE/>
        <w:autoSpaceDN/>
        <w:bidi w:val="0"/>
        <w:adjustRightInd/>
        <w:snapToGrid/>
        <w:spacing w:before="60" w:beforeLines="25" w:after="60" w:afterLines="25"/>
        <w:ind w:left="0" w:leftChars="0" w:firstLine="425" w:firstLineChars="0"/>
        <w:textAlignment w:val="auto"/>
        <w:rPr>
          <w:rFonts w:hint="eastAsia" w:ascii="宋体" w:hAnsi="宋体" w:eastAsia="Times New Roman" w:cs="Times New Roman"/>
          <w:szCs w:val="21"/>
        </w:rPr>
      </w:pPr>
      <w:r>
        <w:rPr>
          <w:rFonts w:hint="eastAsia" w:ascii="宋体" w:hAnsi="宋体"/>
          <w:szCs w:val="21"/>
        </w:rPr>
        <w:t>质量（完成时间、安全、环保）保障措施及方案</w:t>
      </w:r>
    </w:p>
    <w:p w14:paraId="7BEBDBE4">
      <w:pPr>
        <w:pStyle w:val="8"/>
        <w:keepNext w:val="0"/>
        <w:keepLines w:val="0"/>
        <w:pageBreakBefore w:val="0"/>
        <w:widowControl/>
        <w:numPr>
          <w:ilvl w:val="0"/>
          <w:numId w:val="4"/>
        </w:numPr>
        <w:kinsoku/>
        <w:wordWrap/>
        <w:overflowPunct/>
        <w:topLinePunct w:val="0"/>
        <w:autoSpaceDE/>
        <w:autoSpaceDN/>
        <w:bidi w:val="0"/>
        <w:adjustRightInd/>
        <w:snapToGrid/>
        <w:spacing w:before="60" w:beforeLines="25" w:after="60" w:afterLines="25"/>
        <w:ind w:left="0" w:leftChars="0" w:firstLine="425" w:firstLineChars="0"/>
        <w:textAlignment w:val="auto"/>
        <w:rPr>
          <w:rFonts w:hint="eastAsia" w:ascii="宋体" w:hAnsi="宋体" w:eastAsia="Times New Roman" w:cs="Times New Roman"/>
          <w:szCs w:val="21"/>
        </w:rPr>
      </w:pPr>
      <w:r>
        <w:rPr>
          <w:rFonts w:hint="eastAsia" w:ascii="宋体" w:hAnsi="宋体"/>
          <w:szCs w:val="21"/>
        </w:rPr>
        <w:t>其它招标文件要求的内容及</w:t>
      </w:r>
      <w:r>
        <w:rPr>
          <w:rFonts w:hint="eastAsia" w:ascii="宋体" w:hAnsi="宋体" w:eastAsia="Times New Roman" w:cs="Times New Roman"/>
          <w:szCs w:val="21"/>
        </w:rPr>
        <w:t>投标人认为需要补充的内容（格式自定）</w:t>
      </w:r>
    </w:p>
    <w:p w14:paraId="52BD28E3">
      <w:pPr>
        <w:ind w:firstLine="485" w:firstLineChars="202"/>
        <w:rPr>
          <w:rFonts w:ascii="仿宋_GB2312" w:eastAsia="仿宋_GB2312"/>
          <w:b/>
          <w:sz w:val="30"/>
          <w:szCs w:val="30"/>
        </w:rPr>
      </w:pPr>
      <w:r>
        <w:rPr>
          <w:rFonts w:hint="eastAsia" w:ascii="宋体" w:hAnsi="宋体"/>
          <w:b/>
          <w:szCs w:val="21"/>
        </w:rPr>
        <w:br w:type="page"/>
      </w:r>
      <w:r>
        <w:rPr>
          <w:rFonts w:hint="eastAsia" w:ascii="仿宋_GB2312" w:eastAsia="仿宋_GB2312"/>
          <w:b/>
          <w:sz w:val="30"/>
          <w:szCs w:val="30"/>
        </w:rPr>
        <w:t>投标文件正文（信息公开部分）：</w:t>
      </w:r>
    </w:p>
    <w:p w14:paraId="50787139">
      <w:pPr>
        <w:pStyle w:val="6"/>
        <w:numPr>
          <w:ilvl w:val="0"/>
          <w:numId w:val="5"/>
        </w:numPr>
        <w:ind w:left="0" w:leftChars="0" w:firstLine="420" w:firstLineChars="0"/>
        <w:jc w:val="center"/>
        <w:rPr>
          <w:rFonts w:ascii="黑体" w:eastAsia="黑体"/>
          <w:b w:val="0"/>
          <w:sz w:val="24"/>
        </w:rPr>
      </w:pPr>
      <w:r>
        <w:rPr>
          <w:rFonts w:hint="eastAsia" w:ascii="黑体" w:eastAsia="黑体"/>
          <w:b w:val="0"/>
          <w:sz w:val="24"/>
        </w:rPr>
        <w:t>投标函</w:t>
      </w:r>
    </w:p>
    <w:p w14:paraId="7E71BF44">
      <w:pPr>
        <w:spacing w:line="360" w:lineRule="auto"/>
        <w:rPr>
          <w:rFonts w:ascii="宋体" w:hAnsi="宋体" w:eastAsia="宋体" w:cs="宋体"/>
          <w:sz w:val="22"/>
          <w:szCs w:val="22"/>
        </w:rPr>
      </w:pPr>
      <w:r>
        <w:rPr>
          <w:rFonts w:hint="eastAsia" w:ascii="宋体" w:hAnsi="宋体" w:eastAsia="宋体" w:cs="宋体"/>
          <w:sz w:val="22"/>
          <w:szCs w:val="22"/>
        </w:rPr>
        <w:t>致：</w:t>
      </w:r>
      <w:r>
        <w:rPr>
          <w:rFonts w:hint="eastAsia" w:ascii="宋体" w:hAnsi="宋体" w:eastAsia="宋体" w:cs="宋体"/>
          <w:sz w:val="22"/>
          <w:szCs w:val="22"/>
          <w:u w:val="single"/>
        </w:rPr>
        <w:t>深圳市东海国际招标有限公司</w:t>
      </w:r>
    </w:p>
    <w:p w14:paraId="1E79A4DB">
      <w:pPr>
        <w:spacing w:after="120" w:afterLines="50" w:line="360" w:lineRule="auto"/>
        <w:ind w:firstLine="440" w:firstLineChars="200"/>
        <w:rPr>
          <w:rFonts w:ascii="宋体" w:hAnsi="宋体" w:eastAsia="宋体" w:cs="宋体"/>
          <w:sz w:val="22"/>
          <w:szCs w:val="22"/>
        </w:rPr>
      </w:pPr>
      <w:r>
        <w:rPr>
          <w:rFonts w:hint="eastAsia" w:ascii="宋体" w:hAnsi="宋体" w:eastAsia="宋体" w:cs="宋体"/>
          <w:sz w:val="22"/>
          <w:szCs w:val="22"/>
        </w:rPr>
        <w:t>1、根据已收到贵方的招标编号为</w:t>
      </w:r>
      <w:r>
        <w:rPr>
          <w:rFonts w:hint="eastAsia" w:ascii="宋体" w:hAnsi="宋体" w:eastAsia="宋体" w:cs="宋体"/>
          <w:sz w:val="22"/>
          <w:szCs w:val="22"/>
          <w:u w:val="single"/>
        </w:rPr>
        <w:t xml:space="preserve">       </w:t>
      </w:r>
      <w:r>
        <w:rPr>
          <w:rFonts w:hint="eastAsia" w:ascii="宋体" w:hAnsi="宋体" w:eastAsia="宋体" w:cs="宋体"/>
          <w:sz w:val="22"/>
          <w:szCs w:val="22"/>
        </w:rPr>
        <w:t>的</w:t>
      </w:r>
      <w:r>
        <w:rPr>
          <w:rFonts w:hint="eastAsia" w:ascii="宋体" w:hAnsi="宋体" w:eastAsia="宋体" w:cs="宋体"/>
          <w:sz w:val="22"/>
          <w:szCs w:val="22"/>
          <w:u w:val="single"/>
        </w:rPr>
        <w:t xml:space="preserve"> </w:t>
      </w:r>
      <w:r>
        <w:rPr>
          <w:rFonts w:ascii="宋体" w:hAnsi="宋体" w:eastAsia="宋体" w:cs="宋体"/>
          <w:sz w:val="22"/>
          <w:szCs w:val="22"/>
          <w:u w:val="single"/>
        </w:rPr>
        <w:t xml:space="preserve">       </w:t>
      </w:r>
      <w:r>
        <w:rPr>
          <w:rFonts w:hint="eastAsia" w:ascii="宋体" w:hAnsi="宋体" w:eastAsia="宋体" w:cs="宋体"/>
          <w:sz w:val="22"/>
          <w:szCs w:val="22"/>
        </w:rPr>
        <w:t>项目的招标文件，遵照《深圳经济特区政府采购条例》和《深圳网上政府采购管理暂行办法》等有关规定，我单位经研究上述招标文件的专用条款及通用条款后，我方愿以投标书编制软件中《开标一览表》中填写的投标报价并按招标文件要求承包上述项目并修补其任何缺陷。</w:t>
      </w:r>
    </w:p>
    <w:p w14:paraId="5D14247E">
      <w:pPr>
        <w:spacing w:after="120" w:afterLines="50" w:line="360" w:lineRule="auto"/>
        <w:ind w:firstLine="440" w:firstLineChars="200"/>
        <w:rPr>
          <w:rFonts w:ascii="宋体" w:hAnsi="宋体" w:eastAsia="宋体" w:cs="宋体"/>
          <w:sz w:val="22"/>
          <w:szCs w:val="22"/>
        </w:rPr>
      </w:pPr>
      <w:r>
        <w:rPr>
          <w:rFonts w:hint="eastAsia" w:ascii="宋体" w:hAnsi="宋体" w:eastAsia="宋体" w:cs="宋体"/>
          <w:sz w:val="22"/>
          <w:szCs w:val="22"/>
        </w:rPr>
        <w:t>2、我方已认真核实了投标文件的全部资料，所有资料均为真实资料。我方对投标文件中全部投标资料的真实性负责，如被证实我方的投标文件中存在虚假资料的，则视为我方隐瞒真实情况、提供虚假资料，我方愿意接受主管部门作出的行政处罚。</w:t>
      </w:r>
    </w:p>
    <w:p w14:paraId="5DBA0F1E">
      <w:pPr>
        <w:spacing w:after="120" w:afterLines="50" w:line="360" w:lineRule="auto"/>
        <w:ind w:firstLine="440" w:firstLineChars="200"/>
        <w:rPr>
          <w:rFonts w:ascii="宋体" w:hAnsi="宋体" w:eastAsia="宋体" w:cs="宋体"/>
          <w:sz w:val="22"/>
          <w:szCs w:val="22"/>
        </w:rPr>
      </w:pPr>
      <w:r>
        <w:rPr>
          <w:rFonts w:hint="eastAsia" w:ascii="宋体" w:hAnsi="宋体" w:eastAsia="宋体" w:cs="宋体"/>
          <w:sz w:val="22"/>
          <w:szCs w:val="22"/>
        </w:rPr>
        <w:t>3、如果我单位中标，我单位将按照招标文件的要求提交履约担保（可提供保函或现金）（如有）。</w:t>
      </w:r>
    </w:p>
    <w:p w14:paraId="15959394">
      <w:pPr>
        <w:spacing w:after="120" w:afterLines="50" w:line="360" w:lineRule="auto"/>
        <w:ind w:firstLine="431" w:firstLineChars="196"/>
        <w:rPr>
          <w:rFonts w:ascii="宋体" w:hAnsi="宋体" w:eastAsia="宋体" w:cs="宋体"/>
          <w:sz w:val="22"/>
          <w:szCs w:val="22"/>
        </w:rPr>
      </w:pPr>
      <w:r>
        <w:rPr>
          <w:rFonts w:hint="eastAsia" w:ascii="宋体" w:hAnsi="宋体" w:eastAsia="宋体" w:cs="宋体"/>
          <w:sz w:val="22"/>
          <w:szCs w:val="22"/>
        </w:rPr>
        <w:t>4、我方同意所递交的投标文件在“对通用条款的补充内容”中的投标有效期内有效，在此期间内我方的投标有可能中标，我方将受此约束。</w:t>
      </w:r>
    </w:p>
    <w:p w14:paraId="5A464841">
      <w:pPr>
        <w:spacing w:after="120" w:afterLines="50" w:line="360" w:lineRule="auto"/>
        <w:ind w:firstLine="431" w:firstLineChars="196"/>
        <w:rPr>
          <w:rFonts w:ascii="宋体" w:hAnsi="宋体" w:eastAsia="宋体" w:cs="宋体"/>
          <w:sz w:val="22"/>
          <w:szCs w:val="22"/>
        </w:rPr>
      </w:pPr>
      <w:r>
        <w:rPr>
          <w:rFonts w:hint="eastAsia" w:ascii="宋体" w:hAnsi="宋体" w:eastAsia="宋体" w:cs="宋体"/>
          <w:sz w:val="22"/>
          <w:szCs w:val="22"/>
        </w:rPr>
        <w:t>5、除非另外达成协议并生效，贵方的中标通知书和本投标文件将构成约束我们双方的合同。</w:t>
      </w:r>
    </w:p>
    <w:p w14:paraId="38269A98">
      <w:pPr>
        <w:spacing w:after="120" w:afterLines="50" w:line="360" w:lineRule="auto"/>
        <w:ind w:firstLine="431" w:firstLineChars="196"/>
        <w:rPr>
          <w:rFonts w:ascii="宋体" w:hAnsi="宋体" w:eastAsia="宋体" w:cs="宋体"/>
          <w:sz w:val="22"/>
          <w:szCs w:val="22"/>
        </w:rPr>
      </w:pPr>
      <w:r>
        <w:rPr>
          <w:rFonts w:hint="eastAsia" w:ascii="宋体" w:hAnsi="宋体" w:eastAsia="宋体" w:cs="宋体"/>
          <w:sz w:val="22"/>
          <w:szCs w:val="22"/>
        </w:rPr>
        <w:t>6、我方理解贵方将不受必须接受你们所收到的最低标价或其它任何投标文件的约束。</w:t>
      </w:r>
    </w:p>
    <w:p w14:paraId="452DC50C">
      <w:pPr>
        <w:spacing w:after="120" w:afterLines="50" w:line="360" w:lineRule="auto"/>
        <w:ind w:firstLine="433" w:firstLineChars="196"/>
        <w:rPr>
          <w:rFonts w:ascii="宋体" w:hAnsi="宋体" w:eastAsia="宋体" w:cs="宋体"/>
          <w:b/>
          <w:bCs/>
          <w:sz w:val="22"/>
          <w:szCs w:val="22"/>
        </w:rPr>
      </w:pPr>
      <w:r>
        <w:rPr>
          <w:rFonts w:hint="eastAsia" w:ascii="宋体" w:hAnsi="宋体" w:eastAsia="宋体" w:cs="宋体"/>
          <w:b/>
          <w:bCs/>
          <w:sz w:val="22"/>
          <w:szCs w:val="22"/>
        </w:rPr>
        <w:t>7、我方承诺所投标（响应）的货物、工程或服务，不存在侵犯知识产权的情况；已知悉并同意中标（成交）结果信息公示（公开）的内容。</w:t>
      </w:r>
    </w:p>
    <w:p w14:paraId="40D01519">
      <w:pPr>
        <w:spacing w:line="360" w:lineRule="auto"/>
        <w:ind w:left="617" w:leftChars="257"/>
        <w:rPr>
          <w:szCs w:val="21"/>
          <w:u w:val="single"/>
        </w:rPr>
      </w:pPr>
      <w:r>
        <w:rPr>
          <w:rFonts w:hint="eastAsia" w:ascii="宋体" w:hAnsi="宋体" w:eastAsia="宋体" w:cs="宋体"/>
          <w:szCs w:val="21"/>
        </w:rPr>
        <w:t>投标人：单位地址：</w:t>
      </w:r>
    </w:p>
    <w:p w14:paraId="162972E3">
      <w:pPr>
        <w:spacing w:line="360" w:lineRule="auto"/>
        <w:ind w:left="617" w:leftChars="257"/>
        <w:rPr>
          <w:szCs w:val="21"/>
          <w:u w:val="single"/>
        </w:rPr>
      </w:pPr>
      <w:r>
        <w:rPr>
          <w:rFonts w:hint="eastAsia" w:ascii="宋体" w:hAnsi="宋体" w:eastAsia="宋体" w:cs="宋体"/>
          <w:szCs w:val="21"/>
        </w:rPr>
        <w:t>法定代表人或其委托代理人：</w:t>
      </w:r>
    </w:p>
    <w:p w14:paraId="6B60BA56">
      <w:pPr>
        <w:spacing w:line="360" w:lineRule="auto"/>
        <w:ind w:left="617" w:leftChars="257"/>
        <w:rPr>
          <w:szCs w:val="21"/>
          <w:u w:val="single"/>
        </w:rPr>
      </w:pPr>
      <w:r>
        <w:rPr>
          <w:rFonts w:hint="eastAsia" w:ascii="宋体" w:hAnsi="宋体" w:eastAsia="宋体" w:cs="宋体"/>
          <w:szCs w:val="21"/>
        </w:rPr>
        <w:t>邮政编码：电话：传真：</w:t>
      </w:r>
    </w:p>
    <w:p w14:paraId="20C8C3CE">
      <w:pPr>
        <w:spacing w:line="360" w:lineRule="auto"/>
        <w:ind w:left="617" w:leftChars="257"/>
        <w:rPr>
          <w:szCs w:val="21"/>
        </w:rPr>
      </w:pPr>
      <w:r>
        <w:rPr>
          <w:rFonts w:hint="eastAsia" w:ascii="宋体" w:hAnsi="宋体" w:eastAsia="宋体" w:cs="宋体"/>
          <w:szCs w:val="21"/>
        </w:rPr>
        <w:t>开户银行名称：</w:t>
      </w:r>
      <w:r>
        <w:rPr>
          <w:szCs w:val="21"/>
          <w:u w:val="single"/>
        </w:rPr>
        <w:tab/>
      </w:r>
      <w:r>
        <w:rPr>
          <w:szCs w:val="21"/>
          <w:u w:val="single"/>
        </w:rPr>
        <w:tab/>
      </w:r>
      <w:r>
        <w:rPr>
          <w:szCs w:val="21"/>
        </w:rPr>
        <w:tab/>
      </w:r>
      <w:r>
        <w:rPr>
          <w:rFonts w:hint="eastAsia" w:ascii="宋体" w:hAnsi="宋体" w:eastAsia="宋体" w:cs="宋体"/>
          <w:szCs w:val="21"/>
        </w:rPr>
        <w:t>开户银行帐号：</w:t>
      </w:r>
      <w:r>
        <w:rPr>
          <w:szCs w:val="21"/>
          <w:u w:val="single"/>
        </w:rPr>
        <w:tab/>
      </w:r>
      <w:r>
        <w:rPr>
          <w:szCs w:val="21"/>
          <w:u w:val="single"/>
        </w:rPr>
        <w:tab/>
      </w:r>
    </w:p>
    <w:p w14:paraId="1FCBBF16">
      <w:pPr>
        <w:spacing w:line="360" w:lineRule="auto"/>
        <w:ind w:left="617" w:leftChars="257"/>
        <w:rPr>
          <w:szCs w:val="21"/>
        </w:rPr>
      </w:pPr>
      <w:r>
        <w:rPr>
          <w:rFonts w:hint="eastAsia" w:ascii="宋体" w:hAnsi="宋体" w:eastAsia="宋体" w:cs="宋体"/>
          <w:szCs w:val="21"/>
        </w:rPr>
        <w:t>开户银行地址：</w:t>
      </w:r>
      <w:r>
        <w:rPr>
          <w:szCs w:val="21"/>
          <w:u w:val="single"/>
        </w:rPr>
        <w:tab/>
      </w:r>
      <w:r>
        <w:rPr>
          <w:szCs w:val="21"/>
          <w:u w:val="single"/>
        </w:rPr>
        <w:tab/>
      </w:r>
      <w:r>
        <w:rPr>
          <w:szCs w:val="21"/>
        </w:rPr>
        <w:tab/>
      </w:r>
      <w:r>
        <w:rPr>
          <w:rFonts w:hint="eastAsia" w:ascii="宋体" w:hAnsi="宋体" w:eastAsia="宋体" w:cs="宋体"/>
          <w:szCs w:val="21"/>
        </w:rPr>
        <w:t>开户银行电话：</w:t>
      </w:r>
      <w:r>
        <w:rPr>
          <w:szCs w:val="21"/>
          <w:u w:val="single"/>
        </w:rPr>
        <w:tab/>
      </w:r>
      <w:r>
        <w:rPr>
          <w:szCs w:val="21"/>
          <w:u w:val="single"/>
        </w:rPr>
        <w:tab/>
      </w:r>
    </w:p>
    <w:p w14:paraId="02579251">
      <w:pPr>
        <w:spacing w:line="360" w:lineRule="auto"/>
        <w:ind w:firstLine="616" w:firstLineChars="257"/>
        <w:rPr>
          <w:rFonts w:eastAsiaTheme="minorEastAsia"/>
        </w:rPr>
      </w:pPr>
      <w:r>
        <w:rPr>
          <w:rFonts w:hint="eastAsia" w:ascii="宋体" w:hAnsi="宋体"/>
          <w:szCs w:val="21"/>
        </w:rPr>
        <w:t>日期：年月日</w:t>
      </w:r>
    </w:p>
    <w:p w14:paraId="0A10C1A7">
      <w:pPr>
        <w:spacing w:line="360" w:lineRule="auto"/>
        <w:rPr>
          <w:rFonts w:ascii="黑体" w:hAnsi="宋体" w:eastAsia="黑体"/>
        </w:rPr>
      </w:pPr>
    </w:p>
    <w:p w14:paraId="25987528">
      <w:pPr>
        <w:spacing w:line="360" w:lineRule="auto"/>
        <w:rPr>
          <w:rFonts w:ascii="宋体"/>
          <w:szCs w:val="21"/>
        </w:rPr>
      </w:pPr>
      <w:r>
        <w:rPr>
          <w:rFonts w:hint="eastAsia"/>
          <w:szCs w:val="21"/>
          <w:u w:val="single"/>
        </w:rPr>
        <w:t>（备注：如联合体投标，投标人一栏仅需填写牵头人的名称）</w:t>
      </w:r>
    </w:p>
    <w:p w14:paraId="2F6C989B">
      <w:pPr>
        <w:pStyle w:val="6"/>
        <w:numPr>
          <w:ilvl w:val="0"/>
          <w:numId w:val="5"/>
        </w:numPr>
        <w:ind w:left="0" w:leftChars="0" w:firstLine="420" w:firstLineChars="0"/>
        <w:jc w:val="center"/>
        <w:rPr>
          <w:rFonts w:ascii="黑体" w:eastAsia="黑体"/>
          <w:b w:val="0"/>
          <w:sz w:val="24"/>
        </w:rPr>
      </w:pPr>
      <w:r>
        <w:rPr>
          <w:rFonts w:hint="eastAsia" w:ascii="黑体" w:eastAsia="黑体"/>
          <w:b w:val="0"/>
          <w:sz w:val="24"/>
        </w:rPr>
        <w:br w:type="page"/>
      </w:r>
      <w:r>
        <w:rPr>
          <w:rFonts w:hint="eastAsia" w:ascii="黑体" w:eastAsia="黑体"/>
          <w:b w:val="0"/>
          <w:sz w:val="24"/>
        </w:rPr>
        <w:t>政府采购投标及履约承诺函</w:t>
      </w:r>
    </w:p>
    <w:p w14:paraId="2699E977">
      <w:pPr>
        <w:rPr>
          <w:rFonts w:ascii="宋体"/>
        </w:rPr>
      </w:pPr>
    </w:p>
    <w:p w14:paraId="67196087">
      <w:pPr>
        <w:spacing w:line="360" w:lineRule="auto"/>
        <w:rPr>
          <w:rFonts w:hint="eastAsia" w:ascii="宋体" w:hAnsi="宋体" w:eastAsia="宋体" w:cs="宋体"/>
          <w:sz w:val="22"/>
          <w:szCs w:val="22"/>
        </w:rPr>
      </w:pPr>
      <w:r>
        <w:rPr>
          <w:rFonts w:hint="eastAsia" w:ascii="宋体" w:hAnsi="宋体" w:eastAsia="宋体" w:cs="宋体"/>
          <w:sz w:val="22"/>
          <w:szCs w:val="22"/>
        </w:rPr>
        <w:t>致：深圳市东海国际招标有限公司</w:t>
      </w:r>
    </w:p>
    <w:p w14:paraId="6EF97CF8">
      <w:pPr>
        <w:spacing w:line="360" w:lineRule="auto"/>
        <w:ind w:firstLine="440" w:firstLineChars="200"/>
        <w:rPr>
          <w:rFonts w:hint="eastAsia" w:ascii="宋体" w:hAnsi="宋体" w:eastAsia="宋体" w:cs="宋体"/>
          <w:sz w:val="22"/>
          <w:szCs w:val="22"/>
        </w:rPr>
      </w:pPr>
      <w:r>
        <w:rPr>
          <w:rFonts w:hint="eastAsia" w:ascii="宋体" w:hAnsi="宋体" w:eastAsia="宋体" w:cs="宋体"/>
          <w:sz w:val="22"/>
          <w:szCs w:val="22"/>
        </w:rPr>
        <w:t>我单位承诺：</w:t>
      </w:r>
    </w:p>
    <w:p w14:paraId="4D591052">
      <w:pPr>
        <w:spacing w:line="360" w:lineRule="auto"/>
        <w:ind w:firstLine="440" w:firstLineChars="200"/>
        <w:rPr>
          <w:rFonts w:hint="eastAsia" w:ascii="宋体" w:hAnsi="宋体" w:eastAsia="宋体" w:cs="宋体"/>
          <w:sz w:val="22"/>
          <w:szCs w:val="22"/>
        </w:rPr>
      </w:pPr>
      <w:r>
        <w:rPr>
          <w:rFonts w:hint="eastAsia" w:ascii="宋体" w:hAnsi="宋体" w:eastAsia="宋体" w:cs="宋体"/>
          <w:sz w:val="22"/>
          <w:szCs w:val="22"/>
        </w:rPr>
        <w:t>1.我单位参与本项目所投标（响应）的货物、工程或服务，不存在侵犯知识产权的情况；已知悉并同意中标（成交）结果信息公示（公开）的内容。</w:t>
      </w:r>
    </w:p>
    <w:p w14:paraId="72DD727C">
      <w:pPr>
        <w:spacing w:line="360" w:lineRule="auto"/>
        <w:ind w:firstLine="440" w:firstLineChars="200"/>
        <w:rPr>
          <w:rFonts w:hint="eastAsia" w:ascii="宋体" w:hAnsi="宋体" w:eastAsia="宋体" w:cs="宋体"/>
          <w:sz w:val="22"/>
          <w:szCs w:val="22"/>
        </w:rPr>
      </w:pPr>
      <w:r>
        <w:rPr>
          <w:rFonts w:hint="eastAsia" w:ascii="宋体" w:hAnsi="宋体" w:eastAsia="宋体" w:cs="宋体"/>
          <w:sz w:val="22"/>
          <w:szCs w:val="22"/>
        </w:rPr>
        <w:t>2.我单位参与该项目投标，符合招标文件关于联合体及进口产品的相关资格要求。</w:t>
      </w:r>
    </w:p>
    <w:p w14:paraId="2A13E2C3">
      <w:pPr>
        <w:spacing w:line="360" w:lineRule="auto"/>
        <w:ind w:firstLine="440" w:firstLineChars="200"/>
        <w:rPr>
          <w:rFonts w:hint="eastAsia" w:ascii="宋体" w:hAnsi="宋体" w:eastAsia="宋体" w:cs="宋体"/>
          <w:sz w:val="22"/>
          <w:szCs w:val="22"/>
        </w:rPr>
      </w:pPr>
      <w:r>
        <w:rPr>
          <w:rFonts w:hint="eastAsia" w:ascii="宋体" w:hAnsi="宋体" w:eastAsia="宋体" w:cs="宋体"/>
          <w:sz w:val="22"/>
          <w:szCs w:val="22"/>
        </w:rPr>
        <w:t>3.我单位参与本项目政府采购活动时不存在被有关部门禁止参与政府采购活动且在有效期内的情况。</w:t>
      </w:r>
    </w:p>
    <w:p w14:paraId="128F16E5">
      <w:pPr>
        <w:spacing w:line="360" w:lineRule="auto"/>
        <w:ind w:firstLine="440" w:firstLineChars="200"/>
        <w:rPr>
          <w:rFonts w:hint="eastAsia" w:ascii="宋体" w:hAnsi="宋体" w:eastAsia="宋体" w:cs="宋体"/>
          <w:sz w:val="22"/>
          <w:szCs w:val="22"/>
        </w:rPr>
      </w:pPr>
      <w:r>
        <w:rPr>
          <w:rFonts w:hint="eastAsia" w:ascii="宋体" w:hAnsi="宋体" w:eastAsia="宋体" w:cs="宋体"/>
          <w:sz w:val="22"/>
          <w:szCs w:val="22"/>
        </w:rPr>
        <w:t>4.我单位具备《中华人民共和国政府采购法》第二十二条第一款规定的六项条件。</w:t>
      </w:r>
    </w:p>
    <w:p w14:paraId="6FDE985D">
      <w:pPr>
        <w:spacing w:line="360" w:lineRule="auto"/>
        <w:ind w:firstLine="440" w:firstLineChars="200"/>
        <w:rPr>
          <w:rFonts w:hint="eastAsia" w:ascii="宋体" w:hAnsi="宋体" w:eastAsia="宋体" w:cs="宋体"/>
          <w:sz w:val="22"/>
          <w:szCs w:val="22"/>
          <w:lang w:eastAsia="zh-CN"/>
        </w:rPr>
      </w:pPr>
      <w:r>
        <w:rPr>
          <w:rFonts w:hint="eastAsia" w:ascii="宋体" w:hAnsi="宋体" w:eastAsia="宋体" w:cs="宋体"/>
          <w:sz w:val="22"/>
          <w:szCs w:val="22"/>
        </w:rPr>
        <w:t>5.我单位未被列入失信被执行人、重大税收违法案件当事人名单（重大税收违法失信主体）、政府采购严重违法失信行为记录名单</w:t>
      </w:r>
      <w:r>
        <w:rPr>
          <w:rFonts w:hint="eastAsia" w:ascii="宋体" w:hAnsi="宋体" w:eastAsia="宋体" w:cs="宋体"/>
          <w:sz w:val="22"/>
          <w:szCs w:val="22"/>
          <w:lang w:eastAsia="zh-CN"/>
        </w:rPr>
        <w:t>。</w:t>
      </w:r>
    </w:p>
    <w:p w14:paraId="28BA89D3">
      <w:pPr>
        <w:spacing w:line="360" w:lineRule="auto"/>
        <w:ind w:firstLine="440" w:firstLineChars="200"/>
        <w:rPr>
          <w:rFonts w:hint="eastAsia" w:ascii="宋体" w:hAnsi="宋体" w:eastAsia="宋体" w:cs="宋体"/>
          <w:sz w:val="22"/>
          <w:szCs w:val="22"/>
          <w:lang w:eastAsia="zh-CN"/>
        </w:rPr>
      </w:pPr>
      <w:r>
        <w:rPr>
          <w:rFonts w:hint="eastAsia" w:ascii="宋体" w:hAnsi="宋体" w:eastAsia="宋体" w:cs="宋体"/>
          <w:sz w:val="22"/>
          <w:szCs w:val="22"/>
        </w:rPr>
        <w:t>6.</w:t>
      </w:r>
      <w:r>
        <w:rPr>
          <w:rFonts w:hint="eastAsia" w:ascii="宋体" w:hAnsi="宋体" w:eastAsia="宋体" w:cs="宋体"/>
          <w:sz w:val="22"/>
          <w:szCs w:val="22"/>
          <w:lang w:val="en-US" w:eastAsia="zh-CN"/>
        </w:rPr>
        <w:t>我单位</w:t>
      </w:r>
      <w:r>
        <w:rPr>
          <w:rFonts w:hint="eastAsia" w:ascii="宋体" w:hAnsi="宋体" w:eastAsia="宋体" w:cs="宋体"/>
          <w:sz w:val="22"/>
          <w:szCs w:val="22"/>
        </w:rPr>
        <w:t>符合财政部和深圳市财政局关于诚信管理的要求，至投标截止时间，我单位未有在“信用中国”网（www.creditchina.gov.cn）、中国政府采购网（www.ccgp.gov.cn）、深圳市政府采购监督管理网（www.zfcg.sz.gov.cn）和“国家企业信用信息公示系统（www.gsxt.gov.cn）4个官网中列入“失信被执行人、重大税收违法案件当事人名单、政府采购严重违法失信行为记录名单”</w:t>
      </w:r>
      <w:r>
        <w:rPr>
          <w:rFonts w:hint="eastAsia" w:ascii="宋体" w:hAnsi="宋体" w:eastAsia="宋体" w:cs="宋体"/>
          <w:sz w:val="22"/>
          <w:szCs w:val="22"/>
          <w:lang w:eastAsia="zh-CN"/>
        </w:rPr>
        <w:t>。</w:t>
      </w:r>
    </w:p>
    <w:p w14:paraId="3CA7B99E">
      <w:pPr>
        <w:spacing w:line="360" w:lineRule="auto"/>
        <w:ind w:firstLine="440" w:firstLineChars="200"/>
        <w:rPr>
          <w:rFonts w:hint="eastAsia" w:ascii="宋体" w:hAnsi="宋体" w:eastAsia="宋体" w:cs="宋体"/>
          <w:sz w:val="22"/>
          <w:szCs w:val="22"/>
        </w:rPr>
      </w:pPr>
      <w:r>
        <w:rPr>
          <w:rFonts w:hint="eastAsia" w:ascii="宋体" w:hAnsi="宋体" w:eastAsia="宋体" w:cs="宋体"/>
          <w:sz w:val="22"/>
          <w:szCs w:val="22"/>
          <w:lang w:val="en-US" w:eastAsia="zh-CN"/>
        </w:rPr>
        <w:t>7.</w:t>
      </w:r>
      <w:r>
        <w:rPr>
          <w:rFonts w:hint="eastAsia" w:ascii="宋体" w:hAnsi="宋体" w:eastAsia="宋体" w:cs="宋体"/>
          <w:sz w:val="22"/>
          <w:szCs w:val="22"/>
        </w:rPr>
        <w:t>我单位参与该项目投标，严格遵守政府采购相关法律，不造假，不围标、串标、陪标。我单位已清楚，如违反上述要求，投标将作无效处理，被列入不良记录名单并在网上曝光，同时将被提请政府采购主管部门给予一定年限内禁止参与政府采购活动或其他处罚。</w:t>
      </w:r>
    </w:p>
    <w:p w14:paraId="43550086">
      <w:pPr>
        <w:spacing w:line="360" w:lineRule="auto"/>
        <w:ind w:firstLine="440" w:firstLineChars="200"/>
        <w:rPr>
          <w:rFonts w:hint="eastAsia" w:ascii="宋体" w:hAnsi="宋体" w:eastAsia="宋体" w:cs="宋体"/>
          <w:sz w:val="22"/>
          <w:szCs w:val="22"/>
        </w:rPr>
      </w:pPr>
      <w:r>
        <w:rPr>
          <w:rFonts w:hint="eastAsia" w:ascii="宋体" w:hAnsi="宋体" w:eastAsia="宋体" w:cs="宋体"/>
          <w:sz w:val="22"/>
          <w:szCs w:val="22"/>
          <w:lang w:val="en-US" w:eastAsia="zh-CN"/>
        </w:rPr>
        <w:t>8</w:t>
      </w:r>
      <w:r>
        <w:rPr>
          <w:rFonts w:hint="eastAsia" w:ascii="宋体" w:hAnsi="宋体" w:eastAsia="宋体" w:cs="宋体"/>
          <w:sz w:val="22"/>
          <w:szCs w:val="22"/>
        </w:rPr>
        <w:t>.我单位如果中标，做到守信，不偷工减料，依照本项目招标文件需求内容、签署的采购合同及本单位在投标中所作的一切承诺履约。</w:t>
      </w:r>
    </w:p>
    <w:p w14:paraId="0E562FBE">
      <w:pPr>
        <w:spacing w:line="360" w:lineRule="auto"/>
        <w:ind w:firstLine="440" w:firstLineChars="200"/>
        <w:rPr>
          <w:rFonts w:hint="eastAsia" w:ascii="宋体" w:hAnsi="宋体" w:eastAsia="宋体" w:cs="宋体"/>
          <w:sz w:val="22"/>
          <w:szCs w:val="22"/>
        </w:rPr>
      </w:pPr>
      <w:r>
        <w:rPr>
          <w:rFonts w:hint="eastAsia" w:ascii="宋体" w:hAnsi="宋体" w:eastAsia="宋体" w:cs="宋体"/>
          <w:sz w:val="22"/>
          <w:szCs w:val="22"/>
          <w:lang w:val="en-US" w:eastAsia="zh-CN"/>
        </w:rPr>
        <w:t>9.</w:t>
      </w:r>
      <w:r>
        <w:rPr>
          <w:rFonts w:hint="eastAsia" w:ascii="宋体" w:hAnsi="宋体" w:eastAsia="宋体" w:cs="宋体"/>
          <w:sz w:val="22"/>
          <w:szCs w:val="22"/>
        </w:rPr>
        <w:t>我单位对本项目的报价负责，中标后将严格按照本项目招标文件需求、签署的采购合同及我单位在投标中所作的全部承诺履行。我单位清楚，若以“报价太低而无法履约”为理由放弃本项目中标资格时，愿意接受主管部门的处理处罚。若我单位中标本项目，我单位的报价明显低于其他投标人的报价时，我单位清楚，本项目将成为重点监管、重点验收项目，我单位将按时保质保量完成，并全力配合有关监管、验收工作；若我单位未按上述要求履约，我单位愿意接受主管部门的处理处罚。</w:t>
      </w:r>
    </w:p>
    <w:p w14:paraId="14901E3F">
      <w:pPr>
        <w:spacing w:line="360" w:lineRule="auto"/>
        <w:ind w:firstLine="440" w:firstLineChars="200"/>
        <w:rPr>
          <w:rFonts w:hint="eastAsia" w:ascii="宋体" w:hAnsi="宋体" w:eastAsia="宋体" w:cs="宋体"/>
          <w:sz w:val="22"/>
          <w:szCs w:val="22"/>
        </w:rPr>
      </w:pPr>
      <w:r>
        <w:rPr>
          <w:rFonts w:hint="eastAsia" w:ascii="宋体" w:hAnsi="宋体" w:eastAsia="宋体" w:cs="宋体"/>
          <w:sz w:val="22"/>
          <w:szCs w:val="22"/>
          <w:lang w:val="en-US" w:eastAsia="zh-CN"/>
        </w:rPr>
        <w:t>10</w:t>
      </w:r>
      <w:r>
        <w:rPr>
          <w:rFonts w:hint="eastAsia" w:ascii="宋体" w:hAnsi="宋体" w:eastAsia="宋体" w:cs="宋体"/>
          <w:sz w:val="22"/>
          <w:szCs w:val="22"/>
        </w:rPr>
        <w:t>.我单位已认真核实了投标文件的全部内容，所有资料均为真实资料。我单位对投标文件中全部投标资料的真实性负责，如被证实我单位的投标文件中存在虚假资料的，则视为我单位隐瞒真实情况、提供虚假资料，我单位愿意接受主管部门作出的行政处罚。</w:t>
      </w:r>
    </w:p>
    <w:p w14:paraId="06721A15">
      <w:pPr>
        <w:spacing w:line="360" w:lineRule="auto"/>
        <w:ind w:firstLine="440" w:firstLineChars="200"/>
        <w:rPr>
          <w:rFonts w:hint="eastAsia" w:ascii="宋体" w:hAnsi="宋体" w:eastAsia="宋体" w:cs="宋体"/>
          <w:sz w:val="22"/>
          <w:szCs w:val="22"/>
        </w:rPr>
      </w:pPr>
      <w:r>
        <w:rPr>
          <w:rFonts w:hint="eastAsia" w:ascii="宋体" w:hAnsi="宋体" w:eastAsia="宋体" w:cs="宋体"/>
          <w:sz w:val="22"/>
          <w:szCs w:val="22"/>
          <w:lang w:val="en-US" w:eastAsia="zh-CN"/>
        </w:rPr>
        <w:t>11</w:t>
      </w:r>
      <w:r>
        <w:rPr>
          <w:rFonts w:hint="eastAsia" w:ascii="宋体" w:hAnsi="宋体" w:eastAsia="宋体" w:cs="宋体"/>
          <w:sz w:val="22"/>
          <w:szCs w:val="22"/>
        </w:rPr>
        <w:t>.我单位承诺中标后项目不转包，未经采购人同意不进行分包。</w:t>
      </w:r>
    </w:p>
    <w:p w14:paraId="209145DE">
      <w:pPr>
        <w:spacing w:line="360" w:lineRule="auto"/>
        <w:ind w:firstLine="440" w:firstLineChars="200"/>
        <w:rPr>
          <w:rFonts w:hint="eastAsia"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2</w:t>
      </w:r>
      <w:r>
        <w:rPr>
          <w:rFonts w:hint="eastAsia" w:ascii="宋体" w:hAnsi="宋体" w:eastAsia="宋体" w:cs="宋体"/>
          <w:sz w:val="22"/>
          <w:szCs w:val="22"/>
        </w:rPr>
        <w:t>.我单位保证，其所提供的货物通过合法正规渠道供货，在提供给采购人前具有完全的所有权，采购人在中华人民共和国使用该货物或货物的任何一部分时，不会产生因第三方提出的包括但不限于侵犯其专利权、商标权、工业设计权等知识产权和侵犯其所有权、抵押权等物权及其他权利而引发的纠纷；如有纠纷，我单位承担全部责任。</w:t>
      </w:r>
    </w:p>
    <w:p w14:paraId="1800A909">
      <w:pPr>
        <w:spacing w:line="360" w:lineRule="auto"/>
        <w:ind w:firstLine="440" w:firstLineChars="200"/>
        <w:rPr>
          <w:rFonts w:hint="eastAsia"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3</w:t>
      </w:r>
      <w:r>
        <w:rPr>
          <w:rFonts w:hint="eastAsia" w:ascii="宋体" w:hAnsi="宋体" w:eastAsia="宋体" w:cs="宋体"/>
          <w:sz w:val="22"/>
          <w:szCs w:val="22"/>
        </w:rPr>
        <w:t>.我单位保证，若所投货物涉及《财政部生态环境部关于印发节能产品政府采购品目清单的通知》（财库〔2019〕19号）列明的政府采购强制产品，则所投该产品符合节能产品的认证要求。</w:t>
      </w:r>
    </w:p>
    <w:p w14:paraId="6CD661F0">
      <w:pPr>
        <w:spacing w:line="360" w:lineRule="auto"/>
        <w:ind w:firstLine="440" w:firstLineChars="200"/>
        <w:rPr>
          <w:rFonts w:hint="eastAsia"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4</w:t>
      </w:r>
      <w:r>
        <w:rPr>
          <w:rFonts w:hint="eastAsia" w:ascii="宋体" w:hAnsi="宋体" w:eastAsia="宋体" w:cs="宋体"/>
          <w:sz w:val="22"/>
          <w:szCs w:val="22"/>
        </w:rPr>
        <w:t>.我单位保证，不存在“单位负责人为同一人或者存在直接控股、管理关系的不同供应商，不得参加同一合同项下的政府采购活动；为采购项目提供整体设计、规范编制或者项目管理、监理、检测等服务的供应商，不得再参加该采购项目的其他采购活动”的情形。</w:t>
      </w:r>
    </w:p>
    <w:p w14:paraId="683D25C7">
      <w:pPr>
        <w:spacing w:line="360" w:lineRule="auto"/>
        <w:ind w:firstLine="440" w:firstLineChars="200"/>
        <w:rPr>
          <w:rFonts w:hint="eastAsia"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5</w:t>
      </w:r>
      <w:r>
        <w:rPr>
          <w:rFonts w:hint="eastAsia" w:ascii="宋体" w:hAnsi="宋体" w:eastAsia="宋体" w:cs="宋体"/>
          <w:sz w:val="22"/>
          <w:szCs w:val="22"/>
        </w:rPr>
        <w:t>.我单位保证</w:t>
      </w:r>
      <w:r>
        <w:rPr>
          <w:rFonts w:hint="eastAsia" w:ascii="宋体" w:hAnsi="宋体" w:eastAsia="宋体" w:cs="宋体"/>
          <w:sz w:val="22"/>
          <w:szCs w:val="22"/>
          <w:lang w:eastAsia="zh-CN"/>
        </w:rPr>
        <w:t>，</w:t>
      </w:r>
      <w:r>
        <w:rPr>
          <w:rFonts w:hint="eastAsia" w:ascii="宋体" w:hAnsi="宋体" w:eastAsia="宋体" w:cs="宋体"/>
          <w:sz w:val="22"/>
          <w:szCs w:val="22"/>
        </w:rPr>
        <w:t>不存在《深圳市财政局政府采购供应商信用信息管理办法》（深财规（2023）3号）列明的严重违法失信行为。</w:t>
      </w:r>
    </w:p>
    <w:p w14:paraId="4C223F52">
      <w:pPr>
        <w:spacing w:line="360" w:lineRule="auto"/>
        <w:ind w:firstLine="440" w:firstLineChars="200"/>
        <w:rPr>
          <w:rFonts w:hint="eastAsia" w:ascii="宋体" w:hAnsi="宋体" w:eastAsia="宋体" w:cs="宋体"/>
          <w:sz w:val="22"/>
          <w:szCs w:val="22"/>
        </w:rPr>
      </w:pPr>
      <w:r>
        <w:rPr>
          <w:rFonts w:hint="eastAsia" w:ascii="宋体" w:hAnsi="宋体" w:eastAsia="宋体" w:cs="宋体"/>
          <w:sz w:val="22"/>
          <w:szCs w:val="22"/>
          <w:lang w:val="en-US" w:eastAsia="zh-CN"/>
        </w:rPr>
        <w:t>16.</w:t>
      </w:r>
      <w:r>
        <w:rPr>
          <w:rFonts w:hint="eastAsia" w:ascii="宋体" w:hAnsi="宋体" w:eastAsia="宋体" w:cs="宋体"/>
          <w:sz w:val="22"/>
          <w:szCs w:val="22"/>
        </w:rPr>
        <w:t>我单位保证，若所投产品列入强制性产品认证目录的，则所投该产品须获得强制性产品认证证书（即CCC认证）；其中适用自我声明评价方式的产品，则所投该产品须具有“强制性认证产品符合性自我声明”；若所投产品列入工业产品生产许可证管理的产品目录的，则所投该产品生产者（制造商）须获得《全国工业产品生产许可证》。</w:t>
      </w:r>
    </w:p>
    <w:p w14:paraId="2C9C7A8A">
      <w:pPr>
        <w:spacing w:line="360" w:lineRule="auto"/>
        <w:ind w:firstLine="440" w:firstLineChars="200"/>
        <w:rPr>
          <w:rFonts w:hint="eastAsia"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7</w:t>
      </w:r>
      <w:r>
        <w:rPr>
          <w:rFonts w:hint="eastAsia" w:ascii="宋体" w:hAnsi="宋体" w:eastAsia="宋体" w:cs="宋体"/>
          <w:sz w:val="22"/>
          <w:szCs w:val="22"/>
        </w:rPr>
        <w:t>.我单位清楚，如存在违反投标承诺行为情节严重的，将根据《深圳市财政局关于印发&lt;深圳市财政局政府采购供应商信用信息管理办法&gt;的通知》，依法被列入失信信息。</w:t>
      </w:r>
    </w:p>
    <w:p w14:paraId="2FBD9493">
      <w:pPr>
        <w:spacing w:line="360" w:lineRule="auto"/>
        <w:ind w:firstLine="440" w:firstLineChars="200"/>
        <w:rPr>
          <w:rFonts w:hint="eastAsia" w:ascii="宋体" w:hAnsi="宋体" w:eastAsia="宋体" w:cs="宋体"/>
          <w:sz w:val="22"/>
          <w:szCs w:val="22"/>
        </w:rPr>
      </w:pPr>
      <w:r>
        <w:rPr>
          <w:rFonts w:hint="eastAsia" w:ascii="宋体" w:hAnsi="宋体" w:eastAsia="宋体" w:cs="宋体"/>
          <w:sz w:val="22"/>
          <w:szCs w:val="22"/>
          <w:lang w:val="en-US" w:eastAsia="zh-CN" w:bidi="ar-SA"/>
        </w:rPr>
        <w:t>18.</w:t>
      </w:r>
      <w:r>
        <w:rPr>
          <w:rFonts w:hint="eastAsia" w:ascii="宋体" w:hAnsi="宋体" w:eastAsia="宋体" w:cs="宋体"/>
          <w:sz w:val="22"/>
          <w:szCs w:val="22"/>
        </w:rPr>
        <w:t>我单位保证，</w:t>
      </w:r>
      <w:r>
        <w:rPr>
          <w:rFonts w:hint="eastAsia" w:ascii="宋体" w:hAnsi="宋体" w:eastAsia="宋体" w:cs="宋体"/>
          <w:sz w:val="22"/>
          <w:szCs w:val="22"/>
          <w:lang w:val="en-US" w:eastAsia="zh-CN" w:bidi="ar-SA"/>
        </w:rPr>
        <w:t>参与本项目投标前三年内，在经营活动中没有重大违法记录。</w:t>
      </w:r>
    </w:p>
    <w:p w14:paraId="0079055A">
      <w:pPr>
        <w:spacing w:line="360" w:lineRule="auto"/>
        <w:ind w:firstLine="440" w:firstLineChars="200"/>
        <w:rPr>
          <w:rFonts w:hint="eastAsia" w:ascii="宋体" w:hAnsi="宋体" w:eastAsia="宋体" w:cs="宋体"/>
          <w:sz w:val="22"/>
          <w:szCs w:val="22"/>
        </w:rPr>
      </w:pPr>
      <w:r>
        <w:rPr>
          <w:rFonts w:hint="eastAsia" w:ascii="宋体" w:hAnsi="宋体" w:eastAsia="宋体" w:cs="宋体"/>
          <w:sz w:val="22"/>
          <w:szCs w:val="22"/>
        </w:rPr>
        <w:t>以上承诺，如有违反，愿依照国家相关法律法规处理，并承担由此给采购人带来的损失。</w:t>
      </w:r>
    </w:p>
    <w:p w14:paraId="2159C904">
      <w:pPr>
        <w:spacing w:line="360" w:lineRule="auto"/>
        <w:rPr>
          <w:szCs w:val="21"/>
        </w:rPr>
      </w:pPr>
    </w:p>
    <w:p w14:paraId="49457833">
      <w:pPr>
        <w:spacing w:line="360" w:lineRule="auto"/>
        <w:rPr>
          <w:b/>
        </w:rPr>
      </w:pPr>
      <w:r>
        <w:rPr>
          <w:rFonts w:hint="eastAsia"/>
          <w:b/>
          <w:szCs w:val="21"/>
        </w:rPr>
        <w:t>投标人：</w:t>
      </w:r>
    </w:p>
    <w:p w14:paraId="2BBD59E6">
      <w:pPr>
        <w:spacing w:line="360" w:lineRule="auto"/>
        <w:rPr>
          <w:rFonts w:ascii="宋体"/>
          <w:szCs w:val="21"/>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w:t>
      </w:r>
    </w:p>
    <w:p w14:paraId="2518945F">
      <w:pPr>
        <w:spacing w:line="360" w:lineRule="auto"/>
        <w:rPr>
          <w:szCs w:val="21"/>
          <w:u w:val="single"/>
        </w:rPr>
      </w:pPr>
    </w:p>
    <w:p w14:paraId="7AD75CEB">
      <w:pPr>
        <w:spacing w:line="360" w:lineRule="auto"/>
        <w:rPr>
          <w:rFonts w:hint="eastAsia"/>
          <w:szCs w:val="21"/>
          <w:u w:val="single"/>
        </w:rPr>
      </w:pPr>
      <w:r>
        <w:rPr>
          <w:rFonts w:hint="eastAsia"/>
          <w:szCs w:val="21"/>
          <w:u w:val="single"/>
        </w:rPr>
        <w:t>（备注：如联合体投标，投标人一栏需填写联合体双方的名称）</w:t>
      </w:r>
    </w:p>
    <w:p w14:paraId="6F94E74C">
      <w:pPr>
        <w:rPr>
          <w:rFonts w:hint="eastAsia"/>
          <w:szCs w:val="21"/>
          <w:u w:val="single"/>
        </w:rPr>
      </w:pPr>
      <w:r>
        <w:rPr>
          <w:rFonts w:hint="eastAsia"/>
          <w:szCs w:val="21"/>
          <w:u w:val="single"/>
        </w:rPr>
        <w:br w:type="page"/>
      </w:r>
    </w:p>
    <w:p w14:paraId="4E2345FA">
      <w:pPr>
        <w:pStyle w:val="2"/>
        <w:rPr>
          <w:rFonts w:hint="eastAsia"/>
        </w:rPr>
      </w:pPr>
    </w:p>
    <w:p w14:paraId="51CC9EB3">
      <w:pPr>
        <w:pStyle w:val="6"/>
        <w:numPr>
          <w:ilvl w:val="0"/>
          <w:numId w:val="5"/>
        </w:numPr>
        <w:spacing w:before="120" w:after="120"/>
        <w:ind w:left="0" w:leftChars="0" w:firstLine="420" w:firstLineChars="0"/>
        <w:jc w:val="center"/>
        <w:rPr>
          <w:rFonts w:ascii="黑体" w:eastAsia="黑体"/>
          <w:b w:val="0"/>
          <w:sz w:val="24"/>
        </w:rPr>
      </w:pPr>
      <w:r>
        <w:rPr>
          <w:rFonts w:hint="eastAsia" w:ascii="黑体" w:eastAsia="黑体"/>
          <w:b w:val="0"/>
          <w:sz w:val="24"/>
        </w:rPr>
        <w:t>政府采购违法行为风险知悉确认书</w:t>
      </w:r>
    </w:p>
    <w:p w14:paraId="03B869B6">
      <w:pPr>
        <w:keepNext w:val="0"/>
        <w:keepLines w:val="0"/>
        <w:pageBreakBefore w:val="0"/>
        <w:widowControl/>
        <w:kinsoku/>
        <w:wordWrap/>
        <w:overflowPunct/>
        <w:topLinePunct w:val="0"/>
        <w:autoSpaceDE/>
        <w:autoSpaceDN/>
        <w:bidi w:val="0"/>
        <w:adjustRightInd/>
        <w:snapToGrid/>
        <w:spacing w:line="360" w:lineRule="auto"/>
        <w:ind w:firstLine="442" w:firstLineChars="200"/>
        <w:textAlignment w:val="auto"/>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eastAsia="zh-CN"/>
        </w:rPr>
        <w:t>我</w:t>
      </w:r>
      <w:r>
        <w:rPr>
          <w:rFonts w:hint="eastAsia" w:ascii="宋体" w:hAnsi="宋体" w:eastAsia="宋体" w:cs="宋体"/>
          <w:b/>
          <w:bCs/>
          <w:color w:val="000000"/>
          <w:sz w:val="22"/>
          <w:szCs w:val="22"/>
          <w:lang w:val="en-US" w:eastAsia="zh-CN"/>
        </w:rPr>
        <w:t>单位</w:t>
      </w:r>
      <w:r>
        <w:rPr>
          <w:rFonts w:hint="eastAsia" w:ascii="宋体" w:hAnsi="宋体" w:eastAsia="宋体" w:cs="宋体"/>
          <w:b/>
          <w:bCs/>
          <w:color w:val="000000"/>
          <w:sz w:val="22"/>
          <w:szCs w:val="22"/>
        </w:rPr>
        <w:t>在投标前已充分知悉以下情形为参与政府采购活动时的重大风险事项，并承诺已对下述风险提示事项重点排查，</w:t>
      </w:r>
      <w:r>
        <w:rPr>
          <w:rFonts w:hint="eastAsia" w:ascii="宋体" w:hAnsi="宋体" w:eastAsia="宋体" w:cs="宋体"/>
          <w:b/>
          <w:bCs/>
          <w:color w:val="000000"/>
          <w:sz w:val="22"/>
          <w:szCs w:val="22"/>
          <w:lang w:val="en-US" w:eastAsia="zh-CN"/>
        </w:rPr>
        <w:t>若存在下述情况，我单位愿意依法承担被记入供应商诚信档案、罚款、取消参与政府采购资格、吊销营业执照等处罚；构成犯罪的，依法承担刑事责任。</w:t>
      </w:r>
    </w:p>
    <w:tbl>
      <w:tblPr>
        <w:tblStyle w:val="2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7811"/>
      </w:tblGrid>
      <w:tr w14:paraId="1D7D5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711" w:type="dxa"/>
            <w:noWrap w:val="0"/>
            <w:vAlign w:val="top"/>
          </w:tcPr>
          <w:p w14:paraId="236C84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序号</w:t>
            </w:r>
          </w:p>
        </w:tc>
        <w:tc>
          <w:tcPr>
            <w:tcW w:w="7811" w:type="dxa"/>
            <w:noWrap w:val="0"/>
            <w:vAlign w:val="top"/>
          </w:tcPr>
          <w:p w14:paraId="725EB6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供应商参与投标禁止情形</w:t>
            </w:r>
          </w:p>
        </w:tc>
      </w:tr>
      <w:tr w14:paraId="6D767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noWrap w:val="0"/>
            <w:vAlign w:val="top"/>
          </w:tcPr>
          <w:p w14:paraId="331AF7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w:t>
            </w:r>
          </w:p>
        </w:tc>
        <w:tc>
          <w:tcPr>
            <w:tcW w:w="7811" w:type="dxa"/>
            <w:noWrap w:val="0"/>
            <w:vAlign w:val="center"/>
          </w:tcPr>
          <w:p w14:paraId="458171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与其他投标供应商的法定代表人、主要经营负责人、投标授权代表人、项目负责人、主要技术人员为</w:t>
            </w:r>
            <w:r>
              <w:rPr>
                <w:rFonts w:hint="eastAsia" w:ascii="宋体" w:hAnsi="宋体" w:eastAsia="宋体" w:cs="宋体"/>
                <w:b/>
                <w:bCs/>
                <w:color w:val="auto"/>
                <w:sz w:val="22"/>
                <w:szCs w:val="22"/>
                <w:highlight w:val="none"/>
                <w:lang w:val="en-US" w:eastAsia="zh-CN"/>
              </w:rPr>
              <w:t>同一人、属同一单位或者在同一单位缴纳社会保险</w:t>
            </w:r>
            <w:r>
              <w:rPr>
                <w:rFonts w:hint="eastAsia" w:ascii="宋体" w:hAnsi="宋体" w:eastAsia="宋体" w:cs="宋体"/>
                <w:color w:val="auto"/>
                <w:sz w:val="22"/>
                <w:szCs w:val="22"/>
                <w:highlight w:val="none"/>
                <w:lang w:val="en-US" w:eastAsia="zh-CN"/>
              </w:rPr>
              <w:t>。</w:t>
            </w:r>
          </w:p>
        </w:tc>
      </w:tr>
      <w:tr w14:paraId="3D7B2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1" w:type="dxa"/>
            <w:noWrap w:val="0"/>
            <w:vAlign w:val="top"/>
          </w:tcPr>
          <w:p w14:paraId="7747A6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2</w:t>
            </w:r>
          </w:p>
        </w:tc>
        <w:tc>
          <w:tcPr>
            <w:tcW w:w="7811" w:type="dxa"/>
            <w:noWrap w:val="0"/>
            <w:vAlign w:val="center"/>
          </w:tcPr>
          <w:p w14:paraId="527347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参与本项目政府采购活动时，与其他投标供应商存在单位负责人为</w:t>
            </w:r>
            <w:r>
              <w:rPr>
                <w:rFonts w:hint="eastAsia" w:ascii="宋体" w:hAnsi="宋体" w:eastAsia="宋体" w:cs="宋体"/>
                <w:b/>
                <w:bCs/>
                <w:color w:val="auto"/>
                <w:sz w:val="22"/>
                <w:szCs w:val="22"/>
                <w:highlight w:val="none"/>
                <w:lang w:val="en-US" w:eastAsia="zh-CN"/>
              </w:rPr>
              <w:t>同一人或直接控股、管理关系</w:t>
            </w:r>
            <w:r>
              <w:rPr>
                <w:rFonts w:hint="eastAsia" w:ascii="宋体" w:hAnsi="宋体" w:eastAsia="宋体" w:cs="宋体"/>
                <w:color w:val="auto"/>
                <w:sz w:val="22"/>
                <w:szCs w:val="22"/>
                <w:highlight w:val="none"/>
                <w:lang w:val="en-US" w:eastAsia="zh-CN"/>
              </w:rPr>
              <w:t>。</w:t>
            </w:r>
          </w:p>
        </w:tc>
      </w:tr>
      <w:tr w14:paraId="5ACFC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noWrap w:val="0"/>
            <w:vAlign w:val="top"/>
          </w:tcPr>
          <w:p w14:paraId="0B7D33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3</w:t>
            </w:r>
          </w:p>
        </w:tc>
        <w:tc>
          <w:tcPr>
            <w:tcW w:w="7811" w:type="dxa"/>
            <w:noWrap w:val="0"/>
            <w:vAlign w:val="center"/>
          </w:tcPr>
          <w:p w14:paraId="109376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与其他投标供应商的投标文件或部分投标文件</w:t>
            </w:r>
            <w:r>
              <w:rPr>
                <w:rFonts w:hint="eastAsia" w:ascii="宋体" w:hAnsi="宋体" w:eastAsia="宋体" w:cs="宋体"/>
                <w:b/>
                <w:bCs/>
                <w:color w:val="auto"/>
                <w:sz w:val="22"/>
                <w:szCs w:val="22"/>
                <w:highlight w:val="none"/>
                <w:lang w:val="en-US" w:eastAsia="zh-CN"/>
              </w:rPr>
              <w:t>相互混装或存在非正常一致</w:t>
            </w:r>
            <w:r>
              <w:rPr>
                <w:rFonts w:hint="eastAsia" w:ascii="宋体" w:hAnsi="宋体" w:eastAsia="宋体" w:cs="宋体"/>
                <w:color w:val="auto"/>
                <w:sz w:val="22"/>
                <w:szCs w:val="22"/>
                <w:highlight w:val="none"/>
                <w:lang w:val="en-US" w:eastAsia="zh-CN"/>
              </w:rPr>
              <w:t>。</w:t>
            </w:r>
          </w:p>
        </w:tc>
      </w:tr>
      <w:tr w14:paraId="78E8B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noWrap w:val="0"/>
            <w:vAlign w:val="top"/>
          </w:tcPr>
          <w:p w14:paraId="403A21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4</w:t>
            </w:r>
          </w:p>
        </w:tc>
        <w:tc>
          <w:tcPr>
            <w:tcW w:w="7811" w:type="dxa"/>
            <w:noWrap w:val="0"/>
            <w:vAlign w:val="center"/>
          </w:tcPr>
          <w:p w14:paraId="42620D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与其他投标供应商的投标文件由</w:t>
            </w:r>
            <w:r>
              <w:rPr>
                <w:rFonts w:hint="eastAsia" w:ascii="宋体" w:hAnsi="宋体" w:eastAsia="宋体" w:cs="宋体"/>
                <w:b/>
                <w:bCs/>
                <w:color w:val="auto"/>
                <w:sz w:val="22"/>
                <w:szCs w:val="22"/>
                <w:highlight w:val="none"/>
                <w:lang w:val="en-US" w:eastAsia="zh-CN"/>
              </w:rPr>
              <w:t>同一单位或者同一人编制</w:t>
            </w:r>
            <w:r>
              <w:rPr>
                <w:rFonts w:hint="eastAsia" w:ascii="宋体" w:hAnsi="宋体" w:eastAsia="宋体" w:cs="宋体"/>
                <w:color w:val="auto"/>
                <w:sz w:val="22"/>
                <w:szCs w:val="22"/>
                <w:highlight w:val="none"/>
                <w:lang w:val="en-US" w:eastAsia="zh-CN"/>
              </w:rPr>
              <w:t>，或者使用</w:t>
            </w:r>
            <w:r>
              <w:rPr>
                <w:rFonts w:hint="eastAsia" w:ascii="宋体" w:hAnsi="宋体" w:eastAsia="宋体" w:cs="宋体"/>
                <w:b/>
                <w:bCs/>
                <w:color w:val="auto"/>
                <w:sz w:val="22"/>
                <w:szCs w:val="22"/>
                <w:highlight w:val="none"/>
                <w:lang w:val="en-US" w:eastAsia="zh-CN"/>
              </w:rPr>
              <w:t>同一设备编制</w:t>
            </w:r>
            <w:r>
              <w:rPr>
                <w:rFonts w:hint="eastAsia" w:ascii="宋体" w:hAnsi="宋体" w:eastAsia="宋体" w:cs="宋体"/>
                <w:color w:val="auto"/>
                <w:sz w:val="22"/>
                <w:szCs w:val="22"/>
                <w:highlight w:val="none"/>
                <w:lang w:val="en-US" w:eastAsia="zh-CN"/>
              </w:rPr>
              <w:t>（“文件制作机器码”“文件创建标识码”一致）。</w:t>
            </w:r>
          </w:p>
        </w:tc>
      </w:tr>
      <w:tr w14:paraId="5679D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1" w:type="dxa"/>
            <w:noWrap w:val="0"/>
            <w:vAlign w:val="top"/>
          </w:tcPr>
          <w:p w14:paraId="1B44A8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5</w:t>
            </w:r>
          </w:p>
        </w:tc>
        <w:tc>
          <w:tcPr>
            <w:tcW w:w="7811" w:type="dxa"/>
            <w:noWrap w:val="0"/>
            <w:vAlign w:val="center"/>
          </w:tcPr>
          <w:p w14:paraId="70DBBB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提供</w:t>
            </w:r>
            <w:r>
              <w:rPr>
                <w:rFonts w:hint="eastAsia" w:ascii="宋体" w:hAnsi="宋体" w:eastAsia="宋体" w:cs="宋体"/>
                <w:b/>
                <w:bCs/>
                <w:color w:val="auto"/>
                <w:sz w:val="22"/>
                <w:szCs w:val="22"/>
                <w:highlight w:val="none"/>
                <w:lang w:val="en-US" w:eastAsia="zh-CN"/>
              </w:rPr>
              <w:t>未经出具机构核实</w:t>
            </w:r>
            <w:r>
              <w:rPr>
                <w:rFonts w:hint="eastAsia" w:ascii="宋体" w:hAnsi="宋体" w:eastAsia="宋体" w:cs="宋体"/>
                <w:color w:val="auto"/>
                <w:sz w:val="22"/>
                <w:szCs w:val="22"/>
                <w:highlight w:val="none"/>
                <w:lang w:val="en-US" w:eastAsia="zh-CN"/>
              </w:rPr>
              <w:t>的虚假的检验检测报告、业绩材料、社保缴纳证明、学历学位证书、职称认证证书等材料。</w:t>
            </w:r>
          </w:p>
        </w:tc>
      </w:tr>
      <w:tr w14:paraId="6A1AF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noWrap w:val="0"/>
            <w:vAlign w:val="top"/>
          </w:tcPr>
          <w:p w14:paraId="7D07EA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6</w:t>
            </w:r>
          </w:p>
        </w:tc>
        <w:tc>
          <w:tcPr>
            <w:tcW w:w="7811" w:type="dxa"/>
            <w:noWrap w:val="0"/>
            <w:vAlign w:val="center"/>
          </w:tcPr>
          <w:p w14:paraId="5B6BF3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擅自将投标密钥或电子营业执照出借他人使用或未妥善保管。</w:t>
            </w:r>
          </w:p>
        </w:tc>
      </w:tr>
    </w:tbl>
    <w:p w14:paraId="15516148">
      <w:pPr>
        <w:spacing w:line="360" w:lineRule="auto"/>
        <w:ind w:firstLine="440" w:firstLineChars="200"/>
        <w:rPr>
          <w:rFonts w:ascii="宋体" w:hAnsi="宋体" w:eastAsia="宋体" w:cs="宋体"/>
          <w:sz w:val="22"/>
          <w:szCs w:val="22"/>
        </w:rPr>
      </w:pPr>
      <w:r>
        <w:rPr>
          <w:rFonts w:hint="eastAsia" w:ascii="宋体" w:hAnsi="宋体" w:eastAsia="宋体" w:cs="宋体"/>
          <w:color w:val="000000"/>
          <w:sz w:val="22"/>
          <w:szCs w:val="22"/>
        </w:rPr>
        <w:t xml:space="preserve"> </w:t>
      </w:r>
    </w:p>
    <w:p w14:paraId="19E4D552">
      <w:pPr>
        <w:keepNext w:val="0"/>
        <w:keepLines w:val="0"/>
        <w:pageBreakBefore w:val="0"/>
        <w:widowControl/>
        <w:kinsoku/>
        <w:wordWrap/>
        <w:overflowPunct/>
        <w:topLinePunct w:val="0"/>
        <w:autoSpaceDE/>
        <w:autoSpaceDN/>
        <w:bidi w:val="0"/>
        <w:adjustRightInd/>
        <w:snapToGrid/>
        <w:spacing w:line="360" w:lineRule="auto"/>
        <w:ind w:firstLine="442" w:firstLineChars="200"/>
        <w:textAlignment w:val="auto"/>
        <w:rPr>
          <w:rFonts w:ascii="宋体" w:hAnsi="宋体" w:eastAsia="宋体" w:cs="宋体"/>
          <w:sz w:val="22"/>
          <w:szCs w:val="22"/>
        </w:rPr>
      </w:pPr>
      <w:r>
        <w:rPr>
          <w:rFonts w:hint="eastAsia" w:ascii="宋体" w:hAnsi="宋体" w:eastAsia="宋体" w:cs="宋体"/>
          <w:b/>
          <w:bCs/>
          <w:color w:val="000000"/>
          <w:sz w:val="22"/>
          <w:szCs w:val="22"/>
        </w:rPr>
        <w:t>一、本公司已充分知悉“隐瞒真实情况，提供虚假资料”的法定情形，相关情形包括但不限于</w:t>
      </w:r>
      <w:r>
        <w:rPr>
          <w:rFonts w:hint="eastAsia" w:ascii="宋体" w:hAnsi="宋体" w:eastAsia="宋体" w:cs="宋体"/>
          <w:color w:val="000000"/>
          <w:sz w:val="22"/>
          <w:szCs w:val="22"/>
        </w:rPr>
        <w:t xml:space="preserve">： </w:t>
      </w:r>
    </w:p>
    <w:p w14:paraId="36196DF6">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ascii="宋体" w:hAnsi="宋体" w:eastAsia="宋体" w:cs="宋体"/>
          <w:sz w:val="22"/>
          <w:szCs w:val="22"/>
        </w:rPr>
      </w:pPr>
      <w:r>
        <w:rPr>
          <w:rFonts w:hint="eastAsia" w:ascii="宋体" w:hAnsi="宋体" w:eastAsia="宋体" w:cs="宋体"/>
          <w:sz w:val="22"/>
          <w:szCs w:val="22"/>
        </w:rPr>
        <w:t xml:space="preserve">（一）通过转让或者租借等方式从其他单位获取资格或者资质证书投标的。 </w:t>
      </w:r>
    </w:p>
    <w:p w14:paraId="191A1A97">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ascii="宋体" w:hAnsi="宋体" w:eastAsia="宋体" w:cs="宋体"/>
          <w:sz w:val="22"/>
          <w:szCs w:val="22"/>
        </w:rPr>
      </w:pPr>
      <w:r>
        <w:rPr>
          <w:rFonts w:hint="eastAsia" w:ascii="宋体" w:hAnsi="宋体" w:eastAsia="宋体" w:cs="宋体"/>
          <w:sz w:val="22"/>
          <w:szCs w:val="22"/>
        </w:rPr>
        <w:t xml:space="preserve">（二）由其他单位或者其他单位负责人在投标供应商编制的投标文件上加盖印章或者签字的。 </w:t>
      </w:r>
    </w:p>
    <w:p w14:paraId="5A87698B">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ascii="宋体" w:hAnsi="宋体" w:eastAsia="宋体" w:cs="宋体"/>
          <w:sz w:val="22"/>
          <w:szCs w:val="22"/>
        </w:rPr>
      </w:pPr>
      <w:r>
        <w:rPr>
          <w:rFonts w:hint="eastAsia" w:ascii="宋体" w:hAnsi="宋体" w:eastAsia="宋体" w:cs="宋体"/>
          <w:sz w:val="22"/>
          <w:szCs w:val="22"/>
        </w:rPr>
        <w:t xml:space="preserve">（三）项目负责人或者主要技术人员不是本单位人员的。 </w:t>
      </w:r>
    </w:p>
    <w:p w14:paraId="2D3FF52E">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ascii="宋体" w:hAnsi="宋体" w:eastAsia="宋体" w:cs="宋体"/>
          <w:sz w:val="22"/>
          <w:szCs w:val="22"/>
        </w:rPr>
      </w:pPr>
      <w:r>
        <w:rPr>
          <w:rFonts w:hint="eastAsia" w:ascii="宋体" w:hAnsi="宋体" w:eastAsia="宋体" w:cs="宋体"/>
          <w:sz w:val="22"/>
          <w:szCs w:val="22"/>
        </w:rPr>
        <w:t xml:space="preserve">（四）投标保证金不是从投标供应商基本账户转出的。 </w:t>
      </w:r>
    </w:p>
    <w:p w14:paraId="7FED8F03">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ascii="宋体" w:hAnsi="宋体" w:eastAsia="宋体" w:cs="宋体"/>
          <w:sz w:val="22"/>
          <w:szCs w:val="22"/>
        </w:rPr>
      </w:pPr>
      <w:r>
        <w:rPr>
          <w:rFonts w:hint="eastAsia" w:ascii="宋体" w:hAnsi="宋体" w:eastAsia="宋体" w:cs="宋体"/>
          <w:sz w:val="22"/>
          <w:szCs w:val="22"/>
        </w:rPr>
        <w:t xml:space="preserve">（五）其他隐瞒真实情况、提供虚假资料的行为。 </w:t>
      </w:r>
    </w:p>
    <w:p w14:paraId="1711D5E7">
      <w:pPr>
        <w:keepNext w:val="0"/>
        <w:keepLines w:val="0"/>
        <w:pageBreakBefore w:val="0"/>
        <w:widowControl/>
        <w:kinsoku/>
        <w:wordWrap/>
        <w:overflowPunct/>
        <w:topLinePunct w:val="0"/>
        <w:autoSpaceDE/>
        <w:autoSpaceDN/>
        <w:bidi w:val="0"/>
        <w:adjustRightInd/>
        <w:snapToGrid/>
        <w:spacing w:line="360" w:lineRule="auto"/>
        <w:ind w:firstLine="442" w:firstLineChars="200"/>
        <w:textAlignment w:val="auto"/>
        <w:rPr>
          <w:rFonts w:ascii="宋体" w:hAnsi="宋体" w:eastAsia="宋体" w:cs="宋体"/>
          <w:sz w:val="22"/>
          <w:szCs w:val="22"/>
        </w:rPr>
      </w:pPr>
      <w:r>
        <w:rPr>
          <w:rFonts w:hint="eastAsia" w:ascii="宋体" w:hAnsi="宋体" w:eastAsia="宋体" w:cs="宋体"/>
          <w:b/>
          <w:bCs/>
          <w:color w:val="000000"/>
          <w:sz w:val="22"/>
          <w:szCs w:val="22"/>
        </w:rPr>
        <w:t xml:space="preserve">二、本公司已充分知悉“与其他采购参加人串通投标”的法定情形，相关情形包括但不限于： </w:t>
      </w:r>
    </w:p>
    <w:p w14:paraId="7D49F530">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ascii="宋体" w:hAnsi="宋体" w:eastAsia="宋体" w:cs="宋体"/>
          <w:sz w:val="22"/>
          <w:szCs w:val="22"/>
        </w:rPr>
      </w:pPr>
      <w:r>
        <w:rPr>
          <w:rFonts w:hint="eastAsia" w:ascii="宋体" w:hAnsi="宋体" w:eastAsia="宋体" w:cs="宋体"/>
          <w:color w:val="000000"/>
          <w:sz w:val="22"/>
          <w:szCs w:val="22"/>
        </w:rPr>
        <w:t>（一）投标供应商之间相互约定给予未中标的供应商利益补偿。</w:t>
      </w:r>
    </w:p>
    <w:p w14:paraId="169E2DE7">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ascii="宋体" w:hAnsi="宋体" w:eastAsia="宋体" w:cs="宋体"/>
          <w:sz w:val="22"/>
          <w:szCs w:val="22"/>
        </w:rPr>
      </w:pPr>
      <w:r>
        <w:rPr>
          <w:rFonts w:hint="eastAsia" w:ascii="宋体" w:hAnsi="宋体" w:eastAsia="宋体" w:cs="宋体"/>
          <w:color w:val="000000"/>
          <w:sz w:val="22"/>
          <w:szCs w:val="22"/>
        </w:rPr>
        <w:t xml:space="preserve">（二）不同投标供应商的法定代表人、主要经营负责人、项目投标授权代表人、项目负责人、主要技术人员为同一人、属同一单位或者在同一单位缴纳社会保险。 </w:t>
      </w:r>
    </w:p>
    <w:p w14:paraId="032BAC4D">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ascii="宋体" w:hAnsi="宋体" w:eastAsia="宋体" w:cs="宋体"/>
          <w:sz w:val="22"/>
          <w:szCs w:val="22"/>
        </w:rPr>
      </w:pPr>
      <w:r>
        <w:rPr>
          <w:rFonts w:hint="eastAsia" w:ascii="宋体" w:hAnsi="宋体" w:eastAsia="宋体" w:cs="宋体"/>
          <w:color w:val="000000"/>
          <w:sz w:val="22"/>
          <w:szCs w:val="22"/>
        </w:rPr>
        <w:t xml:space="preserve">（三）不同投标供应商的投标文件由同一单位或者同一人编制，或者由同一人分阶段参与编制的。 </w:t>
      </w:r>
    </w:p>
    <w:p w14:paraId="448682B8">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ascii="宋体" w:hAnsi="宋体" w:eastAsia="宋体" w:cs="宋体"/>
          <w:sz w:val="22"/>
          <w:szCs w:val="22"/>
        </w:rPr>
      </w:pPr>
      <w:r>
        <w:rPr>
          <w:rFonts w:hint="eastAsia" w:ascii="宋体" w:hAnsi="宋体" w:eastAsia="宋体" w:cs="宋体"/>
          <w:color w:val="000000"/>
          <w:sz w:val="22"/>
          <w:szCs w:val="22"/>
        </w:rPr>
        <w:t>（四）不同投标供应商的投标文件或部分投标文件相互混装。</w:t>
      </w:r>
    </w:p>
    <w:p w14:paraId="33C5FDC4">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ascii="宋体" w:hAnsi="宋体" w:eastAsia="宋体" w:cs="宋体"/>
          <w:sz w:val="22"/>
          <w:szCs w:val="22"/>
        </w:rPr>
      </w:pPr>
      <w:r>
        <w:rPr>
          <w:rFonts w:hint="eastAsia" w:ascii="宋体" w:hAnsi="宋体" w:eastAsia="宋体" w:cs="宋体"/>
          <w:color w:val="000000"/>
          <w:sz w:val="22"/>
          <w:szCs w:val="22"/>
        </w:rPr>
        <w:t xml:space="preserve">（五）不同投标供应商的投标文件内容存在非正常一致。 </w:t>
      </w:r>
    </w:p>
    <w:p w14:paraId="4FD72F32">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ascii="宋体" w:hAnsi="宋体" w:eastAsia="宋体" w:cs="宋体"/>
          <w:sz w:val="22"/>
          <w:szCs w:val="22"/>
        </w:rPr>
      </w:pPr>
      <w:r>
        <w:rPr>
          <w:rFonts w:hint="eastAsia" w:ascii="宋体" w:hAnsi="宋体" w:eastAsia="宋体" w:cs="宋体"/>
          <w:color w:val="000000"/>
          <w:sz w:val="22"/>
          <w:szCs w:val="22"/>
        </w:rPr>
        <w:t xml:space="preserve">（六）由同一单位工作人员为两家以上（含两家）供应商进行同一项投标活动的。 </w:t>
      </w:r>
    </w:p>
    <w:p w14:paraId="6C5B1B36">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ascii="宋体" w:hAnsi="宋体" w:eastAsia="宋体" w:cs="宋体"/>
          <w:sz w:val="22"/>
          <w:szCs w:val="22"/>
        </w:rPr>
      </w:pPr>
      <w:r>
        <w:rPr>
          <w:rFonts w:hint="eastAsia" w:ascii="宋体" w:hAnsi="宋体" w:eastAsia="宋体" w:cs="宋体"/>
          <w:color w:val="000000"/>
          <w:sz w:val="22"/>
          <w:szCs w:val="22"/>
        </w:rPr>
        <w:t xml:space="preserve">（七）不同投标人的投标报价呈规律性差异。 </w:t>
      </w:r>
    </w:p>
    <w:p w14:paraId="64E1B8B5">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ascii="宋体" w:hAnsi="宋体" w:eastAsia="宋体" w:cs="宋体"/>
          <w:sz w:val="22"/>
          <w:szCs w:val="22"/>
        </w:rPr>
      </w:pPr>
      <w:r>
        <w:rPr>
          <w:rFonts w:hint="eastAsia" w:ascii="宋体" w:hAnsi="宋体" w:eastAsia="宋体" w:cs="宋体"/>
          <w:color w:val="000000"/>
          <w:sz w:val="22"/>
          <w:szCs w:val="22"/>
        </w:rPr>
        <w:t>（八）不同投标人的投标保证金从同一单位或者个人的账户转出。</w:t>
      </w:r>
    </w:p>
    <w:p w14:paraId="29BD1A87">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ascii="宋体" w:hAnsi="宋体" w:eastAsia="宋体" w:cs="宋体"/>
          <w:sz w:val="22"/>
          <w:szCs w:val="22"/>
        </w:rPr>
      </w:pPr>
      <w:r>
        <w:rPr>
          <w:rFonts w:hint="eastAsia" w:ascii="宋体" w:hAnsi="宋体" w:eastAsia="宋体" w:cs="宋体"/>
          <w:color w:val="000000"/>
          <w:sz w:val="22"/>
          <w:szCs w:val="22"/>
        </w:rPr>
        <w:t xml:space="preserve">（九）主管部门依照法律、法规认定的其他情形。 </w:t>
      </w:r>
    </w:p>
    <w:p w14:paraId="33508BB7">
      <w:pPr>
        <w:keepNext w:val="0"/>
        <w:keepLines w:val="0"/>
        <w:pageBreakBefore w:val="0"/>
        <w:widowControl/>
        <w:kinsoku/>
        <w:wordWrap/>
        <w:overflowPunct/>
        <w:topLinePunct w:val="0"/>
        <w:autoSpaceDE/>
        <w:autoSpaceDN/>
        <w:bidi w:val="0"/>
        <w:adjustRightInd/>
        <w:snapToGrid/>
        <w:spacing w:line="360" w:lineRule="auto"/>
        <w:ind w:firstLine="442" w:firstLineChars="200"/>
        <w:textAlignment w:val="auto"/>
        <w:rPr>
          <w:rFonts w:ascii="宋体" w:hAnsi="宋体" w:eastAsia="宋体" w:cs="宋体"/>
          <w:sz w:val="22"/>
          <w:szCs w:val="22"/>
        </w:rPr>
      </w:pPr>
      <w:r>
        <w:rPr>
          <w:rFonts w:hint="eastAsia" w:ascii="宋体" w:hAnsi="宋体" w:eastAsia="宋体" w:cs="宋体"/>
          <w:b/>
          <w:bCs/>
          <w:color w:val="000000"/>
          <w:sz w:val="22"/>
          <w:szCs w:val="22"/>
        </w:rPr>
        <w:t xml:space="preserve">三、本公司已充分知悉下列情形所对应的法律风险，并在投标前已对相关风险事项进行排查。 </w:t>
      </w:r>
    </w:p>
    <w:p w14:paraId="6ED4EF53">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ascii="宋体" w:hAnsi="宋体" w:eastAsia="宋体" w:cs="宋体"/>
          <w:sz w:val="22"/>
          <w:szCs w:val="22"/>
        </w:rPr>
      </w:pPr>
      <w:r>
        <w:rPr>
          <w:rFonts w:hint="eastAsia" w:ascii="宋体" w:hAnsi="宋体" w:eastAsia="宋体" w:cs="宋体"/>
          <w:color w:val="000000"/>
          <w:sz w:val="22"/>
          <w:szCs w:val="22"/>
        </w:rPr>
        <w:t>（一）对于从其他主体获取的投标资料，供应商应审慎核查，确保投标资料的真实性。</w:t>
      </w:r>
      <w:r>
        <w:rPr>
          <w:rFonts w:hint="eastAsia" w:ascii="宋体" w:hAnsi="宋体" w:eastAsia="宋体" w:cs="宋体"/>
          <w:b/>
          <w:bCs/>
          <w:color w:val="000000"/>
          <w:sz w:val="22"/>
          <w:szCs w:val="22"/>
        </w:rPr>
        <w:t xml:space="preserve">如主管部门查实投标文件中存在虚假资料的，无论相关资料是否由第三方或本公司员工提供，均不影响主管部门对供应商存在“隐瞒真实情况，提供虚假资料”违法行为的认定。 </w:t>
      </w:r>
    </w:p>
    <w:p w14:paraId="4829B7DD">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ascii="宋体" w:hAnsi="宋体" w:eastAsia="宋体" w:cs="宋体"/>
          <w:sz w:val="22"/>
          <w:szCs w:val="22"/>
        </w:rPr>
      </w:pPr>
      <w:r>
        <w:rPr>
          <w:rFonts w:hint="eastAsia" w:ascii="宋体" w:hAnsi="宋体" w:eastAsia="宋体" w:cs="宋体"/>
          <w:color w:val="000000"/>
          <w:sz w:val="22"/>
          <w:szCs w:val="22"/>
        </w:rPr>
        <w:t xml:space="preserve">（二）对于涉及国家机关出具的公文、证件、证明材料等文件，一旦涉嫌虚假，经查实，主管部门将依法从严处理，并移送有关部门追究法律责任；涉嫌犯罪的，主管部门将一并移送司法机关追究法律责任。 </w:t>
      </w:r>
    </w:p>
    <w:p w14:paraId="443AE52E">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ascii="宋体" w:hAnsi="宋体" w:eastAsia="宋体" w:cs="宋体"/>
          <w:sz w:val="22"/>
          <w:szCs w:val="22"/>
        </w:rPr>
      </w:pPr>
      <w:r>
        <w:rPr>
          <w:rFonts w:hint="eastAsia" w:ascii="宋体" w:hAnsi="宋体" w:eastAsia="宋体" w:cs="宋体"/>
          <w:color w:val="000000"/>
          <w:sz w:val="22"/>
          <w:szCs w:val="22"/>
        </w:rPr>
        <w:t xml:space="preserve">（三）对于涉及安全生产、特种作业、抢险救灾、防疫等政府采购项目，供应商实施提供虚假资料、串通投标等违法行为的，主管部门将依法从严处理。 </w:t>
      </w:r>
    </w:p>
    <w:p w14:paraId="4FFBE338">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ascii="宋体" w:hAnsi="宋体" w:eastAsia="宋体" w:cs="宋体"/>
          <w:sz w:val="22"/>
          <w:szCs w:val="22"/>
        </w:rPr>
      </w:pPr>
      <w:r>
        <w:rPr>
          <w:rFonts w:hint="eastAsia" w:ascii="宋体" w:hAnsi="宋体" w:eastAsia="宋体" w:cs="宋体"/>
          <w:color w:val="000000"/>
          <w:sz w:val="22"/>
          <w:szCs w:val="22"/>
        </w:rPr>
        <w:t xml:space="preserve">（四）供应商应严格规范项目授权代表、员工参与招标投标的行为，加强对投标文件的审核。项目授权代表、员工编制、上传投标文件等行为违反政府采购法律法规或招标文件要求的，投标供应商应当依法承担相应法律责任。 </w:t>
      </w:r>
    </w:p>
    <w:p w14:paraId="054C9BF9">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ascii="宋体" w:hAnsi="宋体" w:eastAsia="宋体" w:cs="宋体"/>
          <w:sz w:val="22"/>
          <w:szCs w:val="22"/>
        </w:rPr>
      </w:pPr>
      <w:r>
        <w:rPr>
          <w:rFonts w:hint="eastAsia" w:ascii="宋体" w:hAnsi="宋体" w:eastAsia="宋体" w:cs="宋体"/>
          <w:color w:val="000000"/>
          <w:sz w:val="22"/>
          <w:szCs w:val="22"/>
        </w:rPr>
        <w:t xml:space="preserve">（五）供应商对投标电子密钥负有妥善保管、及时变更和续期等主体责任。供应商使用电子密钥在深圳政府采购网站进行的活动，均具有法律效力，须承担相应的法律后果。供应商擅自将投标密钥出借他人使用所造成的法律后果，由供应商自行承担。 </w:t>
      </w:r>
    </w:p>
    <w:p w14:paraId="52E8371B">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ascii="宋体" w:hAnsi="宋体" w:eastAsia="宋体" w:cs="宋体"/>
          <w:sz w:val="22"/>
          <w:szCs w:val="22"/>
        </w:rPr>
      </w:pPr>
      <w:r>
        <w:rPr>
          <w:rFonts w:hint="eastAsia" w:ascii="宋体" w:hAnsi="宋体" w:eastAsia="宋体" w:cs="宋体"/>
          <w:color w:val="000000"/>
          <w:sz w:val="22"/>
          <w:szCs w:val="22"/>
        </w:rPr>
        <w:t xml:space="preserve">（六）单位负责人为同一人或者存在直接控股、管理关系的不同供应商，不得参加同一合同项下的政府采购活动。相关情形如查实，依法作投标无效处理；涉嫌串通投标等违法行为的，主管部门将依法调查处理。 </w:t>
      </w:r>
    </w:p>
    <w:p w14:paraId="144CF750">
      <w:pPr>
        <w:keepNext w:val="0"/>
        <w:keepLines w:val="0"/>
        <w:pageBreakBefore w:val="0"/>
        <w:widowControl/>
        <w:kinsoku/>
        <w:wordWrap/>
        <w:overflowPunct/>
        <w:topLinePunct w:val="0"/>
        <w:autoSpaceDE/>
        <w:autoSpaceDN/>
        <w:bidi w:val="0"/>
        <w:adjustRightInd/>
        <w:snapToGrid/>
        <w:spacing w:line="360" w:lineRule="auto"/>
        <w:ind w:firstLine="442" w:firstLineChars="200"/>
        <w:textAlignment w:val="auto"/>
        <w:rPr>
          <w:rFonts w:ascii="宋体" w:hAnsi="宋体" w:eastAsia="宋体" w:cs="宋体"/>
          <w:sz w:val="22"/>
          <w:szCs w:val="22"/>
        </w:rPr>
      </w:pPr>
      <w:r>
        <w:rPr>
          <w:rFonts w:hint="eastAsia" w:ascii="宋体" w:hAnsi="宋体" w:eastAsia="宋体" w:cs="宋体"/>
          <w:b/>
          <w:bCs/>
          <w:color w:val="000000"/>
          <w:sz w:val="22"/>
          <w:szCs w:val="22"/>
        </w:rPr>
        <w:t xml:space="preserve">四、本公司已充分知悉政府采购违法、违规行为的法律后果。 </w:t>
      </w:r>
    </w:p>
    <w:p w14:paraId="3205806E">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ascii="宋体" w:hAnsi="宋体" w:eastAsia="宋体" w:cs="宋体"/>
          <w:sz w:val="22"/>
          <w:szCs w:val="22"/>
        </w:rPr>
      </w:pPr>
      <w:r>
        <w:rPr>
          <w:rFonts w:hint="eastAsia" w:ascii="宋体" w:hAnsi="宋体" w:eastAsia="宋体" w:cs="宋体"/>
          <w:color w:val="000000"/>
          <w:sz w:val="22"/>
          <w:szCs w:val="22"/>
        </w:rPr>
        <w:t xml:space="preserve">经查实，若投标供应商存在政府采购违法、违规行为，主管部门 将依据《深圳经济特区政府采购条例》第五十七条的规定，处以一至三年内禁止参与本市政府采购，并由主管部门记入供应商诚信档案，处采购金额千分之十以上千分之二十以下罚款；情节严重的，取消参与本市政府采购资格，处采购金额千分之二十以上千分之三十以下罚款，并由市场监管部门依法吊销营业执照。 </w:t>
      </w:r>
    </w:p>
    <w:p w14:paraId="0211071A">
      <w:pPr>
        <w:keepNext w:val="0"/>
        <w:keepLines w:val="0"/>
        <w:pageBreakBefore w:val="0"/>
        <w:widowControl/>
        <w:kinsoku/>
        <w:wordWrap/>
        <w:overflowPunct/>
        <w:topLinePunct w:val="0"/>
        <w:autoSpaceDE/>
        <w:autoSpaceDN/>
        <w:bidi w:val="0"/>
        <w:adjustRightInd/>
        <w:snapToGrid/>
        <w:spacing w:line="360" w:lineRule="auto"/>
        <w:ind w:firstLine="442" w:firstLineChars="200"/>
        <w:textAlignment w:val="auto"/>
        <w:rPr>
          <w:rFonts w:ascii="宋体" w:hAnsi="宋体" w:eastAsia="宋体" w:cs="宋体"/>
          <w:b/>
          <w:bCs/>
          <w:color w:val="FF0000"/>
          <w:sz w:val="22"/>
          <w:szCs w:val="22"/>
        </w:rPr>
      </w:pPr>
      <w:r>
        <w:rPr>
          <w:rFonts w:hint="eastAsia" w:ascii="宋体" w:hAnsi="宋体" w:eastAsia="宋体" w:cs="宋体"/>
          <w:b/>
          <w:bCs/>
          <w:color w:val="FF0000"/>
          <w:sz w:val="22"/>
          <w:szCs w:val="22"/>
        </w:rPr>
        <w:t xml:space="preserve">以下文字请投标供应商抄写并确认：“本公司已仔细阅读《政府采购违法行为风险知悉确认书》，充分知悉违法行为的法律后果，并承诺将严谨、诚信、依法依规参与政府采购活动”。 </w:t>
      </w:r>
    </w:p>
    <w:p w14:paraId="4EC6ED11">
      <w:pPr>
        <w:pStyle w:val="36"/>
        <w:spacing w:line="360" w:lineRule="auto"/>
        <w:rPr>
          <w:rFonts w:ascii="宋体" w:hAnsi="宋体" w:eastAsia="宋体" w:cs="宋体"/>
          <w:sz w:val="22"/>
          <w:szCs w:val="22"/>
          <w:u w:val="single"/>
        </w:rPr>
      </w:pPr>
      <w:r>
        <w:rPr>
          <w:rFonts w:hint="eastAsia" w:ascii="宋体" w:hAnsi="宋体" w:eastAsia="宋体" w:cs="宋体"/>
          <w:sz w:val="22"/>
          <w:szCs w:val="22"/>
          <w:u w:val="single"/>
        </w:rPr>
        <w:t xml:space="preserve">                                                                           </w:t>
      </w:r>
    </w:p>
    <w:p w14:paraId="7AEAD550">
      <w:pPr>
        <w:pStyle w:val="36"/>
        <w:spacing w:line="360" w:lineRule="auto"/>
        <w:rPr>
          <w:rFonts w:ascii="宋体" w:hAnsi="宋体" w:eastAsia="宋体" w:cs="宋体"/>
          <w:sz w:val="22"/>
          <w:szCs w:val="22"/>
          <w:u w:val="single"/>
        </w:rPr>
      </w:pPr>
      <w:r>
        <w:rPr>
          <w:rFonts w:hint="eastAsia" w:ascii="宋体" w:hAnsi="宋体" w:eastAsia="宋体" w:cs="宋体"/>
          <w:sz w:val="22"/>
          <w:szCs w:val="22"/>
          <w:u w:val="single"/>
        </w:rPr>
        <w:t xml:space="preserve">                                                                           </w:t>
      </w:r>
    </w:p>
    <w:p w14:paraId="3501C7F4">
      <w:pPr>
        <w:pStyle w:val="36"/>
        <w:spacing w:line="360" w:lineRule="auto"/>
        <w:rPr>
          <w:rFonts w:ascii="宋体" w:hAnsi="宋体" w:eastAsia="宋体" w:cs="宋体"/>
          <w:sz w:val="22"/>
          <w:szCs w:val="22"/>
          <w:u w:val="single"/>
        </w:rPr>
      </w:pPr>
      <w:r>
        <w:rPr>
          <w:rFonts w:hint="eastAsia" w:ascii="宋体" w:hAnsi="宋体" w:eastAsia="宋体" w:cs="宋体"/>
          <w:sz w:val="22"/>
          <w:szCs w:val="22"/>
          <w:u w:val="single"/>
        </w:rPr>
        <w:t xml:space="preserve">                                                                           </w:t>
      </w:r>
    </w:p>
    <w:p w14:paraId="1CBF4ABC">
      <w:pPr>
        <w:pStyle w:val="36"/>
        <w:spacing w:line="360" w:lineRule="auto"/>
        <w:rPr>
          <w:rFonts w:ascii="宋体" w:hAnsi="宋体" w:eastAsia="宋体" w:cs="宋体"/>
          <w:sz w:val="22"/>
          <w:szCs w:val="22"/>
          <w:u w:val="single"/>
        </w:rPr>
      </w:pPr>
      <w:r>
        <w:rPr>
          <w:rFonts w:hint="eastAsia" w:ascii="宋体" w:hAnsi="宋体" w:eastAsia="宋体" w:cs="宋体"/>
          <w:sz w:val="22"/>
          <w:szCs w:val="22"/>
          <w:u w:val="single"/>
        </w:rPr>
        <w:t xml:space="preserve">                                                                           </w:t>
      </w:r>
    </w:p>
    <w:p w14:paraId="15C33746">
      <w:pPr>
        <w:spacing w:line="360" w:lineRule="auto"/>
        <w:jc w:val="right"/>
        <w:rPr>
          <w:rFonts w:ascii="宋体" w:hAnsi="宋体" w:eastAsia="宋体" w:cs="宋体"/>
          <w:sz w:val="22"/>
          <w:szCs w:val="22"/>
        </w:rPr>
      </w:pPr>
      <w:r>
        <w:rPr>
          <w:rFonts w:hint="eastAsia" w:ascii="宋体" w:hAnsi="宋体" w:eastAsia="宋体" w:cs="宋体"/>
          <w:color w:val="000000"/>
          <w:sz w:val="22"/>
          <w:szCs w:val="22"/>
        </w:rPr>
        <w:t xml:space="preserve">负责人/投标授权代表签名： </w:t>
      </w:r>
    </w:p>
    <w:p w14:paraId="1F4D4B00">
      <w:pPr>
        <w:spacing w:line="360" w:lineRule="auto"/>
        <w:jc w:val="right"/>
        <w:rPr>
          <w:rFonts w:ascii="宋体" w:hAnsi="宋体" w:eastAsia="宋体" w:cs="宋体"/>
          <w:sz w:val="22"/>
          <w:szCs w:val="22"/>
        </w:rPr>
      </w:pPr>
      <w:r>
        <w:rPr>
          <w:rFonts w:hint="eastAsia" w:ascii="宋体" w:hAnsi="宋体" w:eastAsia="宋体" w:cs="宋体"/>
          <w:color w:val="000000"/>
          <w:sz w:val="22"/>
          <w:szCs w:val="22"/>
        </w:rPr>
        <w:t xml:space="preserve">知悉人（公章）： </w:t>
      </w:r>
    </w:p>
    <w:p w14:paraId="11D2254A">
      <w:pPr>
        <w:spacing w:line="360" w:lineRule="auto"/>
        <w:jc w:val="right"/>
        <w:rPr>
          <w:rFonts w:hint="eastAsia" w:ascii="宋体" w:hAnsi="宋体" w:eastAsia="宋体" w:cs="宋体"/>
          <w:color w:val="000000"/>
          <w:sz w:val="22"/>
          <w:szCs w:val="22"/>
        </w:rPr>
      </w:pPr>
      <w:r>
        <w:rPr>
          <w:rFonts w:hint="eastAsia" w:ascii="宋体" w:hAnsi="宋体" w:eastAsia="宋体" w:cs="宋体"/>
          <w:color w:val="000000"/>
          <w:sz w:val="22"/>
          <w:szCs w:val="22"/>
        </w:rPr>
        <w:t>日期：</w:t>
      </w:r>
    </w:p>
    <w:p w14:paraId="62999F3B">
      <w:pPr>
        <w:spacing w:line="360" w:lineRule="auto"/>
        <w:jc w:val="left"/>
        <w:rPr>
          <w:rFonts w:ascii="黑体" w:eastAsia="黑体"/>
          <w:b/>
        </w:rPr>
      </w:pPr>
      <w:r>
        <w:rPr>
          <w:rFonts w:hint="eastAsia" w:ascii="宋体" w:hAnsi="宋体" w:eastAsia="宋体" w:cs="宋体"/>
          <w:b/>
        </w:rPr>
        <w:t>注：该风险知悉确认书用于对供应商违法行为的警示，不作为供应商资格性审查及符合性审查条件。</w:t>
      </w:r>
    </w:p>
    <w:p w14:paraId="6BB1B234">
      <w:pPr>
        <w:pStyle w:val="6"/>
        <w:numPr>
          <w:ilvl w:val="0"/>
          <w:numId w:val="5"/>
        </w:numPr>
        <w:spacing w:before="120" w:after="120"/>
        <w:ind w:left="0" w:leftChars="0" w:firstLine="420" w:firstLineChars="0"/>
        <w:jc w:val="center"/>
        <w:rPr>
          <w:rFonts w:ascii="黑体" w:eastAsia="黑体"/>
          <w:b w:val="0"/>
          <w:sz w:val="24"/>
        </w:rPr>
      </w:pPr>
      <w:r>
        <w:rPr>
          <w:rFonts w:hint="eastAsia" w:ascii="黑体" w:eastAsia="黑体"/>
          <w:b w:val="0"/>
          <w:sz w:val="24"/>
        </w:rPr>
        <w:br w:type="page"/>
      </w:r>
      <w:r>
        <w:rPr>
          <w:rFonts w:hint="eastAsia" w:ascii="黑体" w:eastAsia="黑体"/>
          <w:b w:val="0"/>
          <w:sz w:val="24"/>
        </w:rPr>
        <w:t>投标人情况介绍及资格要求</w:t>
      </w:r>
    </w:p>
    <w:p w14:paraId="1C29A41B">
      <w:pPr>
        <w:spacing w:line="360" w:lineRule="auto"/>
        <w:ind w:left="723" w:hanging="720" w:hangingChars="300"/>
        <w:rPr>
          <w:b/>
          <w:bCs/>
        </w:rPr>
      </w:pPr>
      <w:r>
        <w:rPr>
          <w:b/>
          <w:bCs/>
        </w:rPr>
        <w:t xml:space="preserve">1. </w:t>
      </w:r>
      <w:r>
        <w:rPr>
          <w:rFonts w:hint="eastAsia"/>
          <w:b/>
          <w:bCs/>
        </w:rPr>
        <w:t>投标人情况介绍：</w:t>
      </w:r>
    </w:p>
    <w:p w14:paraId="22F3DCC7">
      <w:pPr>
        <w:spacing w:line="360" w:lineRule="auto"/>
        <w:ind w:left="723" w:hanging="720" w:hangingChars="300"/>
        <w:rPr>
          <w:b/>
          <w:bCs/>
        </w:rPr>
      </w:pPr>
    </w:p>
    <w:p w14:paraId="6B0C6698">
      <w:pPr>
        <w:spacing w:line="360" w:lineRule="auto"/>
        <w:ind w:left="723" w:hanging="720" w:hangingChars="300"/>
        <w:rPr>
          <w:b/>
          <w:bCs/>
        </w:rPr>
      </w:pPr>
      <w:r>
        <w:rPr>
          <w:b/>
          <w:bCs/>
        </w:rPr>
        <w:t>2.</w:t>
      </w:r>
      <w:r>
        <w:rPr>
          <w:rFonts w:hint="eastAsia" w:eastAsia="宋体"/>
          <w:b/>
          <w:bCs/>
          <w:lang w:val="en-US" w:eastAsia="zh-CN"/>
        </w:rPr>
        <w:t>投标人</w:t>
      </w:r>
      <w:r>
        <w:rPr>
          <w:rFonts w:hint="eastAsia"/>
          <w:b/>
          <w:bCs/>
        </w:rPr>
        <w:t>资格证明</w:t>
      </w:r>
      <w:r>
        <w:rPr>
          <w:rFonts w:hint="eastAsia" w:eastAsia="宋体"/>
          <w:b/>
          <w:bCs/>
          <w:lang w:val="en-US" w:eastAsia="zh-CN"/>
        </w:rPr>
        <w:t>文件</w:t>
      </w:r>
      <w:r>
        <w:rPr>
          <w:rFonts w:hint="eastAsia"/>
          <w:b/>
          <w:bCs/>
        </w:rPr>
        <w:t>：</w:t>
      </w:r>
    </w:p>
    <w:p w14:paraId="01B31797">
      <w:pPr>
        <w:keepNext w:val="0"/>
        <w:keepLines w:val="0"/>
        <w:pageBreakBefore w:val="0"/>
        <w:widowControl/>
        <w:kinsoku/>
        <w:wordWrap/>
        <w:overflowPunct/>
        <w:topLinePunct w:val="0"/>
        <w:autoSpaceDE/>
        <w:autoSpaceDN/>
        <w:bidi w:val="0"/>
        <w:adjustRightInd/>
        <w:snapToGrid/>
        <w:spacing w:line="360" w:lineRule="auto"/>
        <w:ind w:left="0" w:firstLine="0" w:firstLineChars="0"/>
        <w:textAlignment w:val="auto"/>
        <w:rPr>
          <w:b/>
          <w:bCs/>
        </w:rPr>
      </w:pPr>
      <w:r>
        <w:rPr>
          <w:rFonts w:hint="eastAsia"/>
          <w:b/>
          <w:bCs/>
        </w:rPr>
        <w:t>（特别提示：投标人须按本招标文件第一章招标公告“申请人的资格要求”提供相关的资质证明，未提供或提供不完整、不符合要求的，投标文件将按无效投标处理。）</w:t>
      </w:r>
    </w:p>
    <w:p w14:paraId="7134EF19">
      <w:pPr>
        <w:spacing w:line="360" w:lineRule="auto"/>
        <w:ind w:left="723" w:hanging="720" w:hangingChars="300"/>
        <w:rPr>
          <w:b/>
          <w:bCs/>
        </w:rPr>
      </w:pPr>
    </w:p>
    <w:p w14:paraId="0A6DF249">
      <w:pPr>
        <w:spacing w:line="360" w:lineRule="auto"/>
        <w:ind w:left="723" w:hanging="720" w:hangingChars="300"/>
        <w:rPr>
          <w:b/>
          <w:bCs/>
        </w:rPr>
      </w:pPr>
      <w:r>
        <w:rPr>
          <w:b/>
          <w:bCs/>
        </w:rPr>
        <w:t>3.</w:t>
      </w:r>
      <w:r>
        <w:rPr>
          <w:rFonts w:hint="eastAsia"/>
          <w:b/>
          <w:bCs/>
        </w:rPr>
        <w:t>如联合体投标，投标人还必须提供《联合体投标协议》</w:t>
      </w:r>
      <w:r>
        <w:rPr>
          <w:rFonts w:ascii="黑体" w:hAnsi="宋体" w:eastAsia="黑体"/>
          <w:bCs/>
          <w:szCs w:val="32"/>
        </w:rPr>
        <w:t>(</w:t>
      </w:r>
      <w:r>
        <w:rPr>
          <w:rFonts w:hint="eastAsia" w:ascii="黑体" w:hAnsi="宋体" w:eastAsia="黑体"/>
          <w:bCs/>
          <w:szCs w:val="32"/>
        </w:rPr>
        <w:t>可选项</w:t>
      </w:r>
      <w:r>
        <w:rPr>
          <w:rFonts w:ascii="黑体" w:hAnsi="宋体" w:eastAsia="黑体"/>
          <w:bCs/>
          <w:szCs w:val="32"/>
        </w:rPr>
        <w:t>)</w:t>
      </w:r>
      <w:r>
        <w:rPr>
          <w:rFonts w:hint="eastAsia"/>
          <w:b/>
          <w:bCs/>
        </w:rPr>
        <w:t>。</w:t>
      </w:r>
    </w:p>
    <w:p w14:paraId="6C9D3287">
      <w:pPr>
        <w:pStyle w:val="6"/>
        <w:numPr>
          <w:ilvl w:val="0"/>
          <w:numId w:val="5"/>
        </w:numPr>
        <w:ind w:left="0" w:leftChars="0" w:firstLine="420" w:firstLineChars="0"/>
        <w:jc w:val="center"/>
        <w:rPr>
          <w:rFonts w:hint="eastAsia" w:ascii="黑体" w:hAnsi="宋体" w:eastAsia="黑体" w:cs="Times New Roman"/>
          <w:b w:val="0"/>
          <w:sz w:val="24"/>
        </w:rPr>
      </w:pPr>
      <w:r>
        <w:rPr>
          <w:rFonts w:ascii="黑体" w:eastAsia="黑体"/>
        </w:rPr>
        <w:br w:type="page"/>
      </w:r>
      <w:r>
        <w:rPr>
          <w:rFonts w:hint="eastAsia" w:ascii="黑体" w:eastAsia="黑体"/>
          <w:b w:val="0"/>
          <w:sz w:val="24"/>
        </w:rPr>
        <w:t>详细分项报价清单</w:t>
      </w:r>
    </w:p>
    <w:tbl>
      <w:tblPr>
        <w:tblStyle w:val="20"/>
        <w:tblW w:w="83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42" w:type="dxa"/>
          <w:bottom w:w="0" w:type="dxa"/>
          <w:right w:w="42" w:type="dxa"/>
        </w:tblCellMar>
      </w:tblPr>
      <w:tblGrid>
        <w:gridCol w:w="670"/>
        <w:gridCol w:w="5077"/>
        <w:gridCol w:w="1258"/>
        <w:gridCol w:w="1389"/>
      </w:tblGrid>
      <w:tr w14:paraId="118B5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2" w:type="dxa"/>
            <w:bottom w:w="0" w:type="dxa"/>
            <w:right w:w="42" w:type="dxa"/>
          </w:tblCellMar>
        </w:tblPrEx>
        <w:trPr>
          <w:cantSplit/>
          <w:trHeight w:val="469" w:hRule="atLeast"/>
          <w:jc w:val="center"/>
        </w:trPr>
        <w:tc>
          <w:tcPr>
            <w:tcW w:w="670" w:type="dxa"/>
            <w:vAlign w:val="center"/>
          </w:tcPr>
          <w:p w14:paraId="03E18FA7">
            <w:pPr>
              <w:jc w:val="center"/>
              <w:rPr>
                <w:rFonts w:ascii="宋体" w:hAnsi="宋体" w:cs="宋体"/>
                <w:color w:val="auto"/>
                <w:sz w:val="22"/>
                <w:szCs w:val="22"/>
                <w:highlight w:val="none"/>
              </w:rPr>
            </w:pPr>
            <w:r>
              <w:rPr>
                <w:rFonts w:hint="eastAsia" w:ascii="宋体" w:hAnsi="宋体" w:cs="宋体"/>
                <w:color w:val="auto"/>
                <w:sz w:val="22"/>
                <w:szCs w:val="22"/>
                <w:highlight w:val="none"/>
              </w:rPr>
              <w:t>序号</w:t>
            </w:r>
          </w:p>
        </w:tc>
        <w:tc>
          <w:tcPr>
            <w:tcW w:w="5077" w:type="dxa"/>
            <w:vAlign w:val="center"/>
          </w:tcPr>
          <w:p w14:paraId="78E88A52">
            <w:pPr>
              <w:jc w:val="center"/>
              <w:rPr>
                <w:rFonts w:ascii="宋体" w:hAnsi="宋体" w:cs="宋体"/>
                <w:color w:val="auto"/>
                <w:sz w:val="22"/>
                <w:szCs w:val="22"/>
                <w:highlight w:val="none"/>
              </w:rPr>
            </w:pPr>
            <w:r>
              <w:rPr>
                <w:rFonts w:hint="eastAsia" w:ascii="宋体" w:hAnsi="宋体" w:cs="宋体"/>
                <w:color w:val="auto"/>
                <w:sz w:val="22"/>
                <w:szCs w:val="22"/>
                <w:highlight w:val="none"/>
              </w:rPr>
              <w:t>项目内容</w:t>
            </w:r>
          </w:p>
        </w:tc>
        <w:tc>
          <w:tcPr>
            <w:tcW w:w="1258" w:type="dxa"/>
            <w:vAlign w:val="center"/>
          </w:tcPr>
          <w:p w14:paraId="57547ADE">
            <w:pPr>
              <w:jc w:val="center"/>
              <w:rPr>
                <w:rFonts w:ascii="宋体" w:hAnsi="宋体" w:cs="宋体"/>
                <w:color w:val="auto"/>
                <w:sz w:val="22"/>
                <w:szCs w:val="22"/>
                <w:highlight w:val="none"/>
              </w:rPr>
            </w:pPr>
            <w:r>
              <w:rPr>
                <w:rFonts w:hint="eastAsia" w:ascii="宋体" w:hAnsi="宋体" w:cs="宋体"/>
                <w:color w:val="auto"/>
                <w:sz w:val="22"/>
                <w:szCs w:val="22"/>
                <w:highlight w:val="none"/>
              </w:rPr>
              <w:t>合计（元）</w:t>
            </w:r>
          </w:p>
        </w:tc>
        <w:tc>
          <w:tcPr>
            <w:tcW w:w="1389" w:type="dxa"/>
            <w:vAlign w:val="center"/>
          </w:tcPr>
          <w:p w14:paraId="2CE3FFB2">
            <w:pPr>
              <w:jc w:val="center"/>
              <w:rPr>
                <w:rFonts w:ascii="宋体" w:hAnsi="宋体" w:cs="宋体"/>
                <w:color w:val="auto"/>
                <w:sz w:val="22"/>
                <w:szCs w:val="22"/>
                <w:highlight w:val="none"/>
              </w:rPr>
            </w:pPr>
            <w:r>
              <w:rPr>
                <w:rFonts w:hint="eastAsia" w:ascii="宋体" w:hAnsi="宋体" w:cs="宋体"/>
                <w:color w:val="auto"/>
                <w:sz w:val="22"/>
                <w:szCs w:val="22"/>
                <w:highlight w:val="none"/>
              </w:rPr>
              <w:t>备注</w:t>
            </w:r>
          </w:p>
        </w:tc>
      </w:tr>
      <w:tr w14:paraId="1DE78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2" w:type="dxa"/>
            <w:bottom w:w="0" w:type="dxa"/>
            <w:right w:w="42" w:type="dxa"/>
          </w:tblCellMar>
        </w:tblPrEx>
        <w:trPr>
          <w:cantSplit/>
          <w:trHeight w:val="448" w:hRule="atLeast"/>
          <w:jc w:val="center"/>
        </w:trPr>
        <w:tc>
          <w:tcPr>
            <w:tcW w:w="670" w:type="dxa"/>
            <w:vAlign w:val="center"/>
          </w:tcPr>
          <w:p w14:paraId="16ED46DD">
            <w:pPr>
              <w:jc w:val="center"/>
              <w:rPr>
                <w:rFonts w:ascii="宋体" w:hAnsi="宋体" w:cs="宋体"/>
                <w:color w:val="auto"/>
                <w:sz w:val="22"/>
                <w:szCs w:val="22"/>
                <w:highlight w:val="none"/>
              </w:rPr>
            </w:pPr>
            <w:r>
              <w:rPr>
                <w:rFonts w:hint="eastAsia" w:ascii="宋体" w:hAnsi="宋体" w:cs="宋体"/>
                <w:color w:val="auto"/>
                <w:sz w:val="22"/>
                <w:szCs w:val="22"/>
                <w:highlight w:val="none"/>
              </w:rPr>
              <w:t>1</w:t>
            </w:r>
          </w:p>
        </w:tc>
        <w:tc>
          <w:tcPr>
            <w:tcW w:w="5077" w:type="dxa"/>
            <w:vAlign w:val="center"/>
          </w:tcPr>
          <w:p w14:paraId="1F58A3F1">
            <w:pPr>
              <w:rPr>
                <w:rFonts w:ascii="宋体" w:hAnsi="宋体" w:cs="宋体"/>
                <w:color w:val="auto"/>
                <w:sz w:val="22"/>
                <w:szCs w:val="22"/>
                <w:highlight w:val="none"/>
              </w:rPr>
            </w:pPr>
          </w:p>
        </w:tc>
        <w:tc>
          <w:tcPr>
            <w:tcW w:w="1258" w:type="dxa"/>
            <w:vAlign w:val="center"/>
          </w:tcPr>
          <w:p w14:paraId="6BACBDDD">
            <w:pPr>
              <w:rPr>
                <w:rFonts w:ascii="宋体" w:hAnsi="宋体" w:cs="宋体"/>
                <w:color w:val="auto"/>
                <w:sz w:val="22"/>
                <w:szCs w:val="22"/>
                <w:highlight w:val="none"/>
              </w:rPr>
            </w:pPr>
          </w:p>
        </w:tc>
        <w:tc>
          <w:tcPr>
            <w:tcW w:w="1389" w:type="dxa"/>
            <w:vAlign w:val="center"/>
          </w:tcPr>
          <w:p w14:paraId="08D30567">
            <w:pPr>
              <w:rPr>
                <w:rFonts w:ascii="宋体" w:hAnsi="宋体" w:cs="宋体"/>
                <w:color w:val="auto"/>
                <w:sz w:val="22"/>
                <w:szCs w:val="22"/>
                <w:highlight w:val="none"/>
              </w:rPr>
            </w:pPr>
          </w:p>
        </w:tc>
      </w:tr>
      <w:tr w14:paraId="76F63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2" w:type="dxa"/>
            <w:bottom w:w="0" w:type="dxa"/>
            <w:right w:w="42" w:type="dxa"/>
          </w:tblCellMar>
        </w:tblPrEx>
        <w:trPr>
          <w:cantSplit/>
          <w:trHeight w:val="498" w:hRule="atLeast"/>
          <w:jc w:val="center"/>
        </w:trPr>
        <w:tc>
          <w:tcPr>
            <w:tcW w:w="670" w:type="dxa"/>
            <w:vAlign w:val="center"/>
          </w:tcPr>
          <w:p w14:paraId="0258EB32">
            <w:pPr>
              <w:jc w:val="center"/>
              <w:rPr>
                <w:rFonts w:ascii="宋体" w:hAnsi="宋体" w:cs="宋体"/>
                <w:color w:val="auto"/>
                <w:sz w:val="22"/>
                <w:szCs w:val="22"/>
                <w:highlight w:val="none"/>
              </w:rPr>
            </w:pPr>
            <w:r>
              <w:rPr>
                <w:rFonts w:hint="eastAsia" w:ascii="宋体" w:hAnsi="宋体" w:cs="宋体"/>
                <w:color w:val="auto"/>
                <w:sz w:val="22"/>
                <w:szCs w:val="22"/>
                <w:highlight w:val="none"/>
              </w:rPr>
              <w:t>2</w:t>
            </w:r>
          </w:p>
        </w:tc>
        <w:tc>
          <w:tcPr>
            <w:tcW w:w="5077" w:type="dxa"/>
            <w:vAlign w:val="center"/>
          </w:tcPr>
          <w:p w14:paraId="4CA42C30">
            <w:pPr>
              <w:rPr>
                <w:rFonts w:ascii="宋体" w:hAnsi="宋体" w:cs="宋体"/>
                <w:color w:val="auto"/>
                <w:sz w:val="22"/>
                <w:szCs w:val="22"/>
                <w:highlight w:val="none"/>
              </w:rPr>
            </w:pPr>
          </w:p>
        </w:tc>
        <w:tc>
          <w:tcPr>
            <w:tcW w:w="1258" w:type="dxa"/>
            <w:vAlign w:val="center"/>
          </w:tcPr>
          <w:p w14:paraId="548891F3">
            <w:pPr>
              <w:rPr>
                <w:rFonts w:ascii="宋体" w:hAnsi="宋体" w:cs="宋体"/>
                <w:color w:val="auto"/>
                <w:sz w:val="22"/>
                <w:szCs w:val="22"/>
                <w:highlight w:val="none"/>
              </w:rPr>
            </w:pPr>
          </w:p>
        </w:tc>
        <w:tc>
          <w:tcPr>
            <w:tcW w:w="1389" w:type="dxa"/>
            <w:vAlign w:val="center"/>
          </w:tcPr>
          <w:p w14:paraId="1B6AC20B">
            <w:pPr>
              <w:rPr>
                <w:rFonts w:ascii="宋体" w:hAnsi="宋体" w:cs="宋体"/>
                <w:color w:val="auto"/>
                <w:sz w:val="22"/>
                <w:szCs w:val="22"/>
                <w:highlight w:val="none"/>
              </w:rPr>
            </w:pPr>
          </w:p>
        </w:tc>
      </w:tr>
      <w:tr w14:paraId="11AD0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2" w:type="dxa"/>
            <w:bottom w:w="0" w:type="dxa"/>
            <w:right w:w="42" w:type="dxa"/>
          </w:tblCellMar>
        </w:tblPrEx>
        <w:trPr>
          <w:cantSplit/>
          <w:trHeight w:val="498" w:hRule="atLeast"/>
          <w:jc w:val="center"/>
        </w:trPr>
        <w:tc>
          <w:tcPr>
            <w:tcW w:w="670" w:type="dxa"/>
            <w:vAlign w:val="center"/>
          </w:tcPr>
          <w:p w14:paraId="7D060CFB">
            <w:pPr>
              <w:jc w:val="center"/>
              <w:rPr>
                <w:rFonts w:ascii="宋体" w:hAnsi="宋体" w:cs="宋体"/>
                <w:color w:val="auto"/>
                <w:sz w:val="22"/>
                <w:szCs w:val="22"/>
                <w:highlight w:val="none"/>
              </w:rPr>
            </w:pPr>
            <w:r>
              <w:rPr>
                <w:rFonts w:hint="eastAsia" w:ascii="宋体" w:hAnsi="宋体" w:cs="宋体"/>
                <w:color w:val="auto"/>
                <w:sz w:val="22"/>
                <w:szCs w:val="22"/>
                <w:highlight w:val="none"/>
              </w:rPr>
              <w:t>3</w:t>
            </w:r>
          </w:p>
        </w:tc>
        <w:tc>
          <w:tcPr>
            <w:tcW w:w="5077" w:type="dxa"/>
            <w:vAlign w:val="center"/>
          </w:tcPr>
          <w:p w14:paraId="3FDDD446">
            <w:pPr>
              <w:rPr>
                <w:rFonts w:ascii="宋体" w:hAnsi="宋体" w:cs="宋体"/>
                <w:color w:val="auto"/>
                <w:sz w:val="22"/>
                <w:szCs w:val="22"/>
                <w:highlight w:val="none"/>
              </w:rPr>
            </w:pPr>
          </w:p>
        </w:tc>
        <w:tc>
          <w:tcPr>
            <w:tcW w:w="1258" w:type="dxa"/>
            <w:vAlign w:val="center"/>
          </w:tcPr>
          <w:p w14:paraId="512325E8">
            <w:pPr>
              <w:rPr>
                <w:rFonts w:ascii="宋体" w:hAnsi="宋体" w:cs="宋体"/>
                <w:color w:val="auto"/>
                <w:sz w:val="22"/>
                <w:szCs w:val="22"/>
                <w:highlight w:val="none"/>
              </w:rPr>
            </w:pPr>
          </w:p>
        </w:tc>
        <w:tc>
          <w:tcPr>
            <w:tcW w:w="1389" w:type="dxa"/>
            <w:vAlign w:val="center"/>
          </w:tcPr>
          <w:p w14:paraId="1FEE000B">
            <w:pPr>
              <w:rPr>
                <w:rFonts w:ascii="宋体" w:hAnsi="宋体" w:cs="宋体"/>
                <w:color w:val="auto"/>
                <w:sz w:val="22"/>
                <w:szCs w:val="22"/>
                <w:highlight w:val="none"/>
              </w:rPr>
            </w:pPr>
          </w:p>
        </w:tc>
      </w:tr>
      <w:tr w14:paraId="085ED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2" w:type="dxa"/>
            <w:bottom w:w="0" w:type="dxa"/>
            <w:right w:w="42" w:type="dxa"/>
          </w:tblCellMar>
        </w:tblPrEx>
        <w:trPr>
          <w:cantSplit/>
          <w:trHeight w:val="498" w:hRule="atLeast"/>
          <w:jc w:val="center"/>
        </w:trPr>
        <w:tc>
          <w:tcPr>
            <w:tcW w:w="670" w:type="dxa"/>
            <w:vAlign w:val="center"/>
          </w:tcPr>
          <w:p w14:paraId="59560E65">
            <w:pPr>
              <w:jc w:val="center"/>
              <w:rPr>
                <w:rFonts w:ascii="宋体" w:hAnsi="宋体" w:cs="宋体"/>
                <w:color w:val="auto"/>
                <w:sz w:val="22"/>
                <w:szCs w:val="22"/>
                <w:highlight w:val="none"/>
              </w:rPr>
            </w:pPr>
            <w:r>
              <w:rPr>
                <w:rFonts w:hint="eastAsia" w:ascii="宋体" w:hAnsi="宋体" w:cs="宋体"/>
                <w:color w:val="auto"/>
                <w:sz w:val="22"/>
                <w:szCs w:val="22"/>
                <w:highlight w:val="none"/>
              </w:rPr>
              <w:t>4</w:t>
            </w:r>
          </w:p>
        </w:tc>
        <w:tc>
          <w:tcPr>
            <w:tcW w:w="5077" w:type="dxa"/>
            <w:vAlign w:val="center"/>
          </w:tcPr>
          <w:p w14:paraId="7BEEA334">
            <w:pPr>
              <w:rPr>
                <w:rFonts w:ascii="宋体" w:hAnsi="宋体" w:cs="宋体"/>
                <w:color w:val="auto"/>
                <w:sz w:val="22"/>
                <w:szCs w:val="22"/>
                <w:highlight w:val="none"/>
              </w:rPr>
            </w:pPr>
          </w:p>
        </w:tc>
        <w:tc>
          <w:tcPr>
            <w:tcW w:w="1258" w:type="dxa"/>
            <w:vAlign w:val="center"/>
          </w:tcPr>
          <w:p w14:paraId="0918CF8F">
            <w:pPr>
              <w:rPr>
                <w:rFonts w:ascii="宋体" w:hAnsi="宋体" w:cs="宋体"/>
                <w:color w:val="auto"/>
                <w:sz w:val="22"/>
                <w:szCs w:val="22"/>
                <w:highlight w:val="none"/>
              </w:rPr>
            </w:pPr>
          </w:p>
        </w:tc>
        <w:tc>
          <w:tcPr>
            <w:tcW w:w="1389" w:type="dxa"/>
            <w:vAlign w:val="center"/>
          </w:tcPr>
          <w:p w14:paraId="67505EC8">
            <w:pPr>
              <w:rPr>
                <w:rFonts w:ascii="宋体" w:hAnsi="宋体" w:cs="宋体"/>
                <w:color w:val="auto"/>
                <w:sz w:val="22"/>
                <w:szCs w:val="22"/>
                <w:highlight w:val="none"/>
              </w:rPr>
            </w:pPr>
          </w:p>
        </w:tc>
      </w:tr>
      <w:tr w14:paraId="154D9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2" w:type="dxa"/>
            <w:bottom w:w="0" w:type="dxa"/>
            <w:right w:w="42" w:type="dxa"/>
          </w:tblCellMar>
        </w:tblPrEx>
        <w:trPr>
          <w:cantSplit/>
          <w:trHeight w:val="462" w:hRule="atLeast"/>
          <w:jc w:val="center"/>
        </w:trPr>
        <w:tc>
          <w:tcPr>
            <w:tcW w:w="670" w:type="dxa"/>
            <w:vAlign w:val="center"/>
          </w:tcPr>
          <w:p w14:paraId="53B64C39">
            <w:pPr>
              <w:jc w:val="center"/>
              <w:rPr>
                <w:rFonts w:ascii="宋体" w:hAnsi="宋体" w:cs="宋体"/>
                <w:color w:val="auto"/>
                <w:sz w:val="22"/>
                <w:szCs w:val="22"/>
                <w:highlight w:val="none"/>
              </w:rPr>
            </w:pPr>
            <w:r>
              <w:rPr>
                <w:rFonts w:hint="eastAsia" w:ascii="宋体" w:hAnsi="宋体" w:cs="宋体"/>
                <w:color w:val="auto"/>
                <w:sz w:val="22"/>
                <w:szCs w:val="22"/>
                <w:highlight w:val="none"/>
              </w:rPr>
              <w:t>5</w:t>
            </w:r>
          </w:p>
        </w:tc>
        <w:tc>
          <w:tcPr>
            <w:tcW w:w="5077" w:type="dxa"/>
            <w:vAlign w:val="center"/>
          </w:tcPr>
          <w:p w14:paraId="44146B55">
            <w:pPr>
              <w:rPr>
                <w:rFonts w:ascii="宋体" w:hAnsi="宋体" w:cs="宋体"/>
                <w:color w:val="auto"/>
                <w:sz w:val="22"/>
                <w:szCs w:val="22"/>
                <w:highlight w:val="none"/>
              </w:rPr>
            </w:pPr>
          </w:p>
        </w:tc>
        <w:tc>
          <w:tcPr>
            <w:tcW w:w="1258" w:type="dxa"/>
            <w:vAlign w:val="center"/>
          </w:tcPr>
          <w:p w14:paraId="710EDF3B">
            <w:pPr>
              <w:rPr>
                <w:rFonts w:ascii="宋体" w:hAnsi="宋体" w:cs="宋体"/>
                <w:color w:val="auto"/>
                <w:sz w:val="22"/>
                <w:szCs w:val="22"/>
                <w:highlight w:val="none"/>
              </w:rPr>
            </w:pPr>
          </w:p>
        </w:tc>
        <w:tc>
          <w:tcPr>
            <w:tcW w:w="1389" w:type="dxa"/>
            <w:vAlign w:val="center"/>
          </w:tcPr>
          <w:p w14:paraId="322C494E">
            <w:pPr>
              <w:rPr>
                <w:rFonts w:ascii="宋体" w:hAnsi="宋体" w:cs="宋体"/>
                <w:color w:val="auto"/>
                <w:sz w:val="22"/>
                <w:szCs w:val="22"/>
                <w:highlight w:val="none"/>
              </w:rPr>
            </w:pPr>
          </w:p>
        </w:tc>
      </w:tr>
      <w:tr w14:paraId="71EFB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2" w:type="dxa"/>
            <w:bottom w:w="0" w:type="dxa"/>
            <w:right w:w="42" w:type="dxa"/>
          </w:tblCellMar>
        </w:tblPrEx>
        <w:trPr>
          <w:cantSplit/>
          <w:trHeight w:val="454" w:hRule="atLeast"/>
          <w:jc w:val="center"/>
        </w:trPr>
        <w:tc>
          <w:tcPr>
            <w:tcW w:w="670" w:type="dxa"/>
            <w:vAlign w:val="center"/>
          </w:tcPr>
          <w:p w14:paraId="15CFE8C7">
            <w:pPr>
              <w:jc w:val="center"/>
              <w:rPr>
                <w:rFonts w:ascii="宋体" w:hAnsi="宋体" w:cs="宋体"/>
                <w:color w:val="auto"/>
                <w:sz w:val="22"/>
                <w:szCs w:val="22"/>
                <w:highlight w:val="none"/>
              </w:rPr>
            </w:pPr>
            <w:r>
              <w:rPr>
                <w:rFonts w:hint="eastAsia" w:ascii="宋体" w:hAnsi="宋体" w:cs="宋体"/>
                <w:color w:val="auto"/>
                <w:sz w:val="22"/>
                <w:szCs w:val="22"/>
                <w:highlight w:val="none"/>
              </w:rPr>
              <w:t>6</w:t>
            </w:r>
          </w:p>
        </w:tc>
        <w:tc>
          <w:tcPr>
            <w:tcW w:w="5077" w:type="dxa"/>
            <w:vAlign w:val="center"/>
          </w:tcPr>
          <w:p w14:paraId="0C002AFB">
            <w:pPr>
              <w:rPr>
                <w:rFonts w:ascii="宋体" w:hAnsi="宋体" w:cs="宋体"/>
                <w:color w:val="auto"/>
                <w:sz w:val="22"/>
                <w:szCs w:val="22"/>
                <w:highlight w:val="none"/>
              </w:rPr>
            </w:pPr>
          </w:p>
        </w:tc>
        <w:tc>
          <w:tcPr>
            <w:tcW w:w="1258" w:type="dxa"/>
            <w:vAlign w:val="center"/>
          </w:tcPr>
          <w:p w14:paraId="7A50DD94">
            <w:pPr>
              <w:rPr>
                <w:rFonts w:ascii="宋体" w:hAnsi="宋体" w:cs="宋体"/>
                <w:color w:val="auto"/>
                <w:sz w:val="22"/>
                <w:szCs w:val="22"/>
                <w:highlight w:val="none"/>
              </w:rPr>
            </w:pPr>
          </w:p>
        </w:tc>
        <w:tc>
          <w:tcPr>
            <w:tcW w:w="1389" w:type="dxa"/>
            <w:vAlign w:val="center"/>
          </w:tcPr>
          <w:p w14:paraId="0F93C19D">
            <w:pPr>
              <w:rPr>
                <w:rFonts w:ascii="宋体" w:hAnsi="宋体" w:cs="宋体"/>
                <w:color w:val="auto"/>
                <w:sz w:val="22"/>
                <w:szCs w:val="22"/>
                <w:highlight w:val="none"/>
              </w:rPr>
            </w:pPr>
          </w:p>
        </w:tc>
      </w:tr>
      <w:tr w14:paraId="2D68E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2" w:type="dxa"/>
            <w:bottom w:w="0" w:type="dxa"/>
            <w:right w:w="42" w:type="dxa"/>
          </w:tblCellMar>
        </w:tblPrEx>
        <w:trPr>
          <w:cantSplit/>
          <w:trHeight w:val="506" w:hRule="atLeast"/>
          <w:jc w:val="center"/>
        </w:trPr>
        <w:tc>
          <w:tcPr>
            <w:tcW w:w="670" w:type="dxa"/>
            <w:vAlign w:val="center"/>
          </w:tcPr>
          <w:p w14:paraId="19B00584">
            <w:pPr>
              <w:jc w:val="center"/>
              <w:rPr>
                <w:rFonts w:ascii="宋体" w:hAnsi="宋体" w:cs="宋体"/>
                <w:color w:val="auto"/>
                <w:sz w:val="22"/>
                <w:szCs w:val="22"/>
                <w:highlight w:val="none"/>
              </w:rPr>
            </w:pPr>
            <w:r>
              <w:rPr>
                <w:rFonts w:hint="eastAsia" w:ascii="宋体" w:hAnsi="宋体" w:cs="宋体"/>
                <w:color w:val="auto"/>
                <w:sz w:val="22"/>
                <w:szCs w:val="22"/>
                <w:highlight w:val="none"/>
              </w:rPr>
              <w:t>…</w:t>
            </w:r>
          </w:p>
        </w:tc>
        <w:tc>
          <w:tcPr>
            <w:tcW w:w="5077" w:type="dxa"/>
            <w:vAlign w:val="center"/>
          </w:tcPr>
          <w:p w14:paraId="63B4AC7B">
            <w:pPr>
              <w:rPr>
                <w:rFonts w:ascii="宋体" w:hAnsi="宋体" w:cs="宋体"/>
                <w:color w:val="auto"/>
                <w:sz w:val="22"/>
                <w:szCs w:val="22"/>
                <w:highlight w:val="none"/>
              </w:rPr>
            </w:pPr>
          </w:p>
        </w:tc>
        <w:tc>
          <w:tcPr>
            <w:tcW w:w="1258" w:type="dxa"/>
            <w:vAlign w:val="center"/>
          </w:tcPr>
          <w:p w14:paraId="2DDE5345">
            <w:pPr>
              <w:rPr>
                <w:rFonts w:ascii="宋体" w:hAnsi="宋体" w:cs="宋体"/>
                <w:color w:val="auto"/>
                <w:sz w:val="22"/>
                <w:szCs w:val="22"/>
                <w:highlight w:val="none"/>
              </w:rPr>
            </w:pPr>
          </w:p>
        </w:tc>
        <w:tc>
          <w:tcPr>
            <w:tcW w:w="1389" w:type="dxa"/>
            <w:vAlign w:val="center"/>
          </w:tcPr>
          <w:p w14:paraId="415AA330">
            <w:pPr>
              <w:rPr>
                <w:rFonts w:ascii="宋体" w:hAnsi="宋体" w:cs="宋体"/>
                <w:color w:val="auto"/>
                <w:sz w:val="22"/>
                <w:szCs w:val="22"/>
                <w:highlight w:val="none"/>
              </w:rPr>
            </w:pPr>
          </w:p>
        </w:tc>
      </w:tr>
      <w:tr w14:paraId="77941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2" w:type="dxa"/>
            <w:bottom w:w="0" w:type="dxa"/>
            <w:right w:w="42" w:type="dxa"/>
          </w:tblCellMar>
        </w:tblPrEx>
        <w:trPr>
          <w:cantSplit/>
          <w:trHeight w:val="478" w:hRule="atLeast"/>
          <w:jc w:val="center"/>
        </w:trPr>
        <w:tc>
          <w:tcPr>
            <w:tcW w:w="5747" w:type="dxa"/>
            <w:gridSpan w:val="2"/>
            <w:vAlign w:val="center"/>
          </w:tcPr>
          <w:p w14:paraId="3D98E5BA">
            <w:pPr>
              <w:jc w:val="center"/>
              <w:rPr>
                <w:rFonts w:ascii="宋体" w:hAnsi="宋体" w:cs="宋体"/>
                <w:color w:val="auto"/>
                <w:sz w:val="22"/>
                <w:szCs w:val="22"/>
                <w:highlight w:val="none"/>
              </w:rPr>
            </w:pPr>
            <w:r>
              <w:rPr>
                <w:rFonts w:hint="eastAsia" w:ascii="宋体" w:hAnsi="宋体" w:cs="宋体"/>
                <w:color w:val="auto"/>
                <w:sz w:val="22"/>
                <w:szCs w:val="22"/>
                <w:highlight w:val="none"/>
              </w:rPr>
              <w:t>投标总价</w:t>
            </w:r>
          </w:p>
        </w:tc>
        <w:tc>
          <w:tcPr>
            <w:tcW w:w="1258" w:type="dxa"/>
            <w:vAlign w:val="center"/>
          </w:tcPr>
          <w:p w14:paraId="7F327497">
            <w:pPr>
              <w:rPr>
                <w:rFonts w:ascii="宋体" w:hAnsi="宋体" w:cs="宋体"/>
                <w:color w:val="auto"/>
                <w:sz w:val="22"/>
                <w:szCs w:val="22"/>
                <w:highlight w:val="none"/>
              </w:rPr>
            </w:pPr>
          </w:p>
        </w:tc>
        <w:tc>
          <w:tcPr>
            <w:tcW w:w="1389" w:type="dxa"/>
            <w:vAlign w:val="center"/>
          </w:tcPr>
          <w:p w14:paraId="4BA83EFA">
            <w:pPr>
              <w:rPr>
                <w:rFonts w:ascii="宋体" w:hAnsi="宋体" w:cs="宋体"/>
                <w:color w:val="auto"/>
                <w:sz w:val="22"/>
                <w:szCs w:val="22"/>
                <w:highlight w:val="none"/>
              </w:rPr>
            </w:pPr>
          </w:p>
        </w:tc>
      </w:tr>
    </w:tbl>
    <w:p w14:paraId="53A9673B">
      <w:pPr>
        <w:spacing w:line="360" w:lineRule="exact"/>
        <w:ind w:firstLine="220" w:firstLineChars="100"/>
        <w:rPr>
          <w:rFonts w:ascii="宋体" w:hAnsi="宋体" w:cs="宋体"/>
          <w:color w:val="auto"/>
          <w:sz w:val="22"/>
          <w:szCs w:val="22"/>
          <w:highlight w:val="none"/>
        </w:rPr>
      </w:pPr>
      <w:r>
        <w:rPr>
          <w:rFonts w:hint="eastAsia" w:ascii="宋体" w:hAnsi="宋体" w:cs="宋体"/>
          <w:color w:val="auto"/>
          <w:sz w:val="22"/>
          <w:szCs w:val="22"/>
          <w:highlight w:val="none"/>
        </w:rPr>
        <w:t>注：1.所有价格应按“招标文件”中规定的货币单位填写；</w:t>
      </w:r>
    </w:p>
    <w:p w14:paraId="78B449D2">
      <w:pPr>
        <w:spacing w:line="360" w:lineRule="exact"/>
        <w:rPr>
          <w:rFonts w:ascii="宋体" w:hAnsi="宋体" w:cs="宋体"/>
          <w:color w:val="auto"/>
          <w:sz w:val="22"/>
          <w:szCs w:val="22"/>
          <w:highlight w:val="none"/>
        </w:rPr>
      </w:pPr>
      <w:r>
        <w:rPr>
          <w:rFonts w:hint="eastAsia" w:ascii="宋体" w:hAnsi="宋体" w:cs="宋体"/>
          <w:color w:val="auto"/>
          <w:sz w:val="22"/>
          <w:szCs w:val="22"/>
          <w:highlight w:val="none"/>
        </w:rPr>
        <w:t xml:space="preserve">      2.投标总价应为以上各分项价格之和；</w:t>
      </w:r>
    </w:p>
    <w:p w14:paraId="33141585">
      <w:pPr>
        <w:spacing w:line="360" w:lineRule="exact"/>
        <w:ind w:firstLine="660" w:firstLineChars="300"/>
        <w:rPr>
          <w:rFonts w:ascii="宋体" w:hAnsi="宋体" w:cs="宋体"/>
          <w:b/>
          <w:bCs/>
          <w:color w:val="auto"/>
          <w:sz w:val="22"/>
          <w:szCs w:val="22"/>
          <w:highlight w:val="none"/>
        </w:rPr>
      </w:pPr>
      <w:r>
        <w:rPr>
          <w:rFonts w:hint="eastAsia" w:ascii="宋体" w:hAnsi="宋体" w:cs="宋体"/>
          <w:b/>
          <w:bCs/>
          <w:color w:val="auto"/>
          <w:sz w:val="22"/>
          <w:szCs w:val="22"/>
          <w:highlight w:val="none"/>
        </w:rPr>
        <w:t>3.本表格仅为指导性范本，供应商应根据项目具体情况对各分项内容进行调整提供详细分项报价。</w:t>
      </w:r>
    </w:p>
    <w:p w14:paraId="09F294C3">
      <w:pPr>
        <w:rPr>
          <w:rFonts w:ascii="黑体" w:eastAsia="黑体"/>
        </w:rPr>
      </w:pPr>
      <w:r>
        <w:rPr>
          <w:rFonts w:ascii="黑体" w:eastAsia="黑体"/>
        </w:rPr>
        <w:br w:type="page"/>
      </w:r>
    </w:p>
    <w:p w14:paraId="2EA4F4EB">
      <w:pPr>
        <w:rPr>
          <w:rFonts w:ascii="黑体" w:eastAsia="黑体"/>
        </w:rPr>
      </w:pPr>
    </w:p>
    <w:p w14:paraId="7DF78A2F">
      <w:pPr>
        <w:pStyle w:val="6"/>
        <w:numPr>
          <w:ilvl w:val="0"/>
          <w:numId w:val="5"/>
        </w:numPr>
        <w:spacing w:before="120" w:after="120"/>
        <w:ind w:left="0" w:leftChars="0" w:firstLine="420" w:firstLineChars="0"/>
        <w:jc w:val="center"/>
        <w:rPr>
          <w:rFonts w:ascii="黑体" w:eastAsia="黑体"/>
          <w:b w:val="0"/>
          <w:sz w:val="24"/>
        </w:rPr>
      </w:pPr>
      <w:r>
        <w:rPr>
          <w:rFonts w:hint="eastAsia" w:ascii="黑体" w:eastAsia="黑体"/>
          <w:b w:val="0"/>
          <w:sz w:val="24"/>
        </w:rPr>
        <w:t>政府采购优惠政策文件</w:t>
      </w:r>
    </w:p>
    <w:p w14:paraId="299E92D9">
      <w:pPr>
        <w:ind w:left="723" w:hanging="720" w:hangingChars="300"/>
        <w:rPr>
          <w:b/>
          <w:bCs/>
        </w:rPr>
      </w:pPr>
    </w:p>
    <w:p w14:paraId="2EFFC864">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rPr>
      </w:pPr>
      <w:r>
        <w:rPr>
          <w:rFonts w:hint="eastAsia"/>
        </w:rPr>
        <w:t>如投标人为中小微企业或残疾人福利性单位投标，投标人可提供中小企业声明函及残疾人福利性单位声明函（或省级以上监狱管理局、戒毒管理局（含新疆生产建设兵团）出具的属于监狱企业的证明文件）</w:t>
      </w:r>
    </w:p>
    <w:p w14:paraId="1FB4292C">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pPr>
      <w:r>
        <w:rPr>
          <w:rFonts w:hint="eastAsia"/>
        </w:rPr>
        <w:t>备注：（</w:t>
      </w:r>
      <w:r>
        <w:t>1</w:t>
      </w:r>
      <w:r>
        <w:rPr>
          <w:rFonts w:hint="eastAsia"/>
        </w:rPr>
        <w:t>）该部分内容由供应商根据自身情况填写相关声明，不符合要求的供应商可以不填写或删除相应的声明函。投标人对声明函的真实性负责。如提供虚假声明，将报送主管部门给予行政处罚。</w:t>
      </w:r>
    </w:p>
    <w:p w14:paraId="4A8BE504">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pPr>
      <w:r>
        <w:rPr>
          <w:rFonts w:hint="eastAsia"/>
        </w:rPr>
        <w:t>（</w:t>
      </w:r>
      <w:r>
        <w:t>2</w:t>
      </w:r>
      <w:r>
        <w:rPr>
          <w:rFonts w:hint="eastAsia"/>
        </w:rPr>
        <w:t>）声明函的有效性最终由评标委员会判定，如评标委员会判定声明函无效，相关供应商不享受相应的价格扣除。</w:t>
      </w:r>
    </w:p>
    <w:p w14:paraId="63BDACBB">
      <w:pPr>
        <w:ind w:firstLine="480" w:firstLineChars="200"/>
        <w:outlineLvl w:val="9"/>
        <w:rPr>
          <w:rFonts w:ascii="黑体" w:hAnsi="宋体" w:eastAsia="黑体"/>
          <w:bCs/>
          <w:color w:val="FF0000"/>
          <w:szCs w:val="21"/>
        </w:rPr>
      </w:pPr>
      <w:r>
        <w:rPr>
          <w:rFonts w:hint="eastAsia" w:ascii="黑体" w:hAnsi="宋体" w:eastAsia="黑体"/>
          <w:bCs/>
          <w:color w:val="FF0000"/>
          <w:szCs w:val="21"/>
        </w:rPr>
        <w:t>填写指引：</w:t>
      </w:r>
    </w:p>
    <w:p w14:paraId="6204A330">
      <w:pPr>
        <w:ind w:firstLine="480" w:firstLineChars="200"/>
        <w:outlineLvl w:val="9"/>
        <w:rPr>
          <w:rFonts w:ascii="黑体" w:hAnsi="黑体" w:eastAsia="黑体"/>
          <w:color w:val="FF0000"/>
          <w:szCs w:val="21"/>
        </w:rPr>
      </w:pPr>
      <w:r>
        <w:rPr>
          <w:rFonts w:hint="eastAsia" w:ascii="黑体" w:hAnsi="宋体" w:eastAsia="黑体"/>
          <w:bCs/>
          <w:color w:val="FF0000"/>
          <w:szCs w:val="21"/>
        </w:rPr>
        <w:t>1、该部分内容由投标人根据自身实际情况填写，不符合要求的投标人可以不填写或直接删除相应的声明函。</w:t>
      </w:r>
      <w:r>
        <w:rPr>
          <w:rFonts w:hint="eastAsia" w:ascii="黑体" w:hAnsi="黑体" w:eastAsia="黑体"/>
          <w:color w:val="FF0000"/>
          <w:szCs w:val="21"/>
        </w:rPr>
        <w:t>投标人提供的声明函不属实的，属于提供虚假资料谋取中标，依照《中华人民共和国政府采购法》等国家有关规定追究相应责任。</w:t>
      </w:r>
    </w:p>
    <w:p w14:paraId="3A53D80A">
      <w:pPr>
        <w:ind w:firstLine="480" w:firstLineChars="200"/>
        <w:outlineLvl w:val="9"/>
        <w:rPr>
          <w:rFonts w:ascii="黑体" w:hAnsi="黑体" w:eastAsia="黑体"/>
          <w:color w:val="FF0000"/>
          <w:szCs w:val="21"/>
        </w:rPr>
      </w:pPr>
      <w:r>
        <w:rPr>
          <w:rFonts w:hint="eastAsia" w:ascii="黑体" w:hAnsi="黑体" w:eastAsia="黑体"/>
          <w:color w:val="FF0000"/>
          <w:szCs w:val="21"/>
        </w:rPr>
        <w:t>2、该部分内容填写需要参考的相关文件：</w:t>
      </w:r>
    </w:p>
    <w:p w14:paraId="152C7E65">
      <w:pPr>
        <w:ind w:firstLine="480" w:firstLineChars="200"/>
        <w:outlineLvl w:val="9"/>
        <w:rPr>
          <w:rFonts w:hint="eastAsia" w:ascii="黑体" w:hAnsi="宋体" w:eastAsia="黑体"/>
          <w:bCs/>
          <w:color w:val="FF0000"/>
          <w:szCs w:val="21"/>
        </w:rPr>
      </w:pPr>
      <w:r>
        <w:rPr>
          <w:rFonts w:hint="eastAsia" w:ascii="黑体" w:hAnsi="宋体" w:eastAsia="黑体"/>
          <w:bCs/>
          <w:color w:val="FF0000"/>
          <w:szCs w:val="21"/>
        </w:rPr>
        <w:t>(1)财政部《政府采购促进中小企业发展管理办法》（财库〔2020〕46号）</w:t>
      </w:r>
    </w:p>
    <w:p w14:paraId="009665BC">
      <w:pPr>
        <w:ind w:firstLine="480" w:firstLineChars="200"/>
        <w:outlineLvl w:val="9"/>
        <w:rPr>
          <w:rFonts w:hint="eastAsia" w:ascii="黑体" w:hAnsi="宋体" w:eastAsia="黑体"/>
          <w:bCs/>
          <w:color w:val="FF0000"/>
          <w:szCs w:val="21"/>
        </w:rPr>
      </w:pPr>
      <w:r>
        <w:rPr>
          <w:rFonts w:hint="eastAsia" w:ascii="黑体" w:hAnsi="宋体" w:eastAsia="黑体"/>
          <w:bCs/>
          <w:color w:val="FF0000"/>
          <w:szCs w:val="21"/>
        </w:rPr>
        <w:t>(2)《工业和信息化部、国家统计局、国家发展和改革委员会、财政部关于印发中小企业划型标准规定的通知》（工信部联企业〔2011〕300 号，以下简称300号文）</w:t>
      </w:r>
    </w:p>
    <w:p w14:paraId="0C94B84A">
      <w:pPr>
        <w:ind w:firstLine="480" w:firstLineChars="200"/>
        <w:outlineLvl w:val="9"/>
        <w:rPr>
          <w:rFonts w:hint="eastAsia" w:ascii="黑体" w:hAnsi="宋体" w:eastAsia="黑体"/>
          <w:bCs/>
          <w:color w:val="FF0000"/>
          <w:szCs w:val="21"/>
        </w:rPr>
      </w:pPr>
      <w:r>
        <w:rPr>
          <w:rFonts w:hint="eastAsia" w:ascii="黑体" w:hAnsi="宋体" w:eastAsia="黑体"/>
          <w:bCs/>
          <w:color w:val="FF0000"/>
          <w:szCs w:val="21"/>
        </w:rPr>
        <w:t>(3)《统计上大中小微型企业划分办法(2017)》（国统字〔2017〕213 号）</w:t>
      </w:r>
    </w:p>
    <w:p w14:paraId="10336101">
      <w:pPr>
        <w:ind w:firstLine="480" w:firstLineChars="200"/>
        <w:outlineLvl w:val="9"/>
        <w:rPr>
          <w:rFonts w:hint="eastAsia" w:ascii="黑体" w:hAnsi="宋体" w:eastAsia="黑体"/>
          <w:bCs/>
          <w:color w:val="FF0000"/>
          <w:szCs w:val="21"/>
        </w:rPr>
      </w:pPr>
      <w:r>
        <w:rPr>
          <w:rFonts w:hint="eastAsia" w:ascii="黑体" w:hAnsi="宋体" w:eastAsia="黑体"/>
          <w:bCs/>
          <w:color w:val="FF0000"/>
          <w:szCs w:val="21"/>
        </w:rPr>
        <w:t>(4)《关于促进残疾人就业政府采购政策的通知》（财库〔2017〕141号）</w:t>
      </w:r>
    </w:p>
    <w:p w14:paraId="66B2BFBC">
      <w:pPr>
        <w:ind w:firstLine="480" w:firstLineChars="200"/>
        <w:outlineLvl w:val="9"/>
        <w:rPr>
          <w:rFonts w:hint="eastAsia" w:ascii="黑体" w:hAnsi="宋体" w:eastAsia="黑体"/>
          <w:bCs/>
          <w:color w:val="FF0000"/>
          <w:szCs w:val="21"/>
        </w:rPr>
      </w:pPr>
      <w:r>
        <w:rPr>
          <w:rFonts w:hint="eastAsia" w:ascii="黑体" w:hAnsi="宋体" w:eastAsia="黑体"/>
          <w:bCs/>
          <w:color w:val="FF0000"/>
          <w:szCs w:val="21"/>
        </w:rPr>
        <w:t>(5)《关于政府采购支持监狱企业发展有关问题的通知》（财库〔2014〕68号）</w:t>
      </w:r>
    </w:p>
    <w:p w14:paraId="6FC032B0">
      <w:pPr>
        <w:ind w:firstLine="480" w:firstLineChars="200"/>
        <w:outlineLvl w:val="9"/>
        <w:rPr>
          <w:rFonts w:hint="eastAsia" w:ascii="黑体" w:hAnsi="宋体" w:eastAsia="黑体"/>
          <w:bCs/>
          <w:color w:val="FF0000"/>
          <w:szCs w:val="21"/>
        </w:rPr>
      </w:pPr>
      <w:r>
        <w:rPr>
          <w:rFonts w:hint="eastAsia" w:ascii="黑体" w:hAnsi="宋体" w:eastAsia="黑体"/>
          <w:bCs/>
          <w:color w:val="FF0000"/>
          <w:szCs w:val="21"/>
        </w:rPr>
        <w:t>(</w:t>
      </w:r>
      <w:r>
        <w:rPr>
          <w:rFonts w:hint="eastAsia" w:ascii="黑体" w:hAnsi="宋体" w:eastAsia="黑体"/>
          <w:bCs/>
          <w:color w:val="FF0000"/>
          <w:szCs w:val="21"/>
          <w:lang w:val="en-US" w:eastAsia="zh-CN"/>
        </w:rPr>
        <w:t>6</w:t>
      </w:r>
      <w:r>
        <w:rPr>
          <w:rFonts w:hint="eastAsia" w:ascii="黑体" w:hAnsi="宋体" w:eastAsia="黑体"/>
          <w:bCs/>
          <w:color w:val="FF0000"/>
          <w:szCs w:val="21"/>
        </w:rPr>
        <w:t>)《国民经济行业分类》(GB/T4754-2002)</w:t>
      </w:r>
    </w:p>
    <w:p w14:paraId="7ECCBA2C">
      <w:pPr>
        <w:ind w:firstLine="480" w:firstLineChars="200"/>
        <w:outlineLvl w:val="9"/>
        <w:rPr>
          <w:rFonts w:hint="eastAsia" w:ascii="黑体" w:hAnsi="宋体" w:eastAsia="黑体"/>
          <w:bCs/>
          <w:color w:val="FF0000"/>
          <w:szCs w:val="21"/>
        </w:rPr>
      </w:pPr>
      <w:r>
        <w:rPr>
          <w:rFonts w:hint="eastAsia" w:ascii="黑体" w:hAnsi="宋体" w:eastAsia="黑体"/>
          <w:bCs/>
          <w:color w:val="FF0000"/>
          <w:szCs w:val="21"/>
        </w:rPr>
        <w:t>(</w:t>
      </w:r>
      <w:r>
        <w:rPr>
          <w:rFonts w:hint="eastAsia" w:ascii="黑体" w:hAnsi="宋体" w:eastAsia="黑体"/>
          <w:bCs/>
          <w:color w:val="FF0000"/>
          <w:szCs w:val="21"/>
          <w:lang w:val="en-US" w:eastAsia="zh-CN"/>
        </w:rPr>
        <w:t>7</w:t>
      </w:r>
      <w:r>
        <w:rPr>
          <w:rFonts w:hint="eastAsia" w:ascii="黑体" w:hAnsi="宋体" w:eastAsia="黑体"/>
          <w:bCs/>
          <w:color w:val="FF0000"/>
          <w:szCs w:val="21"/>
        </w:rPr>
        <w:t>)《金融业企业划型标准规定》（银发〔2015〕 309 号）</w:t>
      </w:r>
    </w:p>
    <w:p w14:paraId="169A0024">
      <w:pPr>
        <w:ind w:firstLine="480" w:firstLineChars="200"/>
        <w:outlineLvl w:val="9"/>
        <w:rPr>
          <w:rFonts w:ascii="黑体" w:hAnsi="宋体" w:eastAsia="黑体"/>
          <w:bCs/>
          <w:color w:val="FF0000"/>
          <w:szCs w:val="21"/>
        </w:rPr>
      </w:pPr>
      <w:r>
        <w:rPr>
          <w:rFonts w:hint="eastAsia" w:ascii="黑体" w:hAnsi="宋体" w:eastAsia="黑体"/>
          <w:bCs/>
          <w:color w:val="FF0000"/>
          <w:szCs w:val="21"/>
        </w:rPr>
        <w:t>3、请依照提供的格式和内容填写声明函，不要随意变更格式；</w:t>
      </w:r>
      <w:r>
        <w:rPr>
          <w:rFonts w:hint="eastAsia" w:ascii="黑体" w:hAnsi="黑体" w:eastAsia="黑体"/>
          <w:color w:val="FF0000"/>
          <w:szCs w:val="21"/>
        </w:rPr>
        <w:t>满足多项优惠政策的投标人，不重复享受多项价格扣除政策。</w:t>
      </w:r>
    </w:p>
    <w:p w14:paraId="08B7E847">
      <w:pPr>
        <w:ind w:firstLine="480" w:firstLineChars="200"/>
        <w:outlineLvl w:val="9"/>
        <w:rPr>
          <w:rFonts w:ascii="黑体" w:hAnsi="宋体" w:eastAsia="黑体"/>
          <w:bCs/>
          <w:color w:val="FF0000"/>
          <w:szCs w:val="21"/>
        </w:rPr>
      </w:pPr>
      <w:r>
        <w:rPr>
          <w:rFonts w:hint="eastAsia" w:ascii="黑体" w:hAnsi="宋体" w:eastAsia="黑体"/>
          <w:bCs/>
          <w:color w:val="FF0000"/>
          <w:szCs w:val="21"/>
        </w:rPr>
        <w:t>4、声明函具体填写要求：</w:t>
      </w:r>
    </w:p>
    <w:p w14:paraId="3D577550">
      <w:pPr>
        <w:ind w:firstLine="480" w:firstLineChars="200"/>
        <w:outlineLvl w:val="9"/>
        <w:rPr>
          <w:rFonts w:ascii="黑体" w:hAnsi="宋体" w:eastAsia="黑体"/>
          <w:bCs/>
          <w:color w:val="FF0000"/>
          <w:szCs w:val="21"/>
        </w:rPr>
      </w:pPr>
      <w:r>
        <w:rPr>
          <w:rFonts w:hint="eastAsia" w:ascii="黑体" w:hAnsi="宋体" w:eastAsia="黑体"/>
          <w:bCs/>
          <w:color w:val="FF0000"/>
          <w:szCs w:val="21"/>
        </w:rPr>
        <w:t>（1）声明是中小企业须填写《中小企业声明函》的以下内容：</w:t>
      </w:r>
    </w:p>
    <w:p w14:paraId="5E9F2510">
      <w:pPr>
        <w:ind w:firstLine="480" w:firstLineChars="200"/>
        <w:outlineLvl w:val="9"/>
        <w:rPr>
          <w:rFonts w:ascii="黑体" w:hAnsi="宋体" w:eastAsia="黑体"/>
          <w:bCs/>
          <w:color w:val="FF0000"/>
          <w:szCs w:val="21"/>
        </w:rPr>
      </w:pPr>
      <w:r>
        <w:rPr>
          <w:rFonts w:hint="eastAsia" w:ascii="黑体" w:hAnsi="宋体" w:eastAsia="黑体"/>
          <w:bCs/>
          <w:color w:val="FF0000"/>
          <w:szCs w:val="21"/>
        </w:rPr>
        <w:t>第一处，在“单位名称”下划线处如实填写采购人名称（深圳市东海国际招标有限公司不是本项目的采购人，而是组织实施机构）；</w:t>
      </w:r>
    </w:p>
    <w:p w14:paraId="3560FDD5">
      <w:pPr>
        <w:ind w:firstLine="480" w:firstLineChars="200"/>
        <w:outlineLvl w:val="9"/>
        <w:rPr>
          <w:rFonts w:ascii="黑体" w:hAnsi="宋体" w:eastAsia="黑体"/>
          <w:bCs/>
          <w:color w:val="FF0000"/>
          <w:szCs w:val="21"/>
        </w:rPr>
      </w:pPr>
      <w:r>
        <w:rPr>
          <w:rFonts w:hint="eastAsia" w:ascii="黑体" w:hAnsi="宋体" w:eastAsia="黑体"/>
          <w:bCs/>
          <w:color w:val="FF0000"/>
          <w:szCs w:val="21"/>
        </w:rPr>
        <w:t>第二处，在“项目名称”下划线处如实填写采购项目名称；</w:t>
      </w:r>
    </w:p>
    <w:p w14:paraId="086A14C8">
      <w:pPr>
        <w:ind w:firstLine="480" w:firstLineChars="200"/>
        <w:outlineLvl w:val="9"/>
        <w:rPr>
          <w:rFonts w:ascii="黑体" w:hAnsi="宋体" w:eastAsia="黑体"/>
          <w:bCs/>
          <w:color w:val="FF0000"/>
          <w:szCs w:val="21"/>
        </w:rPr>
      </w:pPr>
      <w:r>
        <w:rPr>
          <w:rFonts w:hint="eastAsia" w:ascii="黑体" w:hAnsi="宋体" w:eastAsia="黑体"/>
          <w:bCs/>
          <w:color w:val="FF0000"/>
          <w:szCs w:val="21"/>
        </w:rPr>
        <w:t>第三处，在“标的名称”下划线处填写所采购服务（标的）的具体名称；如果涉及多项服务</w:t>
      </w:r>
      <w:r>
        <w:rPr>
          <w:rFonts w:hint="eastAsia" w:ascii="黑体" w:hAnsi="宋体" w:eastAsia="黑体"/>
          <w:bCs/>
          <w:color w:val="FF0000"/>
          <w:szCs w:val="21"/>
          <w:lang w:val="en-US" w:eastAsia="zh-CN"/>
        </w:rPr>
        <w:t>需求</w:t>
      </w:r>
      <w:r>
        <w:rPr>
          <w:rFonts w:hint="eastAsia" w:ascii="黑体" w:hAnsi="宋体" w:eastAsia="黑体"/>
          <w:bCs/>
          <w:color w:val="FF0000"/>
          <w:szCs w:val="21"/>
        </w:rPr>
        <w:t>（标的）为同一企业</w:t>
      </w:r>
      <w:r>
        <w:rPr>
          <w:rFonts w:hint="eastAsia" w:ascii="黑体" w:hAnsi="宋体" w:eastAsia="黑体"/>
          <w:bCs/>
          <w:color w:val="FF0000"/>
          <w:szCs w:val="21"/>
          <w:lang w:val="en-US" w:eastAsia="zh-CN"/>
        </w:rPr>
        <w:t>承接</w:t>
      </w:r>
      <w:r>
        <w:rPr>
          <w:rFonts w:hint="eastAsia" w:ascii="黑体" w:hAnsi="宋体" w:eastAsia="黑体"/>
          <w:bCs/>
          <w:color w:val="FF0000"/>
          <w:szCs w:val="21"/>
        </w:rPr>
        <w:t>，“标的名称”下划线处可以如实填写多项服务需求（标的）；</w:t>
      </w:r>
    </w:p>
    <w:p w14:paraId="6DE27DD1">
      <w:pPr>
        <w:ind w:firstLine="480" w:firstLineChars="200"/>
        <w:outlineLvl w:val="9"/>
        <w:rPr>
          <w:rFonts w:ascii="黑体" w:hAnsi="宋体" w:eastAsia="黑体"/>
          <w:bCs/>
          <w:color w:val="FF0000"/>
          <w:szCs w:val="21"/>
        </w:rPr>
      </w:pPr>
      <w:r>
        <w:rPr>
          <w:rFonts w:hint="eastAsia" w:ascii="黑体" w:hAnsi="宋体" w:eastAsia="黑体"/>
          <w:bCs/>
          <w:color w:val="FF0000"/>
          <w:szCs w:val="21"/>
        </w:rPr>
        <w:t>第四处，在“招标文件中明确的所属行业”下划线处填写采购标的对应的中小企业划分标准所属行业（所属行业可在招标文件“其他关键信息”章节查看）；</w:t>
      </w:r>
    </w:p>
    <w:p w14:paraId="267A8F0C">
      <w:pPr>
        <w:ind w:firstLine="480" w:firstLineChars="200"/>
        <w:outlineLvl w:val="9"/>
        <w:rPr>
          <w:rFonts w:ascii="黑体" w:hAnsi="宋体" w:eastAsia="黑体"/>
          <w:bCs/>
          <w:color w:val="FF0000"/>
          <w:szCs w:val="21"/>
        </w:rPr>
      </w:pPr>
      <w:r>
        <w:rPr>
          <w:rFonts w:hint="eastAsia" w:ascii="黑体" w:hAnsi="宋体" w:eastAsia="黑体"/>
          <w:bCs/>
          <w:color w:val="FF0000"/>
          <w:szCs w:val="21"/>
        </w:rPr>
        <w:t>第五处，在“企业名称”下划线处如实填写制造商名称；在“从业人员”、“营业收入”、“资产总额”下划线处如实填写从业人员、营业收入、资产总额；在“中型企业、小型企业、微型企业”下划线处如实依照300号文填写相应的企业类型；从业人员、营业收入、资产总额填报上一年度数据，无上一年度数据的新成立企业可以不填报。</w:t>
      </w:r>
    </w:p>
    <w:p w14:paraId="0B4BF5F9">
      <w:pPr>
        <w:ind w:firstLine="480" w:firstLineChars="200"/>
        <w:outlineLvl w:val="9"/>
        <w:rPr>
          <w:rFonts w:ascii="黑体" w:hAnsi="宋体" w:eastAsia="黑体"/>
          <w:bCs/>
          <w:color w:val="FF0000"/>
          <w:szCs w:val="21"/>
        </w:rPr>
      </w:pPr>
      <w:r>
        <w:rPr>
          <w:rFonts w:hint="eastAsia" w:ascii="黑体" w:hAnsi="宋体" w:eastAsia="黑体"/>
          <w:bCs/>
          <w:color w:val="FF0000"/>
          <w:szCs w:val="21"/>
        </w:rPr>
        <w:t>（2）声明是残疾人福利性单位须填写《残疾人福利性单位声明函》的相关内容，具体参照以上《中小企业声明函》填写要求执行。</w:t>
      </w:r>
    </w:p>
    <w:p w14:paraId="56404DAF">
      <w:pPr>
        <w:ind w:firstLine="480" w:firstLineChars="200"/>
        <w:outlineLvl w:val="9"/>
        <w:rPr>
          <w:rFonts w:ascii="黑体" w:hAnsi="宋体" w:eastAsia="黑体"/>
          <w:bCs/>
          <w:color w:val="FF0000"/>
          <w:szCs w:val="21"/>
        </w:rPr>
      </w:pPr>
      <w:r>
        <w:rPr>
          <w:rFonts w:hint="eastAsia" w:ascii="黑体" w:hAnsi="宋体" w:eastAsia="黑体"/>
          <w:bCs/>
          <w:color w:val="FF0000"/>
          <w:szCs w:val="21"/>
        </w:rPr>
        <w:t>（3）声明是监狱企业须填写《监狱企业声明函》的三项内容（填写位置的字体已加粗），具体参照以上《中小企业声明函》填写要求执行。</w:t>
      </w:r>
    </w:p>
    <w:p w14:paraId="38014597">
      <w:pPr>
        <w:ind w:firstLine="480" w:firstLineChars="200"/>
        <w:outlineLvl w:val="9"/>
        <w:rPr>
          <w:rFonts w:hint="eastAsia" w:ascii="黑体" w:hAnsi="宋体" w:eastAsia="黑体"/>
          <w:bCs/>
          <w:color w:val="FF0000"/>
          <w:szCs w:val="21"/>
        </w:rPr>
      </w:pPr>
      <w:r>
        <w:rPr>
          <w:rFonts w:hint="eastAsia" w:ascii="黑体" w:hAnsi="宋体" w:eastAsia="黑体"/>
          <w:bCs/>
          <w:color w:val="FF0000"/>
          <w:szCs w:val="21"/>
        </w:rPr>
        <w:t>5、声明函的有效性最终由评审委员会判定。</w:t>
      </w:r>
    </w:p>
    <w:p w14:paraId="4E2E2BE4">
      <w:pPr>
        <w:ind w:firstLine="480" w:firstLineChars="200"/>
        <w:outlineLvl w:val="9"/>
      </w:pPr>
      <w:r>
        <w:rPr>
          <w:rFonts w:hint="eastAsia" w:ascii="黑体" w:hAnsi="宋体" w:eastAsia="黑体"/>
          <w:bCs/>
          <w:color w:val="FF0000"/>
          <w:szCs w:val="21"/>
          <w:lang w:val="en-US" w:eastAsia="zh-CN"/>
        </w:rPr>
        <w:t>6、</w:t>
      </w:r>
      <w:r>
        <w:rPr>
          <w:rFonts w:hint="eastAsia" w:ascii="黑体" w:hAnsi="宋体" w:eastAsia="黑体"/>
          <w:bCs/>
          <w:color w:val="FF0000"/>
          <w:szCs w:val="21"/>
        </w:rPr>
        <w:t>中标、成交供应商享受《政府采购促进中小企业发展管理办法》（财库〔2020〕46号）规定的中小企业扶持政策的，《中小企业声明函》随中标、成交结果公示。</w:t>
      </w:r>
    </w:p>
    <w:p w14:paraId="0570882C">
      <w:pPr>
        <w:ind w:firstLine="480" w:firstLineChars="200"/>
        <w:jc w:val="center"/>
        <w:outlineLvl w:val="9"/>
        <w:rPr>
          <w:b/>
          <w:bCs/>
        </w:rPr>
      </w:pPr>
    </w:p>
    <w:p w14:paraId="62902CB6">
      <w:pPr>
        <w:ind w:firstLine="480" w:firstLineChars="200"/>
        <w:jc w:val="center"/>
        <w:outlineLvl w:val="9"/>
        <w:rPr>
          <w:b/>
          <w:bCs/>
        </w:rPr>
      </w:pPr>
    </w:p>
    <w:p w14:paraId="08253077">
      <w:pPr>
        <w:ind w:firstLine="482" w:firstLineChars="200"/>
        <w:jc w:val="center"/>
        <w:outlineLvl w:val="9"/>
        <w:rPr>
          <w:b/>
          <w:bCs/>
        </w:rPr>
      </w:pPr>
      <w:r>
        <w:rPr>
          <w:rFonts w:hint="eastAsia" w:eastAsia="宋体"/>
          <w:b/>
          <w:bCs/>
          <w:lang w:eastAsia="zh-CN"/>
        </w:rPr>
        <w:t>（</w:t>
      </w:r>
      <w:r>
        <w:rPr>
          <w:rFonts w:hint="eastAsia" w:eastAsia="宋体"/>
          <w:b/>
          <w:bCs/>
          <w:lang w:val="en-US" w:eastAsia="zh-CN"/>
        </w:rPr>
        <w:t>一</w:t>
      </w:r>
      <w:r>
        <w:rPr>
          <w:rFonts w:hint="eastAsia" w:eastAsia="宋体"/>
          <w:b/>
          <w:bCs/>
          <w:lang w:eastAsia="zh-CN"/>
        </w:rPr>
        <w:t>）</w:t>
      </w:r>
      <w:r>
        <w:rPr>
          <w:b/>
          <w:bCs/>
        </w:rPr>
        <w:t>中小企业声明函</w:t>
      </w:r>
    </w:p>
    <w:p w14:paraId="6E8DF82E">
      <w:pPr>
        <w:ind w:firstLine="480" w:firstLineChars="200"/>
        <w:outlineLvl w:val="9"/>
        <w:rPr>
          <w:rFonts w:ascii="宋体" w:hAnsi="宋体"/>
          <w:szCs w:val="21"/>
        </w:rPr>
      </w:pPr>
      <w:r>
        <w:rPr>
          <w:rFonts w:ascii="宋体" w:hAnsi="宋体"/>
          <w:szCs w:val="21"/>
        </w:rPr>
        <w:t>本</w:t>
      </w:r>
      <w:r>
        <w:rPr>
          <w:rFonts w:hint="eastAsia" w:ascii="宋体" w:hAnsi="宋体"/>
          <w:szCs w:val="21"/>
        </w:rPr>
        <w:t>投标人</w:t>
      </w:r>
      <w:r>
        <w:rPr>
          <w:rFonts w:ascii="宋体" w:hAnsi="宋体"/>
          <w:szCs w:val="21"/>
        </w:rPr>
        <w:t>郑重声明，根据《政府采购促进中小企业发展管理办法》（财库</w:t>
      </w:r>
      <w:r>
        <w:rPr>
          <w:rFonts w:hint="eastAsia" w:ascii="宋体" w:hAnsi="宋体" w:cs="微软雅黑"/>
          <w:szCs w:val="21"/>
        </w:rPr>
        <w:t>﹝</w:t>
      </w:r>
      <w:r>
        <w:rPr>
          <w:rFonts w:ascii="宋体" w:hAnsi="宋体"/>
          <w:szCs w:val="21"/>
        </w:rPr>
        <w:t>2020</w:t>
      </w:r>
      <w:r>
        <w:rPr>
          <w:rFonts w:hint="eastAsia" w:ascii="宋体" w:hAnsi="宋体" w:cs="微软雅黑"/>
          <w:szCs w:val="21"/>
        </w:rPr>
        <w:t>﹞</w:t>
      </w:r>
      <w:r>
        <w:rPr>
          <w:rFonts w:ascii="宋体" w:hAnsi="宋体"/>
          <w:szCs w:val="21"/>
        </w:rPr>
        <w:t>46 号）的规定，本</w:t>
      </w:r>
      <w:r>
        <w:rPr>
          <w:rFonts w:hint="eastAsia" w:ascii="宋体" w:hAnsi="宋体"/>
          <w:szCs w:val="21"/>
        </w:rPr>
        <w:t>投标人</w:t>
      </w:r>
      <w:r>
        <w:rPr>
          <w:rFonts w:ascii="宋体" w:hAnsi="宋体"/>
          <w:szCs w:val="21"/>
        </w:rPr>
        <w:t>参加</w:t>
      </w:r>
      <w:r>
        <w:rPr>
          <w:rFonts w:ascii="宋体" w:hAnsi="宋体"/>
          <w:b/>
          <w:szCs w:val="21"/>
          <w:u w:val="single"/>
        </w:rPr>
        <w:t>（</w:t>
      </w:r>
      <w:r>
        <w:rPr>
          <w:rFonts w:hint="eastAsia" w:ascii="宋体" w:hAnsi="宋体"/>
          <w:b/>
          <w:szCs w:val="21"/>
          <w:u w:val="single"/>
        </w:rPr>
        <w:t>单位名称</w:t>
      </w:r>
      <w:r>
        <w:rPr>
          <w:rFonts w:ascii="宋体" w:hAnsi="宋体"/>
          <w:b/>
          <w:szCs w:val="21"/>
          <w:u w:val="single"/>
        </w:rPr>
        <w:t>）</w:t>
      </w:r>
      <w:r>
        <w:rPr>
          <w:rFonts w:ascii="宋体" w:hAnsi="宋体"/>
          <w:szCs w:val="21"/>
        </w:rPr>
        <w:t>的</w:t>
      </w:r>
      <w:r>
        <w:rPr>
          <w:rFonts w:ascii="宋体" w:hAnsi="宋体"/>
          <w:b/>
          <w:szCs w:val="21"/>
          <w:u w:val="single"/>
        </w:rPr>
        <w:t>（项目名称）</w:t>
      </w:r>
      <w:r>
        <w:rPr>
          <w:rFonts w:ascii="宋体" w:hAnsi="宋体"/>
          <w:szCs w:val="21"/>
        </w:rPr>
        <w:t>采购活动，</w:t>
      </w:r>
      <w:r>
        <w:rPr>
          <w:rFonts w:hint="eastAsia" w:ascii="宋体" w:hAnsi="宋体"/>
          <w:szCs w:val="21"/>
        </w:rPr>
        <w:t>服务</w:t>
      </w:r>
      <w:r>
        <w:rPr>
          <w:rFonts w:ascii="宋体" w:hAnsi="宋体"/>
          <w:szCs w:val="21"/>
        </w:rPr>
        <w:t>全部由符合政策要求的中小企业</w:t>
      </w:r>
      <w:r>
        <w:rPr>
          <w:rFonts w:hint="eastAsia" w:ascii="宋体" w:hAnsi="宋体"/>
          <w:szCs w:val="21"/>
        </w:rPr>
        <w:t>承接</w:t>
      </w:r>
      <w:r>
        <w:rPr>
          <w:rFonts w:ascii="宋体" w:hAnsi="宋体"/>
          <w:szCs w:val="21"/>
        </w:rPr>
        <w:t>。相关企业的具体情况如下：</w:t>
      </w:r>
    </w:p>
    <w:p w14:paraId="014269E3">
      <w:pPr>
        <w:ind w:firstLine="480" w:firstLineChars="200"/>
        <w:outlineLvl w:val="9"/>
        <w:rPr>
          <w:rFonts w:ascii="宋体" w:hAnsi="宋体"/>
          <w:szCs w:val="21"/>
        </w:rPr>
      </w:pPr>
      <w:r>
        <w:rPr>
          <w:rFonts w:ascii="宋体" w:hAnsi="宋体"/>
          <w:szCs w:val="21"/>
        </w:rPr>
        <w:t>1.</w:t>
      </w:r>
      <w:r>
        <w:rPr>
          <w:rFonts w:ascii="宋体" w:hAnsi="宋体"/>
          <w:bCs/>
          <w:szCs w:val="21"/>
          <w:u w:val="single"/>
        </w:rPr>
        <w:t xml:space="preserve"> </w:t>
      </w:r>
      <w:r>
        <w:rPr>
          <w:rFonts w:ascii="宋体" w:hAnsi="宋体"/>
          <w:b/>
          <w:szCs w:val="21"/>
          <w:u w:val="single"/>
        </w:rPr>
        <w:t>（标的名称）</w:t>
      </w:r>
      <w:r>
        <w:rPr>
          <w:rFonts w:ascii="宋体" w:hAnsi="宋体"/>
          <w:szCs w:val="21"/>
        </w:rPr>
        <w:t xml:space="preserve"> ，属于</w:t>
      </w:r>
      <w:r>
        <w:rPr>
          <w:rFonts w:ascii="宋体" w:hAnsi="宋体"/>
          <w:b/>
          <w:szCs w:val="21"/>
          <w:u w:val="single"/>
        </w:rPr>
        <w:t>（</w:t>
      </w:r>
      <w:r>
        <w:rPr>
          <w:rFonts w:hint="eastAsia" w:ascii="宋体" w:hAnsi="宋体"/>
          <w:b/>
          <w:szCs w:val="21"/>
          <w:u w:val="single"/>
        </w:rPr>
        <w:t>招标</w:t>
      </w:r>
      <w:r>
        <w:rPr>
          <w:rFonts w:ascii="宋体" w:hAnsi="宋体"/>
          <w:b/>
          <w:szCs w:val="21"/>
          <w:u w:val="single"/>
        </w:rPr>
        <w:t>文件中明确的所属行业）</w:t>
      </w:r>
      <w:r>
        <w:rPr>
          <w:rFonts w:ascii="宋体" w:hAnsi="宋体"/>
          <w:bCs/>
          <w:szCs w:val="21"/>
          <w:u w:val="single"/>
        </w:rPr>
        <w:t xml:space="preserve"> </w:t>
      </w:r>
      <w:r>
        <w:rPr>
          <w:rFonts w:ascii="宋体" w:hAnsi="宋体"/>
          <w:szCs w:val="21"/>
        </w:rPr>
        <w:t>行业；</w:t>
      </w:r>
      <w:r>
        <w:rPr>
          <w:rFonts w:hint="eastAsia" w:ascii="宋体" w:hAnsi="宋体"/>
          <w:szCs w:val="21"/>
        </w:rPr>
        <w:t>承接企业</w:t>
      </w:r>
      <w:r>
        <w:rPr>
          <w:rFonts w:ascii="宋体" w:hAnsi="宋体"/>
          <w:szCs w:val="21"/>
        </w:rPr>
        <w:t>为</w:t>
      </w:r>
      <w:r>
        <w:rPr>
          <w:rFonts w:ascii="宋体" w:hAnsi="宋体"/>
          <w:b/>
          <w:szCs w:val="21"/>
          <w:u w:val="single"/>
        </w:rPr>
        <w:t>（企业名称）</w:t>
      </w:r>
      <w:r>
        <w:rPr>
          <w:rFonts w:ascii="宋体" w:hAnsi="宋体"/>
          <w:szCs w:val="21"/>
        </w:rPr>
        <w:t>，从业人员</w:t>
      </w:r>
      <w:r>
        <w:rPr>
          <w:rFonts w:ascii="宋体" w:hAnsi="宋体"/>
          <w:bCs/>
          <w:szCs w:val="21"/>
          <w:u w:val="single"/>
        </w:rPr>
        <w:t xml:space="preserve">  </w:t>
      </w:r>
      <w:r>
        <w:rPr>
          <w:rFonts w:ascii="宋体" w:hAnsi="宋体"/>
          <w:szCs w:val="21"/>
        </w:rPr>
        <w:t>人，营业收入为</w:t>
      </w:r>
      <w:r>
        <w:rPr>
          <w:rFonts w:ascii="宋体" w:hAnsi="宋体"/>
          <w:bCs/>
          <w:szCs w:val="21"/>
          <w:u w:val="single"/>
        </w:rPr>
        <w:t xml:space="preserve">  </w:t>
      </w:r>
      <w:r>
        <w:rPr>
          <w:rFonts w:ascii="宋体" w:hAnsi="宋体"/>
          <w:szCs w:val="21"/>
        </w:rPr>
        <w:t>万元，资产总额为</w:t>
      </w:r>
      <w:r>
        <w:rPr>
          <w:rFonts w:hint="eastAsia" w:ascii="宋体" w:hAnsi="宋体"/>
          <w:bCs/>
          <w:szCs w:val="21"/>
          <w:u w:val="single"/>
        </w:rPr>
        <w:t xml:space="preserve"> </w:t>
      </w:r>
      <w:r>
        <w:rPr>
          <w:rFonts w:ascii="宋体" w:hAnsi="宋体"/>
          <w:bCs/>
          <w:szCs w:val="21"/>
          <w:u w:val="single"/>
        </w:rPr>
        <w:t xml:space="preserve"> </w:t>
      </w:r>
      <w:r>
        <w:rPr>
          <w:rFonts w:ascii="宋体" w:hAnsi="宋体"/>
          <w:szCs w:val="21"/>
        </w:rPr>
        <w:t>万元 ，属于</w:t>
      </w:r>
      <w:r>
        <w:rPr>
          <w:rFonts w:ascii="宋体" w:hAnsi="宋体"/>
          <w:b/>
          <w:szCs w:val="21"/>
          <w:u w:val="single"/>
        </w:rPr>
        <w:t>（中型企业、小型企业、微型企业）</w:t>
      </w:r>
      <w:r>
        <w:rPr>
          <w:rFonts w:ascii="宋体" w:hAnsi="宋体"/>
          <w:szCs w:val="21"/>
        </w:rPr>
        <w:t xml:space="preserve">； </w:t>
      </w:r>
    </w:p>
    <w:p w14:paraId="521323A2">
      <w:pPr>
        <w:ind w:firstLine="480" w:firstLineChars="200"/>
        <w:outlineLvl w:val="9"/>
        <w:rPr>
          <w:rFonts w:ascii="宋体" w:hAnsi="宋体"/>
          <w:szCs w:val="21"/>
          <w:u w:val="single"/>
        </w:rPr>
      </w:pPr>
      <w:r>
        <w:rPr>
          <w:rFonts w:ascii="宋体" w:hAnsi="宋体"/>
          <w:szCs w:val="21"/>
        </w:rPr>
        <w:t>2.</w:t>
      </w:r>
      <w:r>
        <w:rPr>
          <w:rFonts w:ascii="宋体" w:hAnsi="宋体"/>
          <w:bCs/>
          <w:szCs w:val="21"/>
          <w:u w:val="single"/>
        </w:rPr>
        <w:t xml:space="preserve"> </w:t>
      </w:r>
      <w:r>
        <w:rPr>
          <w:rFonts w:ascii="宋体" w:hAnsi="宋体"/>
          <w:b/>
          <w:szCs w:val="21"/>
          <w:u w:val="single"/>
        </w:rPr>
        <w:t>（标的名称）</w:t>
      </w:r>
      <w:r>
        <w:rPr>
          <w:rFonts w:ascii="宋体" w:hAnsi="宋体"/>
          <w:szCs w:val="21"/>
        </w:rPr>
        <w:t xml:space="preserve"> ，属于</w:t>
      </w:r>
      <w:r>
        <w:rPr>
          <w:rFonts w:ascii="宋体" w:hAnsi="宋体"/>
          <w:b/>
          <w:szCs w:val="21"/>
          <w:u w:val="single"/>
        </w:rPr>
        <w:t>（</w:t>
      </w:r>
      <w:r>
        <w:rPr>
          <w:rFonts w:hint="eastAsia" w:ascii="宋体" w:hAnsi="宋体"/>
          <w:b/>
          <w:szCs w:val="21"/>
          <w:u w:val="single"/>
        </w:rPr>
        <w:t>招标</w:t>
      </w:r>
      <w:r>
        <w:rPr>
          <w:rFonts w:ascii="宋体" w:hAnsi="宋体"/>
          <w:b/>
          <w:szCs w:val="21"/>
          <w:u w:val="single"/>
        </w:rPr>
        <w:t>文件中明确的所属行业）</w:t>
      </w:r>
      <w:r>
        <w:rPr>
          <w:rFonts w:ascii="宋体" w:hAnsi="宋体"/>
          <w:bCs/>
          <w:szCs w:val="21"/>
          <w:u w:val="single"/>
        </w:rPr>
        <w:t xml:space="preserve"> </w:t>
      </w:r>
      <w:r>
        <w:rPr>
          <w:rFonts w:ascii="宋体" w:hAnsi="宋体"/>
          <w:szCs w:val="21"/>
        </w:rPr>
        <w:t>行业；</w:t>
      </w:r>
      <w:r>
        <w:rPr>
          <w:rFonts w:hint="eastAsia" w:ascii="宋体" w:hAnsi="宋体"/>
          <w:szCs w:val="21"/>
        </w:rPr>
        <w:t>承接企业</w:t>
      </w:r>
      <w:r>
        <w:rPr>
          <w:rFonts w:ascii="宋体" w:hAnsi="宋体"/>
          <w:szCs w:val="21"/>
        </w:rPr>
        <w:t>为</w:t>
      </w:r>
      <w:r>
        <w:rPr>
          <w:rFonts w:ascii="宋体" w:hAnsi="宋体"/>
          <w:b/>
          <w:szCs w:val="21"/>
          <w:u w:val="single"/>
        </w:rPr>
        <w:t>（企业名称）</w:t>
      </w:r>
      <w:r>
        <w:rPr>
          <w:rFonts w:ascii="宋体" w:hAnsi="宋体"/>
          <w:szCs w:val="21"/>
        </w:rPr>
        <w:t>，从业人员</w:t>
      </w:r>
      <w:r>
        <w:rPr>
          <w:rFonts w:ascii="宋体" w:hAnsi="宋体"/>
          <w:bCs/>
          <w:szCs w:val="21"/>
          <w:u w:val="single"/>
        </w:rPr>
        <w:t xml:space="preserve">  </w:t>
      </w:r>
      <w:r>
        <w:rPr>
          <w:rFonts w:ascii="宋体" w:hAnsi="宋体"/>
          <w:szCs w:val="21"/>
        </w:rPr>
        <w:t>人，营业收入为</w:t>
      </w:r>
      <w:r>
        <w:rPr>
          <w:rFonts w:ascii="宋体" w:hAnsi="宋体"/>
          <w:bCs/>
          <w:szCs w:val="21"/>
          <w:u w:val="single"/>
        </w:rPr>
        <w:t xml:space="preserve">  </w:t>
      </w:r>
      <w:r>
        <w:rPr>
          <w:rFonts w:ascii="宋体" w:hAnsi="宋体"/>
          <w:szCs w:val="21"/>
        </w:rPr>
        <w:t>万元，资产总额为</w:t>
      </w:r>
      <w:r>
        <w:rPr>
          <w:rFonts w:hint="eastAsia" w:ascii="宋体" w:hAnsi="宋体"/>
          <w:bCs/>
          <w:szCs w:val="21"/>
          <w:u w:val="single"/>
        </w:rPr>
        <w:t xml:space="preserve"> </w:t>
      </w:r>
      <w:r>
        <w:rPr>
          <w:rFonts w:ascii="宋体" w:hAnsi="宋体"/>
          <w:bCs/>
          <w:szCs w:val="21"/>
          <w:u w:val="single"/>
        </w:rPr>
        <w:t xml:space="preserve"> </w:t>
      </w:r>
      <w:r>
        <w:rPr>
          <w:rFonts w:ascii="宋体" w:hAnsi="宋体"/>
          <w:szCs w:val="21"/>
        </w:rPr>
        <w:t>万元 ，属于</w:t>
      </w:r>
      <w:r>
        <w:rPr>
          <w:rFonts w:ascii="宋体" w:hAnsi="宋体"/>
          <w:b/>
          <w:szCs w:val="21"/>
          <w:u w:val="single"/>
        </w:rPr>
        <w:t>（中型企业、小型企业、微型企业）</w:t>
      </w:r>
      <w:r>
        <w:rPr>
          <w:rFonts w:hint="eastAsia" w:ascii="宋体" w:hAnsi="宋体"/>
          <w:szCs w:val="21"/>
        </w:rPr>
        <w:t>；</w:t>
      </w:r>
    </w:p>
    <w:p w14:paraId="1B6A1D56">
      <w:pPr>
        <w:ind w:firstLine="480" w:firstLineChars="200"/>
        <w:outlineLvl w:val="9"/>
        <w:rPr>
          <w:rFonts w:ascii="宋体" w:hAnsi="宋体"/>
          <w:szCs w:val="21"/>
        </w:rPr>
      </w:pPr>
      <w:r>
        <w:rPr>
          <w:rFonts w:ascii="宋体" w:hAnsi="宋体"/>
          <w:szCs w:val="21"/>
        </w:rPr>
        <w:t xml:space="preserve">…… </w:t>
      </w:r>
    </w:p>
    <w:p w14:paraId="78B332B0">
      <w:pPr>
        <w:ind w:firstLine="480" w:firstLineChars="200"/>
        <w:outlineLvl w:val="9"/>
        <w:rPr>
          <w:rFonts w:ascii="宋体" w:hAnsi="宋体"/>
          <w:color w:val="auto"/>
          <w:szCs w:val="21"/>
        </w:rPr>
      </w:pPr>
      <w:r>
        <w:rPr>
          <w:rFonts w:ascii="宋体" w:hAnsi="宋体"/>
          <w:szCs w:val="21"/>
        </w:rPr>
        <w:t>以上企业，不属于大企业的分支机构，不存在控股股东为大企业的情形，也不</w:t>
      </w:r>
      <w:r>
        <w:rPr>
          <w:rFonts w:ascii="宋体" w:hAnsi="宋体"/>
          <w:color w:val="auto"/>
          <w:szCs w:val="21"/>
        </w:rPr>
        <w:t>存在与大企业的负责人为同一人的情形。</w:t>
      </w:r>
    </w:p>
    <w:p w14:paraId="43AF293D">
      <w:pPr>
        <w:ind w:firstLine="480" w:firstLineChars="200"/>
        <w:outlineLvl w:val="9"/>
        <w:rPr>
          <w:rFonts w:hint="eastAsia"/>
          <w:b w:val="0"/>
          <w:bCs w:val="0"/>
          <w:color w:val="auto"/>
        </w:rPr>
      </w:pPr>
      <w:bookmarkStart w:id="55" w:name="_Hlk73562275"/>
      <w:r>
        <w:rPr>
          <w:rFonts w:hint="eastAsia"/>
          <w:b w:val="0"/>
          <w:bCs w:val="0"/>
          <w:color w:val="auto"/>
        </w:rPr>
        <w:t>本企业对上述声明内容的真实性负责。如有虚假，将依法承担相应责任。</w:t>
      </w:r>
    </w:p>
    <w:bookmarkEnd w:id="55"/>
    <w:p w14:paraId="77A788CA">
      <w:pPr>
        <w:ind w:firstLine="480" w:firstLineChars="200"/>
        <w:outlineLvl w:val="9"/>
      </w:pPr>
      <w:r>
        <w:rPr>
          <w:rFonts w:hint="eastAsia"/>
        </w:rPr>
        <w:t>本公司知悉《政府采购促进中小企业发展管理办法》（财库〔2020〕 46 号）、《中小企业划型标准规定》（工信部联企〔2011〕 300 号）、《统计上大中小微型企业划分办法（2017）》等 规定，承诺提供的声明函内容是真实的，并知悉根据《政府 采购促进中小企业发展管理办法》（财库〔2020〕46 号）第二十条规定，本公司按照本办法规定提供声明函内容不实的，属于提供虚假材料谋取中标、成交，依照《政府采购法》等政府采购有关法律法规规定追究相应责任。</w:t>
      </w:r>
    </w:p>
    <w:p w14:paraId="39CC9199">
      <w:pPr>
        <w:ind w:firstLine="440" w:firstLineChars="200"/>
        <w:jc w:val="center"/>
        <w:outlineLvl w:val="9"/>
        <w:rPr>
          <w:rFonts w:ascii="宋体" w:hAnsi="宋体" w:cs="宋体"/>
          <w:sz w:val="22"/>
          <w:szCs w:val="22"/>
          <w:u w:val="single"/>
        </w:rPr>
      </w:pPr>
      <w:r>
        <w:rPr>
          <w:rFonts w:hint="eastAsia" w:ascii="宋体" w:hAnsi="宋体" w:cs="宋体"/>
          <w:sz w:val="22"/>
          <w:szCs w:val="22"/>
        </w:rPr>
        <w:t>企业名称：</w:t>
      </w:r>
      <w:r>
        <w:rPr>
          <w:rFonts w:hint="eastAsia" w:ascii="宋体" w:hAnsi="宋体" w:cs="宋体"/>
          <w:sz w:val="22"/>
          <w:szCs w:val="22"/>
          <w:u w:val="single"/>
        </w:rPr>
        <w:t xml:space="preserve">          </w:t>
      </w:r>
    </w:p>
    <w:p w14:paraId="5C2DAB7D">
      <w:pPr>
        <w:ind w:firstLine="480" w:firstLineChars="200"/>
        <w:jc w:val="center"/>
        <w:outlineLvl w:val="9"/>
      </w:pPr>
      <w:r>
        <w:rPr>
          <w:rFonts w:hint="eastAsia" w:ascii="宋体" w:hAnsi="宋体"/>
        </w:rPr>
        <w:t>日期：</w:t>
      </w:r>
      <w:r>
        <w:rPr>
          <w:rFonts w:hint="eastAsia"/>
          <w:u w:val="single"/>
        </w:rPr>
        <w:t xml:space="preserve">               </w:t>
      </w:r>
    </w:p>
    <w:p w14:paraId="4DEAFC57">
      <w:pPr>
        <w:outlineLvl w:val="9"/>
      </w:pPr>
      <w:r>
        <w:rPr>
          <w:rFonts w:hint="eastAsia" w:ascii="宋体" w:hAnsi="宋体"/>
        </w:rPr>
        <w:t>（从业人员、营业收入、资产总额上一年度数据，无上一年度数据的新成立企业可不填报）</w:t>
      </w:r>
    </w:p>
    <w:p w14:paraId="635FB998">
      <w:pPr>
        <w:ind w:firstLine="480" w:firstLineChars="200"/>
        <w:outlineLvl w:val="9"/>
      </w:pPr>
    </w:p>
    <w:p w14:paraId="381E827F">
      <w:pPr>
        <w:outlineLvl w:val="9"/>
        <w:rPr>
          <w:rFonts w:hint="eastAsia"/>
          <w:b/>
          <w:bCs/>
        </w:rPr>
      </w:pPr>
      <w:r>
        <w:rPr>
          <w:rFonts w:hint="eastAsia"/>
          <w:b/>
          <w:bCs/>
        </w:rPr>
        <w:br w:type="page"/>
      </w:r>
    </w:p>
    <w:p w14:paraId="3824034B">
      <w:pPr>
        <w:ind w:firstLine="482" w:firstLineChars="200"/>
        <w:jc w:val="center"/>
        <w:outlineLvl w:val="9"/>
        <w:rPr>
          <w:b/>
          <w:bCs/>
        </w:rPr>
      </w:pPr>
      <w:r>
        <w:rPr>
          <w:rFonts w:hint="eastAsia" w:eastAsia="宋体"/>
          <w:b/>
          <w:bCs/>
          <w:lang w:eastAsia="zh-CN"/>
        </w:rPr>
        <w:t>（</w:t>
      </w:r>
      <w:r>
        <w:rPr>
          <w:rFonts w:hint="eastAsia" w:eastAsia="宋体"/>
          <w:b/>
          <w:bCs/>
          <w:lang w:val="en-US" w:eastAsia="zh-CN"/>
        </w:rPr>
        <w:t>二</w:t>
      </w:r>
      <w:r>
        <w:rPr>
          <w:rFonts w:hint="eastAsia" w:eastAsia="宋体"/>
          <w:b/>
          <w:bCs/>
          <w:lang w:eastAsia="zh-CN"/>
        </w:rPr>
        <w:t>）</w:t>
      </w:r>
      <w:r>
        <w:rPr>
          <w:rFonts w:hint="eastAsia"/>
          <w:b/>
          <w:bCs/>
        </w:rPr>
        <w:t>残疾人福利性单位声明函</w:t>
      </w:r>
    </w:p>
    <w:p w14:paraId="09A58323">
      <w:pPr>
        <w:keepNext w:val="0"/>
        <w:keepLines w:val="0"/>
        <w:pageBreakBefore w:val="0"/>
        <w:widowControl/>
        <w:kinsoku/>
        <w:wordWrap/>
        <w:overflowPunct/>
        <w:topLinePunct w:val="0"/>
        <w:autoSpaceDE/>
        <w:autoSpaceDN/>
        <w:bidi w:val="0"/>
        <w:adjustRightInd/>
        <w:snapToGrid/>
        <w:spacing w:line="360" w:lineRule="exact"/>
        <w:ind w:firstLine="464" w:firstLineChars="200"/>
        <w:jc w:val="left"/>
        <w:textAlignment w:val="auto"/>
        <w:outlineLvl w:val="9"/>
        <w:rPr>
          <w:spacing w:val="6"/>
          <w:sz w:val="22"/>
        </w:rPr>
      </w:pPr>
      <w:r>
        <w:rPr>
          <w:spacing w:val="6"/>
          <w:sz w:val="22"/>
        </w:rPr>
        <w:t>本单位郑重声明，根据《财政部 民政部 中国残疾人联合会关于促进残疾人就业政府采购政策的通知》（财库</w:t>
      </w:r>
      <w:r>
        <w:rPr>
          <w:sz w:val="22"/>
        </w:rPr>
        <w:t>〔2017〕 141</w:t>
      </w:r>
      <w:r>
        <w:rPr>
          <w:spacing w:val="6"/>
          <w:sz w:val="22"/>
        </w:rPr>
        <w:t>号）的规定，本单位为符合条件的残疾人福利性单位，</w:t>
      </w:r>
      <w:r>
        <w:rPr>
          <w:rFonts w:hint="eastAsia" w:ascii="宋体" w:hAnsi="宋体"/>
          <w:szCs w:val="21"/>
        </w:rPr>
        <w:t>且本单位参加</w:t>
      </w:r>
      <w:r>
        <w:rPr>
          <w:rFonts w:hint="eastAsia" w:ascii="宋体" w:hAnsi="宋体"/>
          <w:b/>
          <w:szCs w:val="21"/>
          <w:u w:val="single"/>
        </w:rPr>
        <w:t xml:space="preserve">  （采购单位名称）</w:t>
      </w:r>
      <w:r>
        <w:rPr>
          <w:rFonts w:hint="eastAsia" w:ascii="宋体" w:hAnsi="宋体"/>
          <w:szCs w:val="21"/>
        </w:rPr>
        <w:t>单位的</w:t>
      </w:r>
      <w:r>
        <w:rPr>
          <w:rFonts w:hint="eastAsia" w:ascii="宋体" w:hAnsi="宋体"/>
          <w:b/>
          <w:szCs w:val="21"/>
          <w:u w:val="single"/>
        </w:rPr>
        <w:t>（采购项目名称）</w:t>
      </w:r>
      <w:r>
        <w:rPr>
          <w:rFonts w:hint="eastAsia" w:ascii="宋体" w:hAnsi="宋体"/>
          <w:szCs w:val="21"/>
        </w:rPr>
        <w:t>项目采购活动，并由本单位提供服务</w:t>
      </w:r>
      <w:r>
        <w:rPr>
          <w:spacing w:val="6"/>
          <w:sz w:val="22"/>
        </w:rPr>
        <w:t>。</w:t>
      </w:r>
    </w:p>
    <w:p w14:paraId="549BA949">
      <w:pPr>
        <w:spacing w:line="360" w:lineRule="exact"/>
        <w:ind w:firstLine="464" w:firstLineChars="200"/>
        <w:jc w:val="left"/>
        <w:outlineLvl w:val="9"/>
        <w:rPr>
          <w:spacing w:val="6"/>
          <w:sz w:val="22"/>
        </w:rPr>
      </w:pPr>
      <w:r>
        <w:rPr>
          <w:rFonts w:hint="eastAsia"/>
          <w:spacing w:val="6"/>
          <w:sz w:val="22"/>
        </w:rPr>
        <w:t>本单位对上述声明的真实性负责。如有虚假，将依法承担相应责任。</w:t>
      </w:r>
    </w:p>
    <w:p w14:paraId="57CC980A">
      <w:pPr>
        <w:spacing w:line="360" w:lineRule="exact"/>
        <w:ind w:firstLine="464" w:firstLineChars="200"/>
        <w:jc w:val="left"/>
        <w:outlineLvl w:val="9"/>
        <w:rPr>
          <w:rFonts w:ascii="宋体" w:hAnsi="宋体" w:cs="宋体"/>
          <w:b/>
          <w:spacing w:val="6"/>
          <w:sz w:val="22"/>
        </w:rPr>
      </w:pPr>
      <w:r>
        <w:rPr>
          <w:rFonts w:hint="eastAsia"/>
          <w:spacing w:val="6"/>
          <w:sz w:val="22"/>
        </w:rPr>
        <w:t>本单位知悉《关于促进残疾人就业政府采购政策的通知》(财库(2017141号)的规定,承诺提供的声明函内容是真实的,如提供声明函内容不实,则依法追究相关法律责任。</w:t>
      </w:r>
    </w:p>
    <w:p w14:paraId="40E02DD5">
      <w:pPr>
        <w:spacing w:line="360" w:lineRule="exact"/>
        <w:ind w:firstLine="440" w:firstLineChars="200"/>
        <w:outlineLvl w:val="9"/>
        <w:rPr>
          <w:rFonts w:ascii="宋体" w:hAnsi="宋体" w:cs="宋体"/>
          <w:sz w:val="22"/>
        </w:rPr>
      </w:pPr>
    </w:p>
    <w:p w14:paraId="6260B4C6">
      <w:pPr>
        <w:jc w:val="center"/>
        <w:outlineLvl w:val="9"/>
        <w:rPr>
          <w:rFonts w:hint="default" w:eastAsia="宋体"/>
          <w:lang w:val="en-US" w:eastAsia="zh-CN"/>
        </w:rPr>
      </w:pPr>
      <w:r>
        <w:rPr>
          <w:rFonts w:hint="eastAsia" w:ascii="宋体" w:hAnsi="宋体" w:eastAsia="宋体"/>
          <w:lang w:val="en-US" w:eastAsia="zh-CN"/>
        </w:rPr>
        <w:t xml:space="preserve">                                    </w:t>
      </w:r>
      <w:r>
        <w:rPr>
          <w:rFonts w:hint="eastAsia" w:ascii="宋体" w:hAnsi="宋体"/>
        </w:rPr>
        <w:t>单位名称：</w:t>
      </w:r>
      <w:r>
        <w:rPr>
          <w:rFonts w:hint="eastAsia" w:ascii="宋体" w:hAnsi="宋体" w:eastAsia="宋体"/>
          <w:u w:val="single"/>
          <w:lang w:val="en-US" w:eastAsia="zh-CN"/>
        </w:rPr>
        <w:t xml:space="preserve">           </w:t>
      </w:r>
    </w:p>
    <w:p w14:paraId="08A8B70A">
      <w:pPr>
        <w:ind w:firstLine="480" w:firstLineChars="200"/>
        <w:jc w:val="center"/>
        <w:outlineLvl w:val="9"/>
      </w:pPr>
      <w:r>
        <w:rPr>
          <w:rFonts w:hint="eastAsia" w:ascii="宋体" w:hAnsi="宋体"/>
        </w:rPr>
        <w:t xml:space="preserve">                                 日期：</w:t>
      </w:r>
      <w:r>
        <w:rPr>
          <w:rFonts w:hint="eastAsia"/>
          <w:u w:val="single"/>
        </w:rPr>
        <w:t xml:space="preserve">               </w:t>
      </w:r>
    </w:p>
    <w:p w14:paraId="6FF8BC26">
      <w:pPr>
        <w:spacing w:line="360" w:lineRule="exact"/>
        <w:jc w:val="center"/>
        <w:outlineLvl w:val="9"/>
        <w:rPr>
          <w:rFonts w:hint="eastAsia" w:ascii="宋体" w:hAnsi="宋体" w:cs="宋体"/>
          <w:b/>
          <w:spacing w:val="6"/>
          <w:sz w:val="22"/>
        </w:rPr>
      </w:pPr>
    </w:p>
    <w:p w14:paraId="2259F3F7">
      <w:pPr>
        <w:spacing w:line="360" w:lineRule="exact"/>
        <w:jc w:val="center"/>
        <w:outlineLvl w:val="9"/>
        <w:rPr>
          <w:rFonts w:hint="eastAsia" w:ascii="宋体" w:hAnsi="宋体" w:cs="宋体"/>
          <w:b/>
          <w:spacing w:val="6"/>
          <w:sz w:val="22"/>
        </w:rPr>
      </w:pPr>
    </w:p>
    <w:p w14:paraId="3D307209">
      <w:pPr>
        <w:spacing w:line="360" w:lineRule="exact"/>
        <w:jc w:val="center"/>
        <w:outlineLvl w:val="9"/>
        <w:rPr>
          <w:rFonts w:ascii="宋体" w:hAnsi="宋体" w:cs="宋体"/>
          <w:b/>
          <w:bCs/>
          <w:sz w:val="22"/>
        </w:rPr>
      </w:pPr>
      <w:r>
        <w:rPr>
          <w:rFonts w:hint="eastAsia" w:ascii="宋体" w:hAnsi="宋体" w:cs="宋体"/>
          <w:b/>
          <w:spacing w:val="6"/>
          <w:sz w:val="22"/>
        </w:rPr>
        <w:t>（三）</w:t>
      </w:r>
      <w:r>
        <w:rPr>
          <w:rFonts w:hint="eastAsia"/>
          <w:b/>
          <w:sz w:val="24"/>
        </w:rPr>
        <w:t>监狱企业声明函（</w:t>
      </w:r>
      <w:r>
        <w:rPr>
          <w:b/>
          <w:spacing w:val="6"/>
          <w:sz w:val="22"/>
        </w:rPr>
        <w:t>省级以上监狱管理局、戒毒管理局(含新疆生产建设兵团)出具的属于监狱企业的证明文件原件的扫描件</w:t>
      </w:r>
      <w:r>
        <w:rPr>
          <w:rFonts w:hint="eastAsia"/>
          <w:b/>
          <w:sz w:val="24"/>
        </w:rPr>
        <w:t>）</w:t>
      </w:r>
    </w:p>
    <w:p w14:paraId="33EB6E64">
      <w:pPr>
        <w:spacing w:line="360" w:lineRule="exact"/>
        <w:jc w:val="left"/>
        <w:outlineLvl w:val="9"/>
        <w:rPr>
          <w:rFonts w:hint="eastAsia" w:eastAsia="宋体"/>
          <w:b/>
          <w:spacing w:val="6"/>
          <w:sz w:val="22"/>
          <w:lang w:val="en-US" w:eastAsia="zh-CN"/>
        </w:rPr>
      </w:pPr>
      <w:r>
        <w:rPr>
          <w:b/>
          <w:spacing w:val="6"/>
          <w:sz w:val="22"/>
        </w:rPr>
        <w:t xml:space="preserve"> </w:t>
      </w:r>
      <w:r>
        <w:rPr>
          <w:rFonts w:hint="eastAsia" w:eastAsia="宋体"/>
          <w:b/>
          <w:spacing w:val="6"/>
          <w:sz w:val="22"/>
          <w:lang w:val="en-US" w:eastAsia="zh-CN"/>
        </w:rPr>
        <w:t xml:space="preserve">   </w:t>
      </w:r>
    </w:p>
    <w:p w14:paraId="5FEC9F5A">
      <w:pPr>
        <w:spacing w:line="360" w:lineRule="exact"/>
        <w:ind w:firstLine="464" w:firstLineChars="200"/>
        <w:jc w:val="left"/>
        <w:outlineLvl w:val="9"/>
        <w:rPr>
          <w:rFonts w:hint="eastAsia" w:ascii="Times New Roman" w:hAnsi="Times New Roman" w:eastAsia="Times New Roman" w:cs="Times New Roman"/>
          <w:spacing w:val="6"/>
          <w:sz w:val="22"/>
        </w:rPr>
      </w:pPr>
      <w:r>
        <w:rPr>
          <w:rFonts w:hint="eastAsia" w:ascii="Times New Roman" w:hAnsi="Times New Roman" w:eastAsia="Times New Roman" w:cs="Times New Roman"/>
          <w:spacing w:val="6"/>
          <w:sz w:val="22"/>
        </w:rPr>
        <w:t>本单位郑重声明，根据《财政部 民政部 中国残疾人联合会关于促进残疾人就业政府采购政策的通知》（财库〔2017〕 141号）的规定，本单位为符合条件的残疾人福利性单位，且本单位参加</w:t>
      </w:r>
      <w:r>
        <w:rPr>
          <w:rFonts w:hint="eastAsia" w:ascii="Times New Roman" w:hAnsi="Times New Roman" w:eastAsia="Times New Roman" w:cs="Times New Roman"/>
          <w:b/>
          <w:bCs/>
          <w:spacing w:val="6"/>
          <w:sz w:val="22"/>
          <w:u w:val="single"/>
        </w:rPr>
        <w:t>（采购单位名称）</w:t>
      </w:r>
      <w:r>
        <w:rPr>
          <w:rFonts w:hint="eastAsia" w:ascii="Times New Roman" w:hAnsi="Times New Roman" w:eastAsia="Times New Roman" w:cs="Times New Roman"/>
          <w:spacing w:val="6"/>
          <w:sz w:val="22"/>
          <w:u w:val="none"/>
        </w:rPr>
        <w:t>单位的</w:t>
      </w:r>
      <w:r>
        <w:rPr>
          <w:rFonts w:hint="eastAsia" w:ascii="Times New Roman" w:hAnsi="Times New Roman" w:eastAsia="Times New Roman" w:cs="Times New Roman"/>
          <w:b/>
          <w:bCs/>
          <w:spacing w:val="6"/>
          <w:sz w:val="22"/>
          <w:u w:val="single"/>
        </w:rPr>
        <w:t>（采购项目名称）</w:t>
      </w:r>
      <w:r>
        <w:rPr>
          <w:rFonts w:hint="eastAsia" w:ascii="Times New Roman" w:hAnsi="Times New Roman" w:eastAsia="Times New Roman" w:cs="Times New Roman"/>
          <w:spacing w:val="6"/>
          <w:sz w:val="22"/>
        </w:rPr>
        <w:t>项目采购活动，并由本单位提供服务。</w:t>
      </w:r>
    </w:p>
    <w:p w14:paraId="3089F046">
      <w:pPr>
        <w:spacing w:line="360" w:lineRule="exact"/>
        <w:ind w:firstLine="464" w:firstLineChars="200"/>
        <w:jc w:val="left"/>
        <w:outlineLvl w:val="9"/>
        <w:rPr>
          <w:spacing w:val="6"/>
          <w:sz w:val="22"/>
        </w:rPr>
      </w:pPr>
      <w:r>
        <w:rPr>
          <w:rFonts w:hint="eastAsia"/>
          <w:spacing w:val="6"/>
          <w:sz w:val="22"/>
        </w:rPr>
        <w:t>本单位对上述声明的真实性负责。如有虚假，将依法承担相应责任。</w:t>
      </w:r>
    </w:p>
    <w:p w14:paraId="1238C3F9">
      <w:pPr>
        <w:spacing w:line="360" w:lineRule="exact"/>
        <w:ind w:firstLine="464" w:firstLineChars="200"/>
        <w:jc w:val="left"/>
        <w:outlineLvl w:val="9"/>
        <w:rPr>
          <w:rFonts w:ascii="宋体" w:hAnsi="宋体" w:cs="宋体"/>
          <w:b/>
          <w:spacing w:val="6"/>
          <w:sz w:val="22"/>
        </w:rPr>
      </w:pPr>
      <w:r>
        <w:rPr>
          <w:rFonts w:hint="eastAsia"/>
          <w:spacing w:val="6"/>
          <w:sz w:val="22"/>
        </w:rPr>
        <w:t>本单位知悉《关于促进残疾人就业政府采购政策的通知》(财库(2017141号)的规定,承诺提供的声明函内容是真实的,如提供声明函内容不实,则依法追究相关法律责任。</w:t>
      </w:r>
    </w:p>
    <w:p w14:paraId="246A6F49">
      <w:pPr>
        <w:ind w:firstLine="4800" w:firstLineChars="2000"/>
        <w:jc w:val="left"/>
        <w:outlineLvl w:val="9"/>
        <w:rPr>
          <w:rFonts w:hint="eastAsia" w:ascii="宋体" w:hAnsi="宋体"/>
        </w:rPr>
      </w:pPr>
    </w:p>
    <w:p w14:paraId="2AA836F6">
      <w:pPr>
        <w:ind w:firstLine="4800" w:firstLineChars="2000"/>
        <w:jc w:val="left"/>
        <w:outlineLvl w:val="9"/>
      </w:pPr>
      <w:r>
        <w:rPr>
          <w:rFonts w:hint="eastAsia" w:ascii="宋体" w:hAnsi="宋体"/>
        </w:rPr>
        <w:t>单位名称：</w:t>
      </w:r>
      <w:r>
        <w:rPr>
          <w:rFonts w:hint="eastAsia" w:ascii="宋体" w:hAnsi="宋体" w:eastAsia="宋体"/>
          <w:u w:val="single"/>
          <w:lang w:val="en-US" w:eastAsia="zh-CN"/>
        </w:rPr>
        <w:t xml:space="preserve">  </w:t>
      </w:r>
      <w:r>
        <w:rPr>
          <w:rFonts w:hint="eastAsia"/>
          <w:u w:val="single"/>
        </w:rPr>
        <w:t xml:space="preserve">           </w:t>
      </w:r>
    </w:p>
    <w:p w14:paraId="2FA02175">
      <w:pPr>
        <w:ind w:firstLine="480" w:firstLineChars="200"/>
        <w:jc w:val="center"/>
        <w:outlineLvl w:val="9"/>
      </w:pPr>
      <w:r>
        <w:rPr>
          <w:rFonts w:hint="eastAsia" w:ascii="宋体" w:hAnsi="宋体"/>
        </w:rPr>
        <w:t xml:space="preserve">                                  日期：</w:t>
      </w:r>
      <w:r>
        <w:rPr>
          <w:rFonts w:hint="eastAsia"/>
          <w:u w:val="single"/>
        </w:rPr>
        <w:t xml:space="preserve">               </w:t>
      </w:r>
    </w:p>
    <w:p w14:paraId="5A22E3AC">
      <w:pPr>
        <w:spacing w:line="360" w:lineRule="auto"/>
        <w:ind w:firstLine="480" w:firstLineChars="200"/>
        <w:outlineLvl w:val="9"/>
        <w:rPr>
          <w:rFonts w:ascii="宋体" w:hAnsi="宋体" w:cs="宋体"/>
        </w:rPr>
      </w:pPr>
    </w:p>
    <w:p w14:paraId="11CB3CDB">
      <w:pPr>
        <w:ind w:firstLine="480" w:firstLineChars="200"/>
        <w:outlineLvl w:val="9"/>
        <w:rPr>
          <w:b/>
        </w:rPr>
      </w:pPr>
    </w:p>
    <w:p w14:paraId="2FBB8245">
      <w:pPr>
        <w:outlineLvl w:val="9"/>
      </w:pPr>
    </w:p>
    <w:p w14:paraId="47A11A42">
      <w:pPr>
        <w:rPr>
          <w:rFonts w:eastAsiaTheme="minorEastAsia"/>
        </w:rPr>
      </w:pPr>
    </w:p>
    <w:p w14:paraId="38A96315">
      <w:pPr>
        <w:jc w:val="both"/>
        <w:rPr>
          <w:b/>
          <w:bCs/>
        </w:rPr>
      </w:pPr>
    </w:p>
    <w:p w14:paraId="02F5881A">
      <w:pPr>
        <w:rPr>
          <w:rFonts w:eastAsia="黑体"/>
        </w:rPr>
      </w:pPr>
      <w:r>
        <w:rPr>
          <w:b/>
        </w:rPr>
        <w:br w:type="page"/>
      </w:r>
    </w:p>
    <w:p w14:paraId="39AA41B3">
      <w:pPr>
        <w:pStyle w:val="6"/>
        <w:numPr>
          <w:ilvl w:val="0"/>
          <w:numId w:val="5"/>
        </w:numPr>
        <w:spacing w:before="120" w:after="120"/>
        <w:ind w:left="0" w:leftChars="0" w:firstLine="420" w:firstLineChars="0"/>
        <w:jc w:val="center"/>
        <w:rPr>
          <w:rFonts w:ascii="黑体" w:eastAsia="黑体"/>
          <w:b w:val="0"/>
          <w:sz w:val="24"/>
        </w:rPr>
      </w:pPr>
      <w:r>
        <w:rPr>
          <w:rFonts w:hint="eastAsia" w:ascii="黑体" w:eastAsia="黑体"/>
          <w:b w:val="0"/>
          <w:sz w:val="24"/>
        </w:rPr>
        <w:t>招标代理服务费承诺函</w:t>
      </w:r>
    </w:p>
    <w:p w14:paraId="36DD7765">
      <w:pPr>
        <w:ind w:firstLine="480" w:firstLineChars="200"/>
        <w:rPr>
          <w:rFonts w:ascii="宋体" w:cs="宋体"/>
          <w:szCs w:val="21"/>
        </w:rPr>
      </w:pPr>
      <w:r>
        <w:rPr>
          <w:rFonts w:hint="eastAsia" w:ascii="宋体" w:hAnsi="宋体"/>
          <w:szCs w:val="21"/>
        </w:rPr>
        <w:t>致：深圳市东海国际招标有限公司</w:t>
      </w:r>
    </w:p>
    <w:p w14:paraId="56B5BFD4">
      <w:pPr>
        <w:spacing w:after="60" w:afterLines="25" w:line="300" w:lineRule="auto"/>
        <w:ind w:firstLine="480" w:firstLineChars="200"/>
        <w:rPr>
          <w:rFonts w:ascii="宋体" w:hAnsi="宋体" w:eastAsia="宋体"/>
          <w:szCs w:val="21"/>
        </w:rPr>
      </w:pPr>
      <w:r>
        <w:rPr>
          <w:rFonts w:hint="eastAsia" w:ascii="宋体" w:hAnsi="宋体" w:eastAsia="宋体"/>
          <w:szCs w:val="21"/>
        </w:rPr>
        <w:t>我们在贵司代理的项目招标中若获中标</w:t>
      </w:r>
      <w:r>
        <w:rPr>
          <w:rFonts w:ascii="宋体" w:hAnsi="宋体" w:eastAsia="宋体"/>
          <w:szCs w:val="21"/>
          <w:u w:val="single"/>
        </w:rPr>
        <w:t xml:space="preserve">          </w:t>
      </w:r>
      <w:r>
        <w:rPr>
          <w:rFonts w:hint="eastAsia" w:ascii="宋体" w:hAnsi="宋体" w:eastAsia="宋体"/>
          <w:szCs w:val="21"/>
        </w:rPr>
        <w:t>（项目编号：</w:t>
      </w:r>
      <w:r>
        <w:rPr>
          <w:rFonts w:ascii="宋体" w:hAnsi="宋体" w:eastAsia="宋体"/>
          <w:szCs w:val="21"/>
          <w:u w:val="single"/>
        </w:rPr>
        <w:t xml:space="preserve">    </w:t>
      </w:r>
      <w:r>
        <w:rPr>
          <w:rFonts w:hint="eastAsia" w:ascii="宋体" w:hAnsi="宋体" w:eastAsia="宋体"/>
          <w:szCs w:val="21"/>
        </w:rPr>
        <w:t>），我们保证在收到中标通知书原件的同时按招标文件的规定，以转账、支票、汇票、电汇、现金或经贵公司认可的一种方式，向贵公司即深圳市东海国际招标有限公司指定的银行账号，一次性支付招标代理服务费。招标代理服务费依据深财购</w:t>
      </w:r>
      <w:r>
        <w:rPr>
          <w:rFonts w:ascii="宋体" w:hAnsi="宋体" w:eastAsia="宋体"/>
          <w:szCs w:val="21"/>
        </w:rPr>
        <w:t>[2018]27</w:t>
      </w:r>
      <w:r>
        <w:rPr>
          <w:rFonts w:hint="eastAsia" w:ascii="宋体" w:hAnsi="宋体" w:eastAsia="宋体"/>
          <w:szCs w:val="21"/>
        </w:rPr>
        <w:t>号文及相关规定收取。</w:t>
      </w:r>
    </w:p>
    <w:p w14:paraId="604B1BE6">
      <w:pPr>
        <w:spacing w:after="60" w:afterLines="25" w:line="300" w:lineRule="auto"/>
        <w:ind w:firstLine="480" w:firstLineChars="200"/>
        <w:rPr>
          <w:rFonts w:ascii="宋体" w:hAnsi="宋体" w:eastAsia="宋体"/>
          <w:szCs w:val="21"/>
        </w:rPr>
      </w:pPr>
      <w:r>
        <w:rPr>
          <w:rFonts w:hint="eastAsia" w:ascii="宋体" w:hAnsi="宋体" w:eastAsia="宋体"/>
          <w:szCs w:val="21"/>
        </w:rPr>
        <w:t>特此承诺。</w:t>
      </w:r>
    </w:p>
    <w:p w14:paraId="5BEB1FFF">
      <w:pPr>
        <w:autoSpaceDE w:val="0"/>
        <w:autoSpaceDN w:val="0"/>
        <w:spacing w:line="360" w:lineRule="exact"/>
        <w:ind w:right="893"/>
        <w:textAlignment w:val="bottom"/>
        <w:rPr>
          <w:sz w:val="22"/>
          <w:szCs w:val="22"/>
        </w:rPr>
      </w:pPr>
    </w:p>
    <w:p w14:paraId="3BC9240A">
      <w:pPr>
        <w:spacing w:line="360" w:lineRule="exact"/>
        <w:rPr>
          <w:sz w:val="22"/>
          <w:szCs w:val="22"/>
        </w:rPr>
      </w:pPr>
    </w:p>
    <w:p w14:paraId="0B13547C">
      <w:pPr>
        <w:spacing w:line="360" w:lineRule="exact"/>
        <w:ind w:right="440"/>
        <w:jc w:val="right"/>
        <w:rPr>
          <w:b/>
          <w:bCs/>
          <w:sz w:val="22"/>
          <w:szCs w:val="22"/>
        </w:rPr>
      </w:pPr>
      <w:r>
        <w:rPr>
          <w:rFonts w:hint="eastAsia" w:cs="宋体"/>
          <w:b/>
          <w:bCs/>
          <w:sz w:val="22"/>
          <w:szCs w:val="22"/>
        </w:rPr>
        <w:t>投标人：</w:t>
      </w:r>
    </w:p>
    <w:p w14:paraId="05A13948">
      <w:pPr>
        <w:spacing w:line="360" w:lineRule="exact"/>
        <w:jc w:val="right"/>
        <w:rPr>
          <w:b/>
          <w:bCs/>
          <w:sz w:val="22"/>
          <w:szCs w:val="22"/>
        </w:rPr>
      </w:pPr>
      <w:r>
        <w:rPr>
          <w:rFonts w:hint="eastAsia" w:cs="宋体"/>
          <w:b/>
          <w:bCs/>
          <w:sz w:val="22"/>
          <w:szCs w:val="22"/>
        </w:rPr>
        <w:t>日期：年月日</w:t>
      </w:r>
    </w:p>
    <w:p w14:paraId="723BE12C">
      <w:pPr>
        <w:spacing w:line="360" w:lineRule="exact"/>
        <w:rPr>
          <w:sz w:val="22"/>
          <w:szCs w:val="22"/>
        </w:rPr>
      </w:pPr>
    </w:p>
    <w:p w14:paraId="4D7D65A1">
      <w:pPr>
        <w:ind w:firstLine="480" w:firstLineChars="200"/>
        <w:jc w:val="center"/>
        <w:rPr>
          <w:rFonts w:ascii="宋体" w:hAnsi="宋体"/>
          <w:szCs w:val="21"/>
        </w:rPr>
      </w:pPr>
      <w:r>
        <w:rPr>
          <w:rFonts w:ascii="宋体" w:hAnsi="宋体"/>
          <w:szCs w:val="21"/>
        </w:rPr>
        <w:t>(</w:t>
      </w:r>
      <w:r>
        <w:rPr>
          <w:rFonts w:hint="eastAsia" w:ascii="宋体" w:hAnsi="宋体"/>
          <w:szCs w:val="21"/>
        </w:rPr>
        <w:t>注：按要求填写，不得更改承诺内容</w:t>
      </w:r>
      <w:r>
        <w:rPr>
          <w:rFonts w:ascii="宋体" w:hAnsi="宋体"/>
          <w:szCs w:val="21"/>
        </w:rPr>
        <w:t>)</w:t>
      </w:r>
    </w:p>
    <w:p w14:paraId="30DCCFC1">
      <w:pPr>
        <w:rPr>
          <w:rFonts w:ascii="宋体" w:hAnsi="宋体"/>
          <w:szCs w:val="21"/>
        </w:rPr>
      </w:pPr>
      <w:r>
        <w:rPr>
          <w:rFonts w:ascii="宋体" w:hAnsi="宋体"/>
          <w:szCs w:val="21"/>
        </w:rPr>
        <w:br w:type="page"/>
      </w:r>
    </w:p>
    <w:p w14:paraId="26BAD667">
      <w:pPr>
        <w:ind w:firstLine="480" w:firstLineChars="200"/>
        <w:jc w:val="center"/>
        <w:rPr>
          <w:rFonts w:ascii="宋体" w:hAnsi="宋体"/>
          <w:szCs w:val="21"/>
        </w:rPr>
      </w:pPr>
    </w:p>
    <w:p w14:paraId="4D6466B8">
      <w:pPr>
        <w:pStyle w:val="35"/>
        <w:ind w:firstLine="480"/>
      </w:pPr>
    </w:p>
    <w:p w14:paraId="7AAF84A6">
      <w:pPr>
        <w:pStyle w:val="6"/>
        <w:numPr>
          <w:ilvl w:val="0"/>
          <w:numId w:val="5"/>
        </w:numPr>
        <w:spacing w:before="120" w:after="120"/>
        <w:ind w:left="0" w:leftChars="0" w:firstLine="420" w:firstLineChars="0"/>
        <w:jc w:val="center"/>
        <w:rPr>
          <w:rFonts w:hint="eastAsia" w:ascii="黑体" w:eastAsia="黑体"/>
          <w:b w:val="0"/>
          <w:sz w:val="24"/>
        </w:rPr>
      </w:pPr>
      <w:r>
        <w:rPr>
          <w:rFonts w:hint="eastAsia" w:ascii="黑体" w:eastAsia="黑体"/>
          <w:b w:val="0"/>
          <w:sz w:val="24"/>
        </w:rPr>
        <w:t>承诺书</w:t>
      </w:r>
    </w:p>
    <w:p w14:paraId="3E2C1779">
      <w:pPr>
        <w:tabs>
          <w:tab w:val="left" w:pos="567"/>
        </w:tabs>
        <w:spacing w:line="360" w:lineRule="auto"/>
        <w:ind w:firstLine="640" w:firstLineChars="200"/>
        <w:jc w:val="left"/>
        <w:rPr>
          <w:b/>
          <w:bCs/>
          <w:color w:val="auto"/>
          <w:sz w:val="32"/>
          <w:szCs w:val="32"/>
          <w:highlight w:val="none"/>
        </w:rPr>
      </w:pPr>
    </w:p>
    <w:p w14:paraId="64138D37">
      <w:pPr>
        <w:spacing w:line="360" w:lineRule="exact"/>
        <w:rPr>
          <w:b/>
          <w:color w:val="auto"/>
          <w:sz w:val="22"/>
          <w:highlight w:val="none"/>
        </w:rPr>
      </w:pPr>
      <w:r>
        <w:rPr>
          <w:color w:val="auto"/>
          <w:sz w:val="22"/>
          <w:highlight w:val="none"/>
        </w:rPr>
        <w:t>致：深圳市东海国际招标有限公司</w:t>
      </w:r>
    </w:p>
    <w:p w14:paraId="3C449248">
      <w:pPr>
        <w:widowControl/>
        <w:autoSpaceDE w:val="0"/>
        <w:autoSpaceDN w:val="0"/>
        <w:spacing w:line="360" w:lineRule="exact"/>
        <w:ind w:right="17" w:firstLine="440" w:firstLineChars="200"/>
        <w:textAlignment w:val="bottom"/>
        <w:rPr>
          <w:color w:val="auto"/>
          <w:sz w:val="22"/>
          <w:highlight w:val="none"/>
        </w:rPr>
      </w:pPr>
    </w:p>
    <w:p w14:paraId="00D3F027">
      <w:pPr>
        <w:tabs>
          <w:tab w:val="left" w:pos="567"/>
        </w:tabs>
        <w:spacing w:line="360" w:lineRule="auto"/>
        <w:ind w:firstLine="440" w:firstLineChars="200"/>
        <w:jc w:val="left"/>
        <w:rPr>
          <w:color w:val="auto"/>
          <w:sz w:val="22"/>
          <w:highlight w:val="none"/>
        </w:rPr>
      </w:pPr>
      <w:r>
        <w:rPr>
          <w:rFonts w:hint="eastAsia"/>
          <w:color w:val="auto"/>
          <w:sz w:val="22"/>
          <w:highlight w:val="none"/>
        </w:rPr>
        <w:t>我公司承诺未出现以下情况：</w:t>
      </w:r>
    </w:p>
    <w:p w14:paraId="4FB8AF08">
      <w:pPr>
        <w:tabs>
          <w:tab w:val="left" w:pos="567"/>
        </w:tabs>
        <w:spacing w:line="360" w:lineRule="auto"/>
        <w:ind w:firstLine="440" w:firstLineChars="200"/>
        <w:jc w:val="left"/>
        <w:rPr>
          <w:color w:val="auto"/>
          <w:sz w:val="22"/>
          <w:highlight w:val="none"/>
        </w:rPr>
      </w:pPr>
      <w:r>
        <w:rPr>
          <w:rFonts w:hint="eastAsia"/>
          <w:color w:val="auto"/>
          <w:sz w:val="22"/>
          <w:highlight w:val="none"/>
        </w:rPr>
        <w:t>《深圳经济特区政府采购条例实施细则》第七十五条 供应商有下列情形的，属于采购条例所称的串通投标行为，按照采购条例第五十七条有关规定处理：</w:t>
      </w:r>
    </w:p>
    <w:p w14:paraId="3603CEED">
      <w:pPr>
        <w:tabs>
          <w:tab w:val="left" w:pos="567"/>
        </w:tabs>
        <w:spacing w:line="360" w:lineRule="auto"/>
        <w:ind w:firstLine="440" w:firstLineChars="200"/>
        <w:jc w:val="left"/>
        <w:rPr>
          <w:color w:val="auto"/>
          <w:sz w:val="22"/>
          <w:highlight w:val="none"/>
        </w:rPr>
      </w:pPr>
      <w:r>
        <w:rPr>
          <w:rFonts w:hint="eastAsia"/>
          <w:color w:val="auto"/>
          <w:sz w:val="22"/>
          <w:highlight w:val="none"/>
        </w:rPr>
        <w:t>（一）投标供应商之间相互约定给予未中标的供应商利益补偿；</w:t>
      </w:r>
    </w:p>
    <w:p w14:paraId="4714ED57">
      <w:pPr>
        <w:tabs>
          <w:tab w:val="left" w:pos="567"/>
        </w:tabs>
        <w:spacing w:line="360" w:lineRule="auto"/>
        <w:ind w:firstLine="440" w:firstLineChars="200"/>
        <w:jc w:val="left"/>
        <w:rPr>
          <w:color w:val="auto"/>
          <w:sz w:val="22"/>
          <w:highlight w:val="none"/>
        </w:rPr>
      </w:pPr>
      <w:r>
        <w:rPr>
          <w:rFonts w:hint="eastAsia"/>
          <w:color w:val="auto"/>
          <w:sz w:val="22"/>
          <w:highlight w:val="none"/>
        </w:rPr>
        <w:t>（二）不同投标供应商的法定代表人、主要经营负责人、项目投标授权代表人、项目负责人、主要技术人员为同一人、属同一单位或者在同一单位缴纳社会保险；</w:t>
      </w:r>
    </w:p>
    <w:p w14:paraId="22FC2D8D">
      <w:pPr>
        <w:tabs>
          <w:tab w:val="left" w:pos="567"/>
        </w:tabs>
        <w:spacing w:line="360" w:lineRule="auto"/>
        <w:ind w:firstLine="440" w:firstLineChars="200"/>
        <w:jc w:val="left"/>
        <w:rPr>
          <w:color w:val="auto"/>
          <w:sz w:val="22"/>
          <w:highlight w:val="none"/>
        </w:rPr>
      </w:pPr>
      <w:r>
        <w:rPr>
          <w:rFonts w:hint="eastAsia"/>
          <w:color w:val="auto"/>
          <w:sz w:val="22"/>
          <w:highlight w:val="none"/>
        </w:rPr>
        <w:t>（三）不同投标供应商的投标文件由同一单位或者同一人编制，或者由同一人分阶段参与编制的；</w:t>
      </w:r>
    </w:p>
    <w:p w14:paraId="6D5C52D4">
      <w:pPr>
        <w:tabs>
          <w:tab w:val="left" w:pos="567"/>
        </w:tabs>
        <w:spacing w:line="360" w:lineRule="auto"/>
        <w:ind w:firstLine="440" w:firstLineChars="200"/>
        <w:jc w:val="left"/>
        <w:rPr>
          <w:color w:val="auto"/>
          <w:sz w:val="22"/>
          <w:highlight w:val="none"/>
        </w:rPr>
      </w:pPr>
      <w:r>
        <w:rPr>
          <w:rFonts w:hint="eastAsia"/>
          <w:color w:val="auto"/>
          <w:sz w:val="22"/>
          <w:highlight w:val="none"/>
        </w:rPr>
        <w:t>（四）不同投标供应商的投标文件或部分投标文件相互混装；</w:t>
      </w:r>
    </w:p>
    <w:p w14:paraId="6C21424B">
      <w:pPr>
        <w:tabs>
          <w:tab w:val="left" w:pos="567"/>
        </w:tabs>
        <w:spacing w:line="360" w:lineRule="auto"/>
        <w:ind w:firstLine="440" w:firstLineChars="200"/>
        <w:jc w:val="left"/>
        <w:rPr>
          <w:color w:val="auto"/>
          <w:sz w:val="22"/>
          <w:highlight w:val="none"/>
        </w:rPr>
      </w:pPr>
      <w:r>
        <w:rPr>
          <w:rFonts w:hint="eastAsia"/>
          <w:color w:val="auto"/>
          <w:sz w:val="22"/>
          <w:highlight w:val="none"/>
        </w:rPr>
        <w:t>（五）不同投标供应商的投标文件内容存在非正常一致；</w:t>
      </w:r>
    </w:p>
    <w:p w14:paraId="65E1C375">
      <w:pPr>
        <w:tabs>
          <w:tab w:val="left" w:pos="567"/>
        </w:tabs>
        <w:spacing w:line="360" w:lineRule="auto"/>
        <w:ind w:firstLine="440" w:firstLineChars="200"/>
        <w:jc w:val="left"/>
        <w:rPr>
          <w:color w:val="auto"/>
          <w:sz w:val="22"/>
          <w:highlight w:val="none"/>
        </w:rPr>
      </w:pPr>
      <w:r>
        <w:rPr>
          <w:rFonts w:hint="eastAsia"/>
          <w:color w:val="auto"/>
          <w:sz w:val="22"/>
          <w:highlight w:val="none"/>
        </w:rPr>
        <w:t>（六）由同一单位工作人员为两家以上（含两家）供应商进行同一项投标活动的；</w:t>
      </w:r>
    </w:p>
    <w:p w14:paraId="4A017DE1">
      <w:pPr>
        <w:tabs>
          <w:tab w:val="left" w:pos="567"/>
        </w:tabs>
        <w:spacing w:line="360" w:lineRule="auto"/>
        <w:ind w:firstLine="440" w:firstLineChars="200"/>
        <w:jc w:val="left"/>
        <w:rPr>
          <w:color w:val="auto"/>
          <w:sz w:val="22"/>
          <w:highlight w:val="none"/>
        </w:rPr>
      </w:pPr>
      <w:r>
        <w:rPr>
          <w:rFonts w:hint="eastAsia"/>
          <w:color w:val="auto"/>
          <w:sz w:val="22"/>
          <w:highlight w:val="none"/>
        </w:rPr>
        <w:t>（七）主管部门依照法律、法规认定的其他情形。</w:t>
      </w:r>
    </w:p>
    <w:p w14:paraId="4167BA4B">
      <w:pPr>
        <w:widowControl/>
        <w:autoSpaceDE w:val="0"/>
        <w:autoSpaceDN w:val="0"/>
        <w:spacing w:line="360" w:lineRule="exact"/>
        <w:ind w:right="893"/>
        <w:textAlignment w:val="bottom"/>
        <w:rPr>
          <w:color w:val="auto"/>
          <w:sz w:val="22"/>
          <w:highlight w:val="none"/>
        </w:rPr>
      </w:pPr>
    </w:p>
    <w:p w14:paraId="38E4AA8F">
      <w:pPr>
        <w:widowControl/>
        <w:autoSpaceDE w:val="0"/>
        <w:autoSpaceDN w:val="0"/>
        <w:spacing w:line="360" w:lineRule="exact"/>
        <w:ind w:right="893"/>
        <w:textAlignment w:val="bottom"/>
        <w:rPr>
          <w:color w:val="auto"/>
          <w:sz w:val="22"/>
          <w:highlight w:val="none"/>
        </w:rPr>
      </w:pPr>
    </w:p>
    <w:p w14:paraId="755D9662">
      <w:pPr>
        <w:tabs>
          <w:tab w:val="left" w:pos="567"/>
        </w:tabs>
        <w:spacing w:line="360" w:lineRule="auto"/>
        <w:ind w:firstLine="440" w:firstLineChars="200"/>
        <w:jc w:val="left"/>
        <w:rPr>
          <w:rFonts w:hint="eastAsia" w:ascii="宋体" w:hAnsi="宋体" w:cs="宋体"/>
          <w:color w:val="auto"/>
          <w:sz w:val="22"/>
          <w:highlight w:val="none"/>
        </w:rPr>
      </w:pPr>
      <w:r>
        <w:rPr>
          <w:color w:val="auto"/>
          <w:sz w:val="22"/>
          <w:highlight w:val="none"/>
        </w:rPr>
        <w:t>特此</w:t>
      </w:r>
      <w:r>
        <w:rPr>
          <w:rFonts w:hint="eastAsia"/>
          <w:color w:val="auto"/>
          <w:sz w:val="22"/>
          <w:highlight w:val="none"/>
        </w:rPr>
        <w:t>承诺，</w:t>
      </w:r>
      <w:r>
        <w:rPr>
          <w:rFonts w:hint="eastAsia" w:ascii="宋体" w:hAnsi="宋体" w:cs="宋体"/>
          <w:color w:val="auto"/>
          <w:sz w:val="22"/>
          <w:highlight w:val="none"/>
        </w:rPr>
        <w:t>如有违反，愿依照国家相关法律处理，并承担由此给采购人带来的损失。</w:t>
      </w:r>
    </w:p>
    <w:p w14:paraId="1604953A">
      <w:pPr>
        <w:jc w:val="center"/>
        <w:rPr>
          <w:rFonts w:eastAsia="宋体"/>
          <w:b/>
          <w:kern w:val="2"/>
          <w:sz w:val="32"/>
          <w:szCs w:val="32"/>
        </w:rPr>
      </w:pPr>
    </w:p>
    <w:p w14:paraId="30201FA2">
      <w:pPr>
        <w:jc w:val="center"/>
        <w:rPr>
          <w:rFonts w:eastAsia="黑体"/>
        </w:rPr>
      </w:pPr>
    </w:p>
    <w:p w14:paraId="36024719">
      <w:pPr>
        <w:rPr>
          <w:rFonts w:eastAsia="黑体"/>
        </w:rPr>
      </w:pPr>
    </w:p>
    <w:p w14:paraId="300ADBCB">
      <w:pPr>
        <w:rPr>
          <w:rFonts w:ascii="黑体" w:eastAsia="黑体"/>
        </w:rPr>
      </w:pPr>
      <w:r>
        <w:rPr>
          <w:rFonts w:hint="eastAsia" w:ascii="黑体" w:eastAsia="黑体"/>
        </w:rPr>
        <w:br w:type="page"/>
      </w:r>
    </w:p>
    <w:p w14:paraId="226CA6A0">
      <w:pPr>
        <w:pStyle w:val="6"/>
        <w:numPr>
          <w:ilvl w:val="0"/>
          <w:numId w:val="5"/>
        </w:numPr>
        <w:ind w:left="0" w:leftChars="0" w:firstLine="420" w:firstLineChars="0"/>
        <w:jc w:val="center"/>
        <w:rPr>
          <w:rFonts w:hint="eastAsia" w:ascii="黑体" w:hAnsi="宋体" w:eastAsia="黑体" w:cs="Times New Roman"/>
          <w:b w:val="0"/>
          <w:szCs w:val="28"/>
        </w:rPr>
      </w:pPr>
      <w:r>
        <w:rPr>
          <w:rFonts w:hint="eastAsia" w:ascii="黑体" w:hAnsi="宋体" w:eastAsia="黑体" w:cs="Times New Roman"/>
          <w:b w:val="0"/>
          <w:szCs w:val="28"/>
        </w:rPr>
        <w:t>项目完成（服务期满）后的服务承诺</w:t>
      </w:r>
    </w:p>
    <w:p w14:paraId="78261E14">
      <w:pPr>
        <w:pStyle w:val="6"/>
        <w:numPr>
          <w:ilvl w:val="0"/>
          <w:numId w:val="5"/>
        </w:numPr>
        <w:ind w:left="0" w:leftChars="0" w:firstLine="420" w:firstLineChars="0"/>
        <w:jc w:val="center"/>
        <w:rPr>
          <w:rFonts w:hint="eastAsia" w:ascii="黑体" w:hAnsi="宋体" w:eastAsia="黑体" w:cs="Times New Roman"/>
          <w:b w:val="0"/>
          <w:szCs w:val="28"/>
        </w:rPr>
      </w:pPr>
      <w:r>
        <w:rPr>
          <w:rFonts w:hint="eastAsia" w:ascii="黑体" w:hAnsi="宋体" w:eastAsia="黑体" w:cs="Times New Roman"/>
          <w:b w:val="0"/>
          <w:szCs w:val="28"/>
        </w:rPr>
        <w:t>违约承诺</w:t>
      </w:r>
    </w:p>
    <w:p w14:paraId="17410008">
      <w:pPr>
        <w:pStyle w:val="6"/>
        <w:numPr>
          <w:ilvl w:val="0"/>
          <w:numId w:val="5"/>
        </w:numPr>
        <w:ind w:left="0" w:leftChars="0" w:firstLine="420" w:firstLineChars="0"/>
        <w:jc w:val="center"/>
        <w:rPr>
          <w:rFonts w:hint="eastAsia" w:ascii="黑体" w:hAnsi="宋体" w:eastAsia="黑体" w:cs="Times New Roman"/>
          <w:b w:val="0"/>
          <w:szCs w:val="28"/>
        </w:rPr>
      </w:pPr>
      <w:r>
        <w:rPr>
          <w:rFonts w:hint="eastAsia" w:ascii="黑体" w:hAnsi="宋体" w:eastAsia="黑体" w:cs="Times New Roman"/>
          <w:b w:val="0"/>
          <w:szCs w:val="28"/>
        </w:rPr>
        <w:t>拟安排的项目负责人情况（仅限一人）</w:t>
      </w:r>
    </w:p>
    <w:p w14:paraId="30E07939">
      <w:pPr>
        <w:pStyle w:val="6"/>
        <w:numPr>
          <w:ilvl w:val="0"/>
          <w:numId w:val="5"/>
        </w:numPr>
        <w:ind w:left="0" w:leftChars="0" w:firstLine="420" w:firstLineChars="0"/>
        <w:jc w:val="center"/>
        <w:rPr>
          <w:rFonts w:hint="eastAsia" w:ascii="黑体" w:hAnsi="宋体" w:eastAsia="黑体" w:cs="Times New Roman"/>
          <w:b w:val="0"/>
          <w:szCs w:val="28"/>
        </w:rPr>
      </w:pPr>
      <w:r>
        <w:rPr>
          <w:rFonts w:hint="eastAsia" w:ascii="黑体" w:hAnsi="宋体" w:eastAsia="黑体" w:cs="Times New Roman"/>
          <w:b w:val="0"/>
          <w:szCs w:val="28"/>
        </w:rPr>
        <w:t>拟安排的项目主要团队成员（主要技术人员）情况（项目负责人除外）</w:t>
      </w:r>
    </w:p>
    <w:p w14:paraId="69A799AB">
      <w:pPr>
        <w:pStyle w:val="6"/>
        <w:numPr>
          <w:ilvl w:val="0"/>
          <w:numId w:val="5"/>
        </w:numPr>
        <w:ind w:left="0" w:leftChars="0" w:firstLine="420" w:firstLineChars="0"/>
        <w:jc w:val="center"/>
        <w:rPr>
          <w:rFonts w:hint="eastAsia" w:ascii="黑体" w:hAnsi="宋体" w:eastAsia="黑体" w:cs="Times New Roman"/>
          <w:b w:val="0"/>
          <w:szCs w:val="28"/>
        </w:rPr>
      </w:pPr>
      <w:r>
        <w:rPr>
          <w:rFonts w:hint="eastAsia" w:ascii="黑体" w:hAnsi="宋体" w:eastAsia="黑体" w:cs="Times New Roman"/>
          <w:b w:val="0"/>
          <w:szCs w:val="28"/>
        </w:rPr>
        <w:t>拟投入的服务资源（车辆、场地、工具、机器等）情况</w:t>
      </w:r>
    </w:p>
    <w:p w14:paraId="2884A1DA">
      <w:pPr>
        <w:pStyle w:val="6"/>
        <w:numPr>
          <w:ilvl w:val="0"/>
          <w:numId w:val="5"/>
        </w:numPr>
        <w:ind w:left="0" w:leftChars="0" w:firstLine="420" w:firstLineChars="0"/>
        <w:jc w:val="center"/>
        <w:rPr>
          <w:rFonts w:hint="eastAsia" w:ascii="黑体" w:hAnsi="宋体" w:eastAsia="黑体" w:cs="Times New Roman"/>
          <w:b w:val="0"/>
          <w:szCs w:val="28"/>
        </w:rPr>
      </w:pPr>
      <w:r>
        <w:rPr>
          <w:rFonts w:hint="eastAsia" w:ascii="黑体" w:hAnsi="宋体" w:eastAsia="黑体" w:cs="Times New Roman"/>
          <w:b w:val="0"/>
          <w:szCs w:val="28"/>
        </w:rPr>
        <w:t>供应商认证情况</w:t>
      </w:r>
    </w:p>
    <w:p w14:paraId="7D411978">
      <w:pPr>
        <w:pStyle w:val="6"/>
        <w:numPr>
          <w:ilvl w:val="0"/>
          <w:numId w:val="5"/>
        </w:numPr>
        <w:ind w:left="0" w:leftChars="0" w:firstLine="420" w:firstLineChars="0"/>
        <w:jc w:val="center"/>
        <w:rPr>
          <w:rFonts w:hint="eastAsia" w:ascii="黑体" w:hAnsi="宋体" w:eastAsia="黑体" w:cs="Times New Roman"/>
          <w:b w:val="0"/>
          <w:szCs w:val="28"/>
        </w:rPr>
      </w:pPr>
      <w:r>
        <w:rPr>
          <w:rFonts w:hint="eastAsia" w:ascii="黑体" w:hAnsi="宋体" w:eastAsia="黑体" w:cs="Times New Roman"/>
          <w:b w:val="0"/>
          <w:szCs w:val="28"/>
        </w:rPr>
        <w:t>供应商同类项目业绩情况</w:t>
      </w:r>
    </w:p>
    <w:p w14:paraId="51EEE607">
      <w:pPr>
        <w:pStyle w:val="6"/>
        <w:numPr>
          <w:ilvl w:val="0"/>
          <w:numId w:val="5"/>
        </w:numPr>
        <w:ind w:left="0" w:leftChars="0" w:firstLine="420" w:firstLineChars="0"/>
        <w:jc w:val="center"/>
        <w:rPr>
          <w:rFonts w:hint="eastAsia" w:ascii="黑体" w:hAnsi="宋体" w:eastAsia="黑体" w:cs="Times New Roman"/>
          <w:b w:val="0"/>
          <w:szCs w:val="28"/>
        </w:rPr>
      </w:pPr>
      <w:r>
        <w:rPr>
          <w:rFonts w:hint="eastAsia" w:ascii="黑体" w:hAnsi="宋体" w:eastAsia="黑体" w:cs="Times New Roman"/>
          <w:b w:val="0"/>
          <w:szCs w:val="28"/>
        </w:rPr>
        <w:t>供应商自主知识产权产品（创新、设计）情况</w:t>
      </w:r>
    </w:p>
    <w:p w14:paraId="7B19FCDF">
      <w:pPr>
        <w:pStyle w:val="6"/>
        <w:numPr>
          <w:ilvl w:val="0"/>
          <w:numId w:val="5"/>
        </w:numPr>
        <w:ind w:left="0" w:leftChars="0" w:firstLine="420" w:firstLineChars="0"/>
        <w:jc w:val="center"/>
        <w:rPr>
          <w:rFonts w:hint="eastAsia" w:ascii="黑体" w:hAnsi="宋体" w:eastAsia="黑体" w:cs="Times New Roman"/>
          <w:b w:val="0"/>
          <w:szCs w:val="28"/>
        </w:rPr>
      </w:pPr>
      <w:r>
        <w:rPr>
          <w:rFonts w:hint="eastAsia" w:ascii="黑体" w:hAnsi="宋体" w:eastAsia="黑体" w:cs="Times New Roman"/>
          <w:b w:val="0"/>
          <w:szCs w:val="28"/>
        </w:rPr>
        <w:t>服务网点</w:t>
      </w:r>
    </w:p>
    <w:p w14:paraId="1C8ED636">
      <w:pPr>
        <w:pStyle w:val="6"/>
        <w:numPr>
          <w:ilvl w:val="0"/>
          <w:numId w:val="5"/>
        </w:numPr>
        <w:ind w:left="0" w:leftChars="0" w:firstLine="420" w:firstLineChars="0"/>
        <w:jc w:val="center"/>
        <w:rPr>
          <w:rFonts w:ascii="黑体" w:eastAsia="黑体"/>
          <w:b w:val="0"/>
          <w:szCs w:val="28"/>
        </w:rPr>
      </w:pPr>
      <w:r>
        <w:rPr>
          <w:rFonts w:hint="eastAsia" w:ascii="黑体" w:eastAsia="黑体"/>
          <w:b w:val="0"/>
          <w:szCs w:val="28"/>
        </w:rPr>
        <w:t>其它招标文件要求的内容及投标人认为需要补充的内容（格式自定）</w:t>
      </w:r>
    </w:p>
    <w:p w14:paraId="56AEDF02">
      <w:pPr>
        <w:jc w:val="center"/>
        <w:rPr>
          <w:rFonts w:eastAsia="宋体"/>
          <w:b/>
          <w:kern w:val="2"/>
          <w:sz w:val="32"/>
          <w:szCs w:val="32"/>
        </w:rPr>
      </w:pPr>
    </w:p>
    <w:p w14:paraId="6490580D">
      <w:pPr>
        <w:ind w:firstLine="471" w:firstLineChars="196"/>
        <w:rPr>
          <w:b/>
          <w:szCs w:val="21"/>
        </w:rPr>
      </w:pPr>
    </w:p>
    <w:p w14:paraId="606F98B7">
      <w:pPr>
        <w:ind w:firstLine="471" w:firstLineChars="196"/>
        <w:rPr>
          <w:b/>
          <w:szCs w:val="21"/>
        </w:rPr>
      </w:pPr>
    </w:p>
    <w:p w14:paraId="7553B45D">
      <w:pPr>
        <w:ind w:firstLine="471" w:firstLineChars="196"/>
        <w:rPr>
          <w:szCs w:val="21"/>
        </w:rPr>
      </w:pPr>
      <w:r>
        <w:rPr>
          <w:rFonts w:hint="eastAsia"/>
          <w:b/>
          <w:szCs w:val="21"/>
        </w:rPr>
        <w:t>注：</w:t>
      </w:r>
      <w:r>
        <w:rPr>
          <w:rFonts w:hint="eastAsia"/>
          <w:szCs w:val="21"/>
        </w:rPr>
        <w:t>如投标供应商误将涉及个人隐私的信息放入投标文件正文，相关后果由投标供应商自负。</w:t>
      </w:r>
    </w:p>
    <w:p w14:paraId="550C9B4B"/>
    <w:p w14:paraId="184BE6F5">
      <w:pPr>
        <w:jc w:val="center"/>
      </w:pPr>
      <w:r>
        <w:rPr>
          <w:rFonts w:hint="eastAsia"/>
          <w:b/>
        </w:rPr>
        <w:t>（信息公开部分的内容到此为止！往下为信息不公开部分。）</w:t>
      </w:r>
    </w:p>
    <w:p w14:paraId="296034C8">
      <w:pPr>
        <w:pStyle w:val="19"/>
        <w:ind w:left="480" w:firstLine="480"/>
      </w:pPr>
    </w:p>
    <w:p w14:paraId="19E8BE30">
      <w:pPr>
        <w:rPr>
          <w:rFonts w:ascii="仿宋_GB2312" w:eastAsia="仿宋_GB2312"/>
          <w:b/>
          <w:sz w:val="30"/>
          <w:szCs w:val="30"/>
        </w:rPr>
      </w:pPr>
    </w:p>
    <w:p w14:paraId="69B701D7">
      <w:pPr>
        <w:jc w:val="center"/>
        <w:rPr>
          <w:rFonts w:ascii="仿宋_GB2312" w:eastAsia="仿宋_GB2312"/>
          <w:b/>
          <w:sz w:val="30"/>
          <w:szCs w:val="30"/>
        </w:rPr>
      </w:pPr>
      <w:r>
        <w:rPr>
          <w:rFonts w:hint="eastAsia" w:ascii="仿宋_GB2312" w:eastAsia="仿宋_GB2312"/>
          <w:b/>
          <w:sz w:val="30"/>
          <w:szCs w:val="30"/>
        </w:rPr>
        <w:br w:type="page"/>
      </w:r>
      <w:r>
        <w:rPr>
          <w:rFonts w:hint="eastAsia" w:ascii="仿宋_GB2312" w:eastAsia="仿宋_GB2312"/>
          <w:b/>
          <w:sz w:val="30"/>
          <w:szCs w:val="30"/>
        </w:rPr>
        <w:t>投标文件附件（非信息公开部分）：</w:t>
      </w:r>
    </w:p>
    <w:p w14:paraId="453F393E">
      <w:pPr>
        <w:rPr>
          <w:rFonts w:ascii="仿宋_GB2312" w:eastAsia="仿宋_GB2312"/>
          <w:b/>
          <w:sz w:val="30"/>
          <w:szCs w:val="30"/>
        </w:rPr>
      </w:pPr>
    </w:p>
    <w:p w14:paraId="52FD5D33">
      <w:pPr>
        <w:pStyle w:val="6"/>
        <w:numPr>
          <w:ilvl w:val="0"/>
          <w:numId w:val="6"/>
        </w:numPr>
        <w:ind w:left="0" w:leftChars="0" w:firstLine="420" w:firstLineChars="0"/>
        <w:jc w:val="center"/>
        <w:rPr>
          <w:rFonts w:ascii="黑体" w:eastAsia="黑体"/>
          <w:b w:val="0"/>
          <w:sz w:val="24"/>
        </w:rPr>
      </w:pPr>
      <w:r>
        <w:rPr>
          <w:rFonts w:hint="eastAsia" w:ascii="黑体" w:eastAsia="黑体"/>
          <w:b w:val="0"/>
          <w:sz w:val="24"/>
        </w:rPr>
        <w:t>法定代表人（负责人）资格证明书</w:t>
      </w:r>
    </w:p>
    <w:p w14:paraId="435C4CF9"/>
    <w:p w14:paraId="2510AE9B">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Cs w:val="21"/>
          <w:u w:val="single"/>
        </w:rPr>
      </w:pPr>
      <w:r>
        <w:rPr>
          <w:rFonts w:hint="eastAsia" w:ascii="宋体" w:hAnsi="宋体" w:eastAsia="宋体" w:cs="宋体"/>
          <w:szCs w:val="21"/>
          <w:u w:val="single"/>
        </w:rPr>
        <w:t xml:space="preserve">         </w:t>
      </w:r>
      <w:r>
        <w:rPr>
          <w:rFonts w:hint="eastAsia" w:ascii="宋体" w:hAnsi="宋体" w:eastAsia="宋体" w:cs="宋体"/>
          <w:szCs w:val="21"/>
        </w:rPr>
        <w:t>同志，现任我单位</w:t>
      </w:r>
      <w:r>
        <w:rPr>
          <w:rFonts w:hint="eastAsia" w:ascii="宋体" w:hAnsi="宋体" w:eastAsia="宋体" w:cs="宋体"/>
          <w:szCs w:val="21"/>
          <w:u w:val="single"/>
        </w:rPr>
        <w:t xml:space="preserve">         </w:t>
      </w:r>
      <w:r>
        <w:rPr>
          <w:rFonts w:hint="eastAsia" w:ascii="宋体" w:hAnsi="宋体" w:eastAsia="宋体" w:cs="宋体"/>
          <w:szCs w:val="21"/>
        </w:rPr>
        <w:t>职务，为法定代表人（负责人），身份证号：</w:t>
      </w:r>
      <w:r>
        <w:rPr>
          <w:rFonts w:hint="eastAsia" w:ascii="宋体" w:hAnsi="宋体" w:eastAsia="宋体" w:cs="宋体"/>
          <w:szCs w:val="21"/>
          <w:u w:val="single"/>
        </w:rPr>
        <w:t xml:space="preserve">        </w:t>
      </w:r>
    </w:p>
    <w:p w14:paraId="7B29971A">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Cs w:val="21"/>
        </w:rPr>
      </w:pPr>
      <w:r>
        <w:rPr>
          <w:rFonts w:hint="eastAsia" w:ascii="宋体" w:hAnsi="宋体" w:eastAsia="宋体" w:cs="宋体"/>
          <w:szCs w:val="21"/>
          <w:u w:val="single"/>
        </w:rPr>
        <w:t xml:space="preserve">                 </w:t>
      </w:r>
      <w:r>
        <w:rPr>
          <w:rFonts w:hint="eastAsia" w:ascii="宋体" w:hAnsi="宋体" w:eastAsia="宋体" w:cs="宋体"/>
          <w:szCs w:val="21"/>
        </w:rPr>
        <w:t>特此证明。</w:t>
      </w:r>
    </w:p>
    <w:p w14:paraId="444295CA">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szCs w:val="21"/>
        </w:rPr>
      </w:pPr>
      <w:r>
        <w:rPr>
          <w:rFonts w:hint="eastAsia"/>
          <w:szCs w:val="21"/>
        </w:rPr>
        <w:t xml:space="preserve">         </w:t>
      </w:r>
    </w:p>
    <w:p w14:paraId="1F967E81">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Cs w:val="21"/>
        </w:rPr>
      </w:pPr>
      <w:r>
        <w:rPr>
          <w:rFonts w:hint="eastAsia" w:ascii="宋体" w:hAnsi="宋体" w:eastAsia="宋体" w:cs="宋体"/>
          <w:szCs w:val="21"/>
        </w:rPr>
        <w:t>说明：</w:t>
      </w:r>
    </w:p>
    <w:p w14:paraId="34FC7895">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Cs w:val="21"/>
        </w:rPr>
      </w:pPr>
      <w:r>
        <w:rPr>
          <w:rFonts w:hint="eastAsia" w:ascii="宋体" w:hAnsi="宋体" w:eastAsia="宋体" w:cs="宋体"/>
          <w:szCs w:val="21"/>
        </w:rPr>
        <w:t>1、法定代表人为投标人（企业事业单位、国家机关、社会团体）的主要行政负责人。</w:t>
      </w:r>
    </w:p>
    <w:p w14:paraId="5D3B7168">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Cs w:val="21"/>
        </w:rPr>
      </w:pPr>
      <w:r>
        <w:rPr>
          <w:rFonts w:hint="eastAsia" w:ascii="宋体" w:hAnsi="宋体" w:eastAsia="宋体" w:cs="宋体"/>
          <w:szCs w:val="21"/>
        </w:rPr>
        <w:t xml:space="preserve">2、本证明书要求投标供应商同时提供法定代表人（负责人）的身份证扫描件（正反两面）作为附件方为有效。    </w:t>
      </w:r>
    </w:p>
    <w:p w14:paraId="25402E24">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Cs w:val="21"/>
        </w:rPr>
      </w:pPr>
      <w:r>
        <w:rPr>
          <w:rFonts w:hint="eastAsia" w:ascii="宋体" w:hAnsi="宋体" w:eastAsia="宋体" w:cs="宋体"/>
          <w:szCs w:val="21"/>
        </w:rPr>
        <w:t>3、本项目投标授权代表为法定代表人（负责人）的，无需提供《投标文件签署授权委托书》。</w:t>
      </w:r>
    </w:p>
    <w:p w14:paraId="2E1EC75E">
      <w:pPr>
        <w:keepNext w:val="0"/>
        <w:keepLines w:val="0"/>
        <w:pageBreakBefore w:val="0"/>
        <w:widowControl/>
        <w:kinsoku/>
        <w:wordWrap/>
        <w:overflowPunct/>
        <w:topLinePunct w:val="0"/>
        <w:autoSpaceDE/>
        <w:autoSpaceDN/>
        <w:bidi w:val="0"/>
        <w:adjustRightInd/>
        <w:snapToGrid/>
        <w:ind w:firstLine="480" w:firstLineChars="200"/>
        <w:textAlignment w:val="auto"/>
        <w:rPr>
          <w:sz w:val="24"/>
        </w:rPr>
      </w:pPr>
      <w:r>
        <w:rPr>
          <w:rFonts w:hint="eastAsia" w:ascii="宋体" w:hAnsi="宋体" w:eastAsia="宋体" w:cs="宋体"/>
          <w:szCs w:val="21"/>
        </w:rPr>
        <w:t>4、内容必须填写真实、清楚，涂改无效，不得转让、买</w:t>
      </w:r>
      <w:r>
        <w:rPr>
          <w:rFonts w:hint="eastAsia"/>
          <w:szCs w:val="21"/>
        </w:rPr>
        <w:t>卖。</w:t>
      </w:r>
    </w:p>
    <w:p w14:paraId="724389DB">
      <w:pPr>
        <w:spacing w:line="360" w:lineRule="auto"/>
        <w:rPr>
          <w:b/>
          <w:szCs w:val="21"/>
        </w:rPr>
      </w:pPr>
    </w:p>
    <w:p w14:paraId="576FCB18">
      <w:pPr>
        <w:spacing w:line="360" w:lineRule="auto"/>
        <w:rPr>
          <w:b/>
          <w:sz w:val="32"/>
          <w:szCs w:val="32"/>
        </w:rPr>
      </w:pPr>
      <w:r>
        <w:rPr>
          <w:rFonts w:hint="eastAsia"/>
          <w:b/>
          <w:sz w:val="32"/>
          <w:szCs w:val="32"/>
        </w:rPr>
        <w:t>附：</w:t>
      </w:r>
      <w:r>
        <w:rPr>
          <w:rFonts w:hint="eastAsia" w:eastAsia="宋体"/>
          <w:b/>
          <w:sz w:val="32"/>
          <w:szCs w:val="32"/>
          <w:lang w:val="en-US" w:eastAsia="zh-CN"/>
        </w:rPr>
        <w:t>1.</w:t>
      </w:r>
      <w:r>
        <w:rPr>
          <w:rFonts w:hint="eastAsia"/>
          <w:b/>
          <w:sz w:val="32"/>
          <w:szCs w:val="32"/>
        </w:rPr>
        <w:t>要求必须提供法定代表人（负责人）身份证（境外人员无法提供身份证的，可提供护照）扫描件（正反两面）。</w:t>
      </w:r>
    </w:p>
    <w:p w14:paraId="147FF5BD">
      <w:pPr>
        <w:spacing w:line="360" w:lineRule="auto"/>
        <w:rPr>
          <w:rFonts w:hint="eastAsia" w:ascii="Times New Roman" w:hAnsi="Times New Roman" w:eastAsia="Times New Roman" w:cs="Times New Roman"/>
          <w:b/>
          <w:sz w:val="32"/>
          <w:szCs w:val="32"/>
          <w:lang w:eastAsia="zh-CN"/>
        </w:rPr>
      </w:pPr>
      <w:r>
        <w:rPr>
          <w:rFonts w:hint="eastAsia" w:ascii="Times New Roman" w:hAnsi="Times New Roman" w:eastAsia="Times New Roman" w:cs="Times New Roman"/>
          <w:b/>
          <w:sz w:val="32"/>
          <w:szCs w:val="32"/>
          <w:lang w:val="en-US" w:eastAsia="zh-CN"/>
        </w:rPr>
        <w:t>2.</w:t>
      </w:r>
      <w:r>
        <w:rPr>
          <w:rFonts w:hint="eastAsia" w:ascii="Times New Roman" w:hAnsi="Times New Roman" w:eastAsia="Times New Roman" w:cs="Times New Roman"/>
          <w:b/>
          <w:sz w:val="32"/>
          <w:szCs w:val="32"/>
        </w:rPr>
        <w:t>提供近</w:t>
      </w:r>
      <w:r>
        <w:rPr>
          <w:rFonts w:hint="eastAsia" w:ascii="Times New Roman" w:hAnsi="Times New Roman" w:eastAsia="Times New Roman" w:cs="Times New Roman"/>
          <w:b/>
          <w:sz w:val="32"/>
          <w:szCs w:val="32"/>
          <w:lang w:val="en-US" w:eastAsia="zh-CN"/>
        </w:rPr>
        <w:t>一</w:t>
      </w:r>
      <w:r>
        <w:rPr>
          <w:rFonts w:hint="eastAsia" w:ascii="Times New Roman" w:hAnsi="Times New Roman" w:eastAsia="Times New Roman" w:cs="Times New Roman"/>
          <w:b/>
          <w:sz w:val="32"/>
          <w:szCs w:val="32"/>
        </w:rPr>
        <w:t>个月社保缴纳查询记录(包含在投标单位及其他缴纳社保单位的记录</w:t>
      </w:r>
      <w:r>
        <w:rPr>
          <w:rFonts w:hint="eastAsia" w:ascii="Times New Roman" w:hAnsi="Times New Roman" w:eastAsia="Times New Roman" w:cs="Times New Roman"/>
          <w:b/>
          <w:sz w:val="32"/>
          <w:szCs w:val="32"/>
          <w:lang w:eastAsia="zh-CN"/>
        </w:rPr>
        <w:t>，如开标日上一个月的社保材料因社保部门原因暂时无法取得，则可以往前顺延一个月</w:t>
      </w:r>
      <w:r>
        <w:rPr>
          <w:rFonts w:hint="eastAsia" w:ascii="Times New Roman" w:hAnsi="Times New Roman" w:eastAsia="Times New Roman" w:cs="Times New Roman"/>
          <w:b/>
          <w:sz w:val="32"/>
          <w:szCs w:val="32"/>
        </w:rPr>
        <w:t>)；因社保部门</w:t>
      </w:r>
      <w:r>
        <w:rPr>
          <w:rFonts w:hint="eastAsia" w:ascii="Times New Roman" w:hAnsi="Times New Roman" w:eastAsia="Times New Roman" w:cs="Times New Roman"/>
          <w:b/>
          <w:sz w:val="32"/>
          <w:szCs w:val="32"/>
          <w:lang w:eastAsia="zh-CN"/>
        </w:rPr>
        <w:t>、</w:t>
      </w:r>
      <w:r>
        <w:rPr>
          <w:rFonts w:hint="eastAsia" w:ascii="Times New Roman" w:hAnsi="Times New Roman" w:eastAsia="Times New Roman" w:cs="Times New Roman"/>
          <w:b/>
          <w:sz w:val="32"/>
          <w:szCs w:val="32"/>
          <w:lang w:val="en-US" w:eastAsia="zh-CN"/>
        </w:rPr>
        <w:t>成立年限等</w:t>
      </w:r>
      <w:r>
        <w:rPr>
          <w:rFonts w:hint="eastAsia" w:ascii="Times New Roman" w:hAnsi="Times New Roman" w:eastAsia="Times New Roman" w:cs="Times New Roman"/>
          <w:b/>
          <w:sz w:val="32"/>
          <w:szCs w:val="32"/>
        </w:rPr>
        <w:t>原因暂时无法提供社保证明的，需提供加盖公章的情况说明或者证明材料。如为退休返聘人员则提供劳动合同或返聘协议扫描件</w:t>
      </w:r>
      <w:r>
        <w:rPr>
          <w:rFonts w:hint="eastAsia" w:ascii="Times New Roman" w:hAnsi="Times New Roman" w:eastAsia="Times New Roman" w:cs="Times New Roman"/>
          <w:b/>
          <w:sz w:val="32"/>
          <w:szCs w:val="32"/>
          <w:lang w:eastAsia="zh-CN"/>
        </w:rPr>
        <w:t>。</w:t>
      </w:r>
    </w:p>
    <w:p w14:paraId="6D7646C9">
      <w:pPr>
        <w:pStyle w:val="6"/>
        <w:spacing w:before="120" w:after="120"/>
        <w:jc w:val="left"/>
        <w:rPr>
          <w:rFonts w:ascii="黑体" w:eastAsia="黑体"/>
          <w:bCs w:val="0"/>
          <w:color w:val="FF0000"/>
          <w:sz w:val="24"/>
        </w:rPr>
      </w:pPr>
      <w:r>
        <w:rPr>
          <w:rFonts w:hint="eastAsia" w:ascii="黑体" w:eastAsia="黑体"/>
          <w:bCs w:val="0"/>
          <w:color w:val="FF0000"/>
          <w:sz w:val="24"/>
        </w:rPr>
        <w:t>温馨提示:为避免出现《深圳经济特区政府采购条例实施细则》第七十五条第二项所列情形，请投标供应商核实你单位法定代表人、本项目投标授权代表人、项目负责人(如有)、主要技术人员(如有)等是否在你公司缴纳社会保险。”</w:t>
      </w:r>
    </w:p>
    <w:p w14:paraId="0AE0F0A7">
      <w:pPr>
        <w:spacing w:line="360" w:lineRule="exact"/>
        <w:jc w:val="center"/>
        <w:rPr>
          <w:bCs/>
          <w:sz w:val="22"/>
        </w:rPr>
      </w:pPr>
      <w:r>
        <w:rPr>
          <w:bCs/>
          <w:sz w:val="22"/>
        </w:rPr>
        <w:br w:type="page"/>
      </w:r>
      <w:r>
        <w:rPr>
          <w:rFonts w:hint="eastAsia" w:cs="宋体"/>
          <w:b/>
          <w:bCs/>
          <w:color w:val="FF0000"/>
          <w:sz w:val="28"/>
          <w:szCs w:val="28"/>
        </w:rPr>
        <w:t>法定代表人近</w:t>
      </w:r>
      <w:r>
        <w:rPr>
          <w:rFonts w:hint="eastAsia" w:cs="宋体"/>
          <w:b/>
          <w:bCs/>
          <w:color w:val="FF0000"/>
          <w:sz w:val="28"/>
          <w:szCs w:val="28"/>
          <w:lang w:val="en-US" w:eastAsia="zh-CN"/>
        </w:rPr>
        <w:t>一</w:t>
      </w:r>
      <w:r>
        <w:rPr>
          <w:rFonts w:hint="eastAsia" w:cs="宋体"/>
          <w:b/>
          <w:bCs/>
          <w:color w:val="FF0000"/>
          <w:sz w:val="28"/>
          <w:szCs w:val="28"/>
        </w:rPr>
        <w:t>个月社保缴纳查询记录</w:t>
      </w:r>
    </w:p>
    <w:p w14:paraId="4053B91A">
      <w:pPr>
        <w:spacing w:line="360" w:lineRule="exact"/>
        <w:ind w:firstLine="660" w:firstLineChars="300"/>
        <w:rPr>
          <w:bCs/>
          <w:sz w:val="22"/>
        </w:rPr>
      </w:pPr>
    </w:p>
    <w:p w14:paraId="00CF82D4">
      <w:pPr>
        <w:pStyle w:val="5"/>
        <w:keepNext w:val="0"/>
        <w:keepLines w:val="0"/>
        <w:pageBreakBefore w:val="0"/>
        <w:widowControl w:val="0"/>
        <w:kinsoku/>
        <w:wordWrap/>
        <w:overflowPunct/>
        <w:topLinePunct w:val="0"/>
        <w:autoSpaceDE/>
        <w:autoSpaceDN/>
        <w:bidi w:val="0"/>
        <w:adjustRightInd w:val="0"/>
        <w:snapToGrid/>
        <w:spacing w:line="360" w:lineRule="exact"/>
        <w:ind w:firstLine="422" w:firstLineChars="200"/>
        <w:jc w:val="left"/>
        <w:textAlignment w:val="baseline"/>
        <w:rPr>
          <w:bCs/>
          <w:color w:val="000000"/>
          <w:sz w:val="21"/>
          <w:szCs w:val="21"/>
        </w:rPr>
      </w:pPr>
      <w:r>
        <w:rPr>
          <w:rFonts w:hint="eastAsia" w:ascii="宋体" w:hAnsi="宋体" w:eastAsia="宋体" w:cs="宋体"/>
          <w:b/>
          <w:bCs/>
          <w:color w:val="000000"/>
          <w:sz w:val="21"/>
          <w:szCs w:val="21"/>
          <w:highlight w:val="none"/>
        </w:rPr>
        <w:t>(说明:投标授权代表人社保证明文件仅做为核查供应商是否存在《深圳经济特区政府采购条例实施细则》第七十九条规定的“项目投标授权代表人不得在同一单位或者在同一单位缴纳社会保险”的情形，该证明文件不做为废标条款。投标供应商应知悉《深圳经济特区政府采购条例实施细则》第七十九条的规定，如供应商未提供投标授权代表人社保证明文件，且出现“项目投标授权代表人在同一单位或者在同一单位缴纳社会保险”情形的，投标供应商应承担相应的法律责任。)</w:t>
      </w:r>
    </w:p>
    <w:p w14:paraId="6EFE8FBC">
      <w:pPr>
        <w:rPr>
          <w:b/>
          <w:sz w:val="32"/>
          <w:szCs w:val="32"/>
        </w:rPr>
      </w:pPr>
      <w:r>
        <w:rPr>
          <w:b/>
          <w:sz w:val="32"/>
          <w:szCs w:val="32"/>
        </w:rPr>
        <w:br w:type="page"/>
      </w:r>
    </w:p>
    <w:p w14:paraId="4A891949">
      <w:pPr>
        <w:spacing w:line="360" w:lineRule="auto"/>
        <w:rPr>
          <w:b/>
          <w:sz w:val="32"/>
          <w:szCs w:val="32"/>
        </w:rPr>
      </w:pPr>
    </w:p>
    <w:p w14:paraId="1256C1D3">
      <w:pPr>
        <w:pStyle w:val="6"/>
        <w:numPr>
          <w:ilvl w:val="0"/>
          <w:numId w:val="6"/>
        </w:numPr>
        <w:ind w:left="0" w:leftChars="0" w:firstLine="420" w:firstLineChars="0"/>
        <w:jc w:val="center"/>
        <w:rPr>
          <w:rFonts w:ascii="黑体" w:eastAsia="黑体"/>
          <w:b w:val="0"/>
          <w:sz w:val="24"/>
        </w:rPr>
      </w:pPr>
      <w:r>
        <w:rPr>
          <w:rFonts w:hint="eastAsia" w:ascii="黑体" w:eastAsia="黑体"/>
          <w:b w:val="0"/>
          <w:sz w:val="24"/>
        </w:rPr>
        <w:t>投标文件签署授权委托书</w:t>
      </w:r>
    </w:p>
    <w:p w14:paraId="4F33B770">
      <w:pPr>
        <w:spacing w:line="360" w:lineRule="auto"/>
        <w:ind w:firstLine="480" w:firstLineChars="200"/>
        <w:rPr>
          <w:rFonts w:hint="eastAsia" w:ascii="宋体" w:hAnsi="宋体" w:eastAsia="宋体" w:cs="宋体"/>
          <w:szCs w:val="21"/>
        </w:rPr>
      </w:pPr>
      <w:r>
        <w:rPr>
          <w:rFonts w:hint="eastAsia" w:ascii="宋体" w:hAnsi="宋体" w:eastAsia="宋体" w:cs="宋体"/>
          <w:szCs w:val="21"/>
        </w:rPr>
        <w:t>本授权委托书声明：我</w:t>
      </w:r>
      <w:r>
        <w:rPr>
          <w:rFonts w:hint="eastAsia" w:ascii="宋体" w:hAnsi="宋体" w:eastAsia="宋体" w:cs="宋体"/>
          <w:szCs w:val="21"/>
          <w:u w:val="single"/>
        </w:rPr>
        <w:t xml:space="preserve">           </w:t>
      </w:r>
      <w:r>
        <w:rPr>
          <w:rFonts w:hint="eastAsia" w:ascii="宋体" w:hAnsi="宋体" w:eastAsia="宋体" w:cs="宋体"/>
          <w:szCs w:val="21"/>
        </w:rPr>
        <w:t>（姓名）系</w:t>
      </w:r>
      <w:r>
        <w:rPr>
          <w:rFonts w:hint="eastAsia" w:ascii="宋体" w:hAnsi="宋体" w:eastAsia="宋体" w:cs="宋体"/>
          <w:szCs w:val="21"/>
          <w:u w:val="single"/>
        </w:rPr>
        <w:t xml:space="preserve">             </w:t>
      </w:r>
      <w:r>
        <w:rPr>
          <w:rFonts w:hint="eastAsia" w:ascii="宋体" w:hAnsi="宋体" w:eastAsia="宋体" w:cs="宋体"/>
          <w:szCs w:val="21"/>
        </w:rPr>
        <w:t>（投标人名称）的法定代表人（负责人），现授权委托</w:t>
      </w:r>
      <w:r>
        <w:rPr>
          <w:rFonts w:hint="eastAsia" w:ascii="宋体" w:hAnsi="宋体" w:eastAsia="宋体" w:cs="宋体"/>
          <w:szCs w:val="21"/>
          <w:u w:val="single"/>
        </w:rPr>
        <w:t xml:space="preserve">            </w:t>
      </w:r>
      <w:r>
        <w:rPr>
          <w:rFonts w:hint="eastAsia" w:ascii="宋体" w:hAnsi="宋体" w:eastAsia="宋体" w:cs="宋体"/>
          <w:szCs w:val="21"/>
        </w:rPr>
        <w:t>（姓名）为我单位签署本项目已递交的投标文件的法定代表人（负责人）的授权委托代理人，代理人全权代表我所签署的本项目已递交的投标文件内容我均承认。</w:t>
      </w:r>
    </w:p>
    <w:p w14:paraId="408E803B">
      <w:pPr>
        <w:pStyle w:val="8"/>
        <w:spacing w:line="360" w:lineRule="auto"/>
        <w:rPr>
          <w:rFonts w:hint="eastAsia" w:ascii="宋体" w:hAnsi="宋体" w:eastAsia="宋体" w:cs="宋体"/>
          <w:szCs w:val="21"/>
        </w:rPr>
      </w:pPr>
      <w:r>
        <w:rPr>
          <w:rFonts w:hint="eastAsia" w:ascii="宋体" w:hAnsi="宋体" w:eastAsia="宋体" w:cs="宋体"/>
          <w:szCs w:val="21"/>
        </w:rPr>
        <w:t>代理人无转委托权，特此委托。</w:t>
      </w:r>
    </w:p>
    <w:p w14:paraId="5AA00AFE">
      <w:pPr>
        <w:pStyle w:val="8"/>
        <w:spacing w:line="360" w:lineRule="auto"/>
        <w:rPr>
          <w:szCs w:val="21"/>
        </w:rPr>
      </w:pPr>
    </w:p>
    <w:p w14:paraId="6DA9EDBC">
      <w:pPr>
        <w:spacing w:line="360" w:lineRule="auto"/>
        <w:ind w:left="617" w:leftChars="257"/>
        <w:rPr>
          <w:szCs w:val="21"/>
          <w:u w:val="single"/>
        </w:rPr>
      </w:pPr>
      <w:r>
        <w:rPr>
          <w:rFonts w:hint="eastAsia" w:ascii="宋体" w:hAnsi="宋体" w:eastAsia="宋体" w:cs="宋体"/>
          <w:szCs w:val="21"/>
        </w:rPr>
        <w:t>代理人：</w:t>
      </w:r>
    </w:p>
    <w:p w14:paraId="77CBD0E9">
      <w:pPr>
        <w:spacing w:line="360" w:lineRule="auto"/>
        <w:ind w:left="617" w:leftChars="257"/>
        <w:rPr>
          <w:szCs w:val="21"/>
        </w:rPr>
      </w:pPr>
      <w:r>
        <w:rPr>
          <w:rFonts w:hint="eastAsia" w:ascii="宋体" w:hAnsi="宋体" w:eastAsia="宋体" w:cs="宋体"/>
          <w:szCs w:val="21"/>
        </w:rPr>
        <w:t>联系电话：</w:t>
      </w:r>
    </w:p>
    <w:p w14:paraId="0449F623">
      <w:pPr>
        <w:spacing w:line="360" w:lineRule="auto"/>
        <w:ind w:left="617" w:leftChars="257"/>
        <w:rPr>
          <w:szCs w:val="21"/>
        </w:rPr>
      </w:pPr>
      <w:r>
        <w:rPr>
          <w:rFonts w:hint="eastAsia" w:ascii="宋体" w:hAnsi="宋体" w:eastAsia="宋体" w:cs="宋体"/>
          <w:szCs w:val="21"/>
        </w:rPr>
        <w:t>手机：</w:t>
      </w:r>
    </w:p>
    <w:p w14:paraId="36A26D30">
      <w:pPr>
        <w:spacing w:line="360" w:lineRule="auto"/>
        <w:ind w:left="617" w:leftChars="257"/>
        <w:rPr>
          <w:rFonts w:eastAsia="宋体"/>
          <w:szCs w:val="21"/>
        </w:rPr>
      </w:pPr>
      <w:r>
        <w:rPr>
          <w:rFonts w:hint="eastAsia" w:eastAsia="宋体"/>
          <w:szCs w:val="21"/>
        </w:rPr>
        <w:t>邮箱：</w:t>
      </w:r>
    </w:p>
    <w:p w14:paraId="3F333291">
      <w:pPr>
        <w:spacing w:line="360" w:lineRule="auto"/>
        <w:ind w:left="617" w:leftChars="257"/>
        <w:rPr>
          <w:szCs w:val="21"/>
        </w:rPr>
      </w:pPr>
      <w:r>
        <w:rPr>
          <w:rFonts w:hint="eastAsia" w:ascii="宋体" w:hAnsi="宋体" w:eastAsia="宋体" w:cs="宋体"/>
          <w:szCs w:val="21"/>
        </w:rPr>
        <w:t>身份证号码：</w:t>
      </w:r>
    </w:p>
    <w:p w14:paraId="157688D0">
      <w:pPr>
        <w:spacing w:line="360" w:lineRule="auto"/>
        <w:ind w:left="617" w:leftChars="257"/>
        <w:rPr>
          <w:szCs w:val="21"/>
          <w:u w:val="single"/>
        </w:rPr>
      </w:pPr>
      <w:r>
        <w:rPr>
          <w:rFonts w:hint="eastAsia" w:ascii="宋体" w:hAnsi="宋体" w:eastAsia="宋体" w:cs="宋体"/>
          <w:szCs w:val="21"/>
        </w:rPr>
        <w:t>职务：</w:t>
      </w:r>
    </w:p>
    <w:p w14:paraId="512B3CE8">
      <w:pPr>
        <w:spacing w:line="360" w:lineRule="auto"/>
        <w:ind w:left="617" w:leftChars="257"/>
        <w:rPr>
          <w:rFonts w:eastAsiaTheme="minorEastAsia"/>
          <w:szCs w:val="21"/>
        </w:rPr>
      </w:pPr>
      <w:r>
        <w:rPr>
          <w:rFonts w:hint="eastAsia" w:ascii="宋体" w:hAnsi="宋体" w:eastAsia="宋体" w:cs="宋体"/>
          <w:szCs w:val="21"/>
        </w:rPr>
        <w:t>授权委托日期：年月日</w:t>
      </w:r>
    </w:p>
    <w:p w14:paraId="50DB7BAF">
      <w:pPr>
        <w:spacing w:line="360" w:lineRule="auto"/>
        <w:rPr>
          <w:b/>
          <w:sz w:val="32"/>
          <w:szCs w:val="32"/>
        </w:rPr>
      </w:pPr>
    </w:p>
    <w:p w14:paraId="1108ECA5">
      <w:pPr>
        <w:spacing w:line="360" w:lineRule="auto"/>
        <w:rPr>
          <w:rFonts w:hint="eastAsia" w:ascii="Times New Roman" w:hAnsi="Times New Roman" w:eastAsia="Times New Roman" w:cs="Times New Roman"/>
          <w:b/>
          <w:sz w:val="32"/>
          <w:szCs w:val="32"/>
        </w:rPr>
      </w:pPr>
      <w:r>
        <w:rPr>
          <w:rFonts w:hint="eastAsia" w:ascii="Times New Roman" w:hAnsi="Times New Roman" w:eastAsia="Times New Roman" w:cs="Times New Roman"/>
          <w:b/>
          <w:sz w:val="32"/>
          <w:szCs w:val="32"/>
        </w:rPr>
        <w:t>附：</w:t>
      </w:r>
      <w:r>
        <w:rPr>
          <w:rFonts w:hint="eastAsia" w:eastAsia="宋体" w:cs="Times New Roman"/>
          <w:b/>
          <w:sz w:val="32"/>
          <w:szCs w:val="32"/>
          <w:lang w:val="en-US" w:eastAsia="zh-CN"/>
        </w:rPr>
        <w:t>1.</w:t>
      </w:r>
      <w:r>
        <w:rPr>
          <w:rFonts w:hint="eastAsia" w:ascii="Times New Roman" w:hAnsi="Times New Roman" w:eastAsia="Times New Roman" w:cs="Times New Roman"/>
          <w:b/>
          <w:sz w:val="32"/>
          <w:szCs w:val="32"/>
        </w:rPr>
        <w:t>要求必须提供代理人身份证（境外人员无法提供身份证的，可提供护照）扫描件（正反两面）。</w:t>
      </w:r>
    </w:p>
    <w:p w14:paraId="53573772">
      <w:pPr>
        <w:pStyle w:val="6"/>
        <w:numPr>
          <w:ilvl w:val="0"/>
          <w:numId w:val="7"/>
        </w:numPr>
        <w:spacing w:before="120" w:after="120"/>
        <w:jc w:val="left"/>
        <w:rPr>
          <w:rFonts w:hint="eastAsia" w:ascii="Times New Roman" w:hAnsi="Times New Roman" w:eastAsia="Times New Roman" w:cs="Times New Roman"/>
          <w:b/>
          <w:sz w:val="32"/>
          <w:szCs w:val="32"/>
          <w:lang w:eastAsia="zh-CN"/>
        </w:rPr>
      </w:pPr>
      <w:r>
        <w:rPr>
          <w:rFonts w:hint="eastAsia" w:ascii="Times New Roman" w:hAnsi="Times New Roman" w:eastAsia="Times New Roman" w:cs="Times New Roman"/>
          <w:b/>
          <w:sz w:val="32"/>
          <w:szCs w:val="32"/>
        </w:rPr>
        <w:t>提供近</w:t>
      </w:r>
      <w:r>
        <w:rPr>
          <w:rFonts w:hint="eastAsia" w:ascii="Times New Roman" w:hAnsi="Times New Roman" w:eastAsia="Times New Roman" w:cs="Times New Roman"/>
          <w:b/>
          <w:sz w:val="32"/>
          <w:szCs w:val="32"/>
          <w:lang w:val="en-US" w:eastAsia="zh-CN"/>
        </w:rPr>
        <w:t>一</w:t>
      </w:r>
      <w:r>
        <w:rPr>
          <w:rFonts w:hint="eastAsia" w:ascii="Times New Roman" w:hAnsi="Times New Roman" w:eastAsia="Times New Roman" w:cs="Times New Roman"/>
          <w:b/>
          <w:sz w:val="32"/>
          <w:szCs w:val="32"/>
        </w:rPr>
        <w:t>个月社保缴纳查询记录(包含在投标单位及其他缴纳社保单位的记录</w:t>
      </w:r>
      <w:r>
        <w:rPr>
          <w:rFonts w:hint="eastAsia" w:ascii="Times New Roman" w:hAnsi="Times New Roman" w:eastAsia="Times New Roman" w:cs="Times New Roman"/>
          <w:b/>
          <w:sz w:val="32"/>
          <w:szCs w:val="32"/>
          <w:lang w:eastAsia="zh-CN"/>
        </w:rPr>
        <w:t>，如开标日上一个月的社保材料因社保部门原因暂时无法取得，则可以往前顺延一个月</w:t>
      </w:r>
      <w:r>
        <w:rPr>
          <w:rFonts w:hint="eastAsia" w:ascii="Times New Roman" w:hAnsi="Times New Roman" w:eastAsia="Times New Roman" w:cs="Times New Roman"/>
          <w:b/>
          <w:sz w:val="32"/>
          <w:szCs w:val="32"/>
        </w:rPr>
        <w:t>)；因社保部门</w:t>
      </w:r>
      <w:r>
        <w:rPr>
          <w:rFonts w:hint="eastAsia" w:ascii="Times New Roman" w:hAnsi="Times New Roman" w:eastAsia="Times New Roman" w:cs="Times New Roman"/>
          <w:b/>
          <w:sz w:val="32"/>
          <w:szCs w:val="32"/>
          <w:lang w:eastAsia="zh-CN"/>
        </w:rPr>
        <w:t>、</w:t>
      </w:r>
      <w:r>
        <w:rPr>
          <w:rFonts w:hint="eastAsia" w:ascii="Times New Roman" w:hAnsi="Times New Roman" w:eastAsia="Times New Roman" w:cs="Times New Roman"/>
          <w:b/>
          <w:sz w:val="32"/>
          <w:szCs w:val="32"/>
          <w:lang w:val="en-US" w:eastAsia="zh-CN"/>
        </w:rPr>
        <w:t>成立年限等</w:t>
      </w:r>
      <w:r>
        <w:rPr>
          <w:rFonts w:hint="eastAsia" w:ascii="Times New Roman" w:hAnsi="Times New Roman" w:eastAsia="Times New Roman" w:cs="Times New Roman"/>
          <w:b/>
          <w:sz w:val="32"/>
          <w:szCs w:val="32"/>
        </w:rPr>
        <w:t>原因暂时无法提供社保证明的，需提供加盖公章的情况说明或者证明材料。如为退休返聘人员则提供劳动合同或返聘协议扫描件</w:t>
      </w:r>
      <w:r>
        <w:rPr>
          <w:rFonts w:hint="eastAsia" w:ascii="Times New Roman" w:hAnsi="Times New Roman" w:eastAsia="Times New Roman" w:cs="Times New Roman"/>
          <w:b/>
          <w:sz w:val="32"/>
          <w:szCs w:val="32"/>
          <w:lang w:eastAsia="zh-CN"/>
        </w:rPr>
        <w:t>。</w:t>
      </w:r>
    </w:p>
    <w:p w14:paraId="670B20D3">
      <w:pPr>
        <w:pStyle w:val="6"/>
        <w:numPr>
          <w:ilvl w:val="0"/>
          <w:numId w:val="0"/>
        </w:numPr>
        <w:spacing w:before="120" w:after="120"/>
        <w:jc w:val="left"/>
        <w:rPr>
          <w:rFonts w:hint="eastAsia" w:ascii="黑体" w:eastAsia="黑体"/>
          <w:bCs w:val="0"/>
          <w:color w:val="FF0000"/>
          <w:sz w:val="24"/>
        </w:rPr>
      </w:pPr>
    </w:p>
    <w:p w14:paraId="1F5C0C5E">
      <w:pPr>
        <w:pStyle w:val="6"/>
        <w:numPr>
          <w:ilvl w:val="0"/>
          <w:numId w:val="0"/>
        </w:numPr>
        <w:spacing w:before="120" w:after="120"/>
        <w:jc w:val="left"/>
        <w:rPr>
          <w:rFonts w:hint="eastAsia" w:ascii="Times New Roman" w:hAnsi="Times New Roman" w:eastAsia="Times New Roman" w:cs="Times New Roman"/>
          <w:b/>
          <w:sz w:val="32"/>
          <w:szCs w:val="32"/>
          <w:lang w:eastAsia="zh-CN"/>
        </w:rPr>
      </w:pPr>
      <w:r>
        <w:rPr>
          <w:rFonts w:hint="eastAsia" w:ascii="黑体" w:eastAsia="黑体"/>
          <w:bCs w:val="0"/>
          <w:color w:val="FF0000"/>
          <w:sz w:val="24"/>
        </w:rPr>
        <w:t>温馨提示:为避免出现《深圳经济特区政府采购条例实施细则》第七十五条第二项所列情形，请投标供应商核实你单位法定代表人、本项目投标授权代表人、项目负责人(如有)、主要技术人员(如有)等是否在你公司缴纳社会保险。”</w:t>
      </w:r>
    </w:p>
    <w:p w14:paraId="4E2D871A">
      <w:pPr>
        <w:spacing w:line="360" w:lineRule="exact"/>
        <w:jc w:val="center"/>
        <w:rPr>
          <w:bCs/>
          <w:sz w:val="22"/>
        </w:rPr>
      </w:pPr>
      <w:r>
        <w:rPr>
          <w:bCs/>
          <w:sz w:val="22"/>
        </w:rPr>
        <w:br w:type="page"/>
      </w:r>
      <w:r>
        <w:rPr>
          <w:rFonts w:hint="eastAsia" w:cs="宋体"/>
          <w:b/>
          <w:bCs/>
          <w:color w:val="FF0000"/>
          <w:sz w:val="28"/>
          <w:szCs w:val="28"/>
        </w:rPr>
        <w:t>投标</w:t>
      </w:r>
      <w:r>
        <w:rPr>
          <w:rFonts w:hint="eastAsia" w:cs="宋体"/>
          <w:b/>
          <w:bCs/>
          <w:color w:val="FF0000"/>
          <w:sz w:val="28"/>
          <w:szCs w:val="28"/>
          <w:lang w:val="en-US" w:eastAsia="zh-CN"/>
        </w:rPr>
        <w:t>授权</w:t>
      </w:r>
      <w:r>
        <w:rPr>
          <w:rFonts w:hint="eastAsia" w:cs="宋体"/>
          <w:b/>
          <w:bCs/>
          <w:color w:val="FF0000"/>
          <w:sz w:val="28"/>
          <w:szCs w:val="28"/>
        </w:rPr>
        <w:t>代表近</w:t>
      </w:r>
      <w:r>
        <w:rPr>
          <w:rFonts w:hint="eastAsia" w:cs="宋体"/>
          <w:b/>
          <w:bCs/>
          <w:color w:val="FF0000"/>
          <w:sz w:val="28"/>
          <w:szCs w:val="28"/>
          <w:lang w:val="en-US" w:eastAsia="zh-CN"/>
        </w:rPr>
        <w:t>一</w:t>
      </w:r>
      <w:r>
        <w:rPr>
          <w:rFonts w:hint="eastAsia" w:cs="宋体"/>
          <w:b/>
          <w:bCs/>
          <w:color w:val="FF0000"/>
          <w:sz w:val="28"/>
          <w:szCs w:val="28"/>
        </w:rPr>
        <w:t>个月社保缴纳查询记录</w:t>
      </w:r>
    </w:p>
    <w:p w14:paraId="07B3B277">
      <w:pPr>
        <w:spacing w:line="360" w:lineRule="exact"/>
        <w:ind w:firstLine="660" w:firstLineChars="300"/>
        <w:rPr>
          <w:bCs/>
          <w:sz w:val="22"/>
        </w:rPr>
      </w:pPr>
    </w:p>
    <w:p w14:paraId="595893AF">
      <w:pPr>
        <w:pStyle w:val="5"/>
        <w:keepNext w:val="0"/>
        <w:keepLines w:val="0"/>
        <w:pageBreakBefore w:val="0"/>
        <w:widowControl w:val="0"/>
        <w:kinsoku/>
        <w:wordWrap/>
        <w:overflowPunct/>
        <w:topLinePunct w:val="0"/>
        <w:autoSpaceDE/>
        <w:autoSpaceDN/>
        <w:bidi w:val="0"/>
        <w:adjustRightInd w:val="0"/>
        <w:snapToGrid/>
        <w:spacing w:line="360" w:lineRule="exact"/>
        <w:ind w:firstLine="422" w:firstLineChars="200"/>
        <w:jc w:val="left"/>
        <w:textAlignment w:val="baseline"/>
        <w:rPr>
          <w:bCs/>
          <w:color w:val="000000"/>
          <w:sz w:val="21"/>
          <w:szCs w:val="21"/>
        </w:rPr>
      </w:pPr>
      <w:r>
        <w:rPr>
          <w:rFonts w:hint="eastAsia" w:ascii="宋体" w:hAnsi="宋体" w:eastAsia="宋体" w:cs="宋体"/>
          <w:b/>
          <w:bCs/>
          <w:color w:val="000000"/>
          <w:sz w:val="21"/>
          <w:szCs w:val="21"/>
          <w:highlight w:val="none"/>
        </w:rPr>
        <w:t>(说明:投标授权代表人社保证明文件仅做为核查供应商是否存在《深圳经济特区政府采购条例实施细则》第七十九条规定的“项目投标授权代表人不得在同一单位或者在同一单位缴纳社会保险”的情形，该证明文件不做为废标条款。投标供应商应知悉《深圳经济特区政府采购条例实施细则》第七十九条的规定，如供应商未提供投标授权代表人社保证明文件，且出现“项目投标授权代表人在同一单位或者在同一单位缴纳社会保险”情形的，投标供应商应承担相应的法律责任。)</w:t>
      </w:r>
    </w:p>
    <w:p w14:paraId="48832FDC">
      <w:pPr>
        <w:spacing w:line="360" w:lineRule="auto"/>
        <w:rPr>
          <w:szCs w:val="21"/>
          <w:u w:val="single"/>
        </w:rPr>
      </w:pPr>
    </w:p>
    <w:p w14:paraId="248AD7C4">
      <w:pPr>
        <w:rPr>
          <w:szCs w:val="21"/>
          <w:u w:val="single"/>
        </w:rPr>
      </w:pPr>
      <w:r>
        <w:rPr>
          <w:szCs w:val="21"/>
          <w:u w:val="single"/>
        </w:rPr>
        <w:br w:type="page"/>
      </w:r>
    </w:p>
    <w:p w14:paraId="40AC3199">
      <w:pPr>
        <w:spacing w:line="360" w:lineRule="auto"/>
        <w:ind w:left="617" w:leftChars="257"/>
        <w:rPr>
          <w:szCs w:val="21"/>
          <w:u w:val="single"/>
        </w:rPr>
      </w:pPr>
    </w:p>
    <w:p w14:paraId="01B7885F">
      <w:pPr>
        <w:pStyle w:val="6"/>
        <w:numPr>
          <w:ilvl w:val="0"/>
          <w:numId w:val="6"/>
        </w:numPr>
        <w:ind w:left="0" w:leftChars="0" w:firstLine="420" w:firstLineChars="0"/>
        <w:jc w:val="center"/>
        <w:rPr>
          <w:rFonts w:ascii="黑体" w:eastAsia="黑体"/>
          <w:b w:val="0"/>
          <w:sz w:val="24"/>
        </w:rPr>
      </w:pPr>
      <w:r>
        <w:rPr>
          <w:rFonts w:hint="eastAsia" w:ascii="黑体" w:eastAsia="黑体"/>
          <w:b w:val="0"/>
          <w:sz w:val="24"/>
        </w:rPr>
        <w:t>实质性条款响应情况表</w:t>
      </w:r>
    </w:p>
    <w:tbl>
      <w:tblPr>
        <w:tblStyle w:val="20"/>
        <w:tblW w:w="74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4790"/>
        <w:gridCol w:w="1984"/>
      </w:tblGrid>
      <w:tr w14:paraId="6430A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tcPr>
          <w:p w14:paraId="3C4BE2D0">
            <w:pPr>
              <w:adjustRightInd w:val="0"/>
              <w:snapToGrid w:val="0"/>
              <w:spacing w:line="360" w:lineRule="auto"/>
              <w:jc w:val="center"/>
              <w:rPr>
                <w:rFonts w:ascii="宋体"/>
                <w:szCs w:val="21"/>
              </w:rPr>
            </w:pPr>
            <w:r>
              <w:rPr>
                <w:rFonts w:hint="eastAsia" w:ascii="宋体" w:hAnsi="宋体"/>
                <w:szCs w:val="21"/>
              </w:rPr>
              <w:t>序号</w:t>
            </w:r>
          </w:p>
        </w:tc>
        <w:tc>
          <w:tcPr>
            <w:tcW w:w="4790" w:type="dxa"/>
          </w:tcPr>
          <w:p w14:paraId="12DED239">
            <w:pPr>
              <w:adjustRightInd w:val="0"/>
              <w:snapToGrid w:val="0"/>
              <w:spacing w:line="360" w:lineRule="auto"/>
              <w:jc w:val="center"/>
              <w:rPr>
                <w:rFonts w:ascii="宋体"/>
                <w:szCs w:val="21"/>
              </w:rPr>
            </w:pPr>
            <w:r>
              <w:rPr>
                <w:rFonts w:hint="eastAsia" w:ascii="宋体" w:hAnsi="宋体"/>
                <w:szCs w:val="21"/>
              </w:rPr>
              <w:t>采购人要求内容</w:t>
            </w:r>
          </w:p>
        </w:tc>
        <w:tc>
          <w:tcPr>
            <w:tcW w:w="1984" w:type="dxa"/>
          </w:tcPr>
          <w:p w14:paraId="21AC2503">
            <w:pPr>
              <w:adjustRightInd w:val="0"/>
              <w:snapToGrid w:val="0"/>
              <w:spacing w:line="360" w:lineRule="auto"/>
              <w:jc w:val="center"/>
              <w:rPr>
                <w:rFonts w:ascii="宋体"/>
                <w:szCs w:val="21"/>
              </w:rPr>
            </w:pPr>
            <w:r>
              <w:rPr>
                <w:rFonts w:hint="eastAsia" w:ascii="宋体" w:hAnsi="宋体"/>
                <w:szCs w:val="21"/>
              </w:rPr>
              <w:t>投标人响应情况</w:t>
            </w:r>
          </w:p>
        </w:tc>
      </w:tr>
      <w:tr w14:paraId="30261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Align w:val="center"/>
          </w:tcPr>
          <w:p w14:paraId="695A41B5">
            <w:pPr>
              <w:adjustRightInd w:val="0"/>
              <w:snapToGrid w:val="0"/>
              <w:spacing w:line="360" w:lineRule="auto"/>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w:t>
            </w:r>
          </w:p>
        </w:tc>
        <w:tc>
          <w:tcPr>
            <w:tcW w:w="4790" w:type="dxa"/>
            <w:vAlign w:val="center"/>
          </w:tcPr>
          <w:p w14:paraId="10E302D5">
            <w:pPr>
              <w:spacing w:line="360" w:lineRule="auto"/>
              <w:jc w:val="center"/>
              <w:rPr>
                <w:rFonts w:hint="eastAsia" w:ascii="宋体" w:hAnsi="宋体" w:eastAsia="宋体" w:cs="宋体"/>
                <w:sz w:val="22"/>
                <w:szCs w:val="22"/>
                <w:highlight w:val="none"/>
                <w:lang w:eastAsia="zh-CN"/>
              </w:rPr>
            </w:pPr>
            <w:r>
              <w:rPr>
                <w:rFonts w:hint="eastAsia" w:ascii="宋体" w:hAnsi="宋体" w:eastAsia="宋体" w:cs="宋体"/>
                <w:sz w:val="22"/>
                <w:szCs w:val="22"/>
                <w:highlight w:val="none"/>
              </w:rPr>
              <w:t>完全满足本项目</w:t>
            </w:r>
            <w:r>
              <w:rPr>
                <w:rFonts w:ascii="宋体" w:hAnsi="宋体" w:eastAsia="宋体" w:cs="Segoe UI Symbol"/>
                <w:b/>
                <w:sz w:val="22"/>
                <w:szCs w:val="22"/>
                <w:highlight w:val="none"/>
              </w:rPr>
              <w:t>★</w:t>
            </w:r>
            <w:r>
              <w:rPr>
                <w:rFonts w:hint="eastAsia" w:ascii="宋体" w:hAnsi="宋体" w:eastAsia="宋体" w:cs="宋体"/>
                <w:sz w:val="22"/>
                <w:szCs w:val="22"/>
                <w:highlight w:val="none"/>
              </w:rPr>
              <w:t>标记条款的要求</w:t>
            </w:r>
            <w:r>
              <w:rPr>
                <w:rFonts w:hint="eastAsia" w:ascii="宋体" w:hAnsi="宋体" w:eastAsia="宋体" w:cs="宋体"/>
                <w:sz w:val="22"/>
                <w:szCs w:val="22"/>
                <w:highlight w:val="none"/>
                <w:lang w:eastAsia="zh-CN"/>
              </w:rPr>
              <w:t>。</w:t>
            </w:r>
          </w:p>
        </w:tc>
        <w:tc>
          <w:tcPr>
            <w:tcW w:w="1984" w:type="dxa"/>
          </w:tcPr>
          <w:p w14:paraId="11F46595">
            <w:pPr>
              <w:adjustRightInd w:val="0"/>
              <w:snapToGrid w:val="0"/>
              <w:spacing w:line="360" w:lineRule="auto"/>
              <w:rPr>
                <w:rFonts w:ascii="宋体"/>
                <w:szCs w:val="21"/>
              </w:rPr>
            </w:pPr>
          </w:p>
        </w:tc>
      </w:tr>
    </w:tbl>
    <w:p w14:paraId="073048DF">
      <w:pPr>
        <w:spacing w:line="360" w:lineRule="auto"/>
        <w:rPr>
          <w:b/>
        </w:rPr>
      </w:pPr>
    </w:p>
    <w:p w14:paraId="7D4F6C58">
      <w:pPr>
        <w:spacing w:line="360" w:lineRule="auto"/>
        <w:rPr>
          <w:b/>
        </w:rPr>
      </w:pPr>
      <w:r>
        <w:rPr>
          <w:rFonts w:hint="eastAsia"/>
          <w:b/>
        </w:rPr>
        <w:t>注：</w:t>
      </w:r>
      <w:r>
        <w:rPr>
          <w:b/>
        </w:rPr>
        <w:t xml:space="preserve">1. </w:t>
      </w:r>
      <w:r>
        <w:rPr>
          <w:rFonts w:hint="eastAsia"/>
          <w:b/>
        </w:rPr>
        <w:t>上表所列内容为不可负偏离条款。</w:t>
      </w:r>
    </w:p>
    <w:p w14:paraId="1099A4DC">
      <w:pPr>
        <w:spacing w:line="360" w:lineRule="auto"/>
        <w:ind w:firstLine="480" w:firstLineChars="200"/>
        <w:rPr>
          <w:b/>
        </w:rPr>
      </w:pPr>
      <w:r>
        <w:rPr>
          <w:b/>
        </w:rPr>
        <w:t>2.</w:t>
      </w:r>
      <w:r>
        <w:rPr>
          <w:rFonts w:hint="eastAsia"/>
          <w:b/>
        </w:rPr>
        <w:t>“投标人响应情况”一栏应如实填写“响应”或“不响应”。</w:t>
      </w:r>
    </w:p>
    <w:p w14:paraId="01AFF556">
      <w:pPr>
        <w:spacing w:line="360" w:lineRule="auto"/>
        <w:ind w:firstLine="480" w:firstLineChars="200"/>
        <w:rPr>
          <w:rFonts w:ascii="黑体"/>
        </w:rPr>
      </w:pPr>
      <w:r>
        <w:rPr>
          <w:b/>
        </w:rPr>
        <w:t>3.</w:t>
      </w:r>
      <w:r>
        <w:rPr>
          <w:rFonts w:hint="eastAsia"/>
          <w:b/>
        </w:rPr>
        <w:t>“</w:t>
      </w:r>
      <w:r>
        <w:rPr>
          <w:rFonts w:hint="eastAsia" w:ascii="宋体" w:hAnsi="宋体" w:eastAsia="宋体" w:cs="宋体"/>
          <w:b/>
        </w:rPr>
        <w:t>实质性响应条款响应情况</w:t>
      </w:r>
      <w:r>
        <w:rPr>
          <w:b/>
        </w:rPr>
        <w:t>”</w:t>
      </w:r>
      <w:r>
        <w:rPr>
          <w:rFonts w:hint="eastAsia" w:ascii="宋体" w:hAnsi="宋体" w:eastAsia="宋体" w:cs="宋体"/>
          <w:b/>
        </w:rPr>
        <w:t>与投标文件其它内容冲突的，以</w:t>
      </w:r>
      <w:r>
        <w:rPr>
          <w:b/>
        </w:rPr>
        <w:t>“</w:t>
      </w:r>
      <w:r>
        <w:rPr>
          <w:rFonts w:hint="eastAsia" w:ascii="宋体" w:hAnsi="宋体" w:eastAsia="宋体" w:cs="宋体"/>
          <w:b/>
        </w:rPr>
        <w:t>实质性响应条款响应情况</w:t>
      </w:r>
      <w:r>
        <w:rPr>
          <w:b/>
        </w:rPr>
        <w:t>”</w:t>
      </w:r>
      <w:r>
        <w:rPr>
          <w:rFonts w:hint="eastAsia" w:ascii="宋体" w:hAnsi="宋体" w:eastAsia="宋体" w:cs="宋体"/>
          <w:b/>
        </w:rPr>
        <w:t>为准。</w:t>
      </w:r>
    </w:p>
    <w:p w14:paraId="4BB75220">
      <w:r>
        <w:br w:type="page"/>
      </w:r>
    </w:p>
    <w:p w14:paraId="0CDD9BAA">
      <w:pPr>
        <w:pStyle w:val="2"/>
      </w:pPr>
    </w:p>
    <w:p w14:paraId="273FC5B3">
      <w:pPr>
        <w:jc w:val="center"/>
        <w:rPr>
          <w:rFonts w:eastAsia="宋体"/>
          <w:b/>
          <w:kern w:val="2"/>
          <w:sz w:val="32"/>
          <w:szCs w:val="32"/>
        </w:rPr>
      </w:pPr>
    </w:p>
    <w:p w14:paraId="40216E65">
      <w:pPr>
        <w:pStyle w:val="6"/>
        <w:numPr>
          <w:ilvl w:val="0"/>
          <w:numId w:val="6"/>
        </w:numPr>
        <w:ind w:left="0" w:leftChars="0" w:firstLine="420" w:firstLineChars="0"/>
        <w:jc w:val="center"/>
        <w:rPr>
          <w:rFonts w:hint="eastAsia" w:ascii="黑体" w:eastAsia="黑体"/>
          <w:b w:val="0"/>
          <w:sz w:val="24"/>
        </w:rPr>
      </w:pPr>
      <w:r>
        <w:rPr>
          <w:rFonts w:hint="eastAsia" w:ascii="黑体" w:eastAsia="黑体"/>
          <w:b w:val="0"/>
          <w:sz w:val="24"/>
        </w:rPr>
        <w:t>服务条款偏离表</w:t>
      </w:r>
    </w:p>
    <w:tbl>
      <w:tblPr>
        <w:tblStyle w:val="20"/>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2"/>
        <w:gridCol w:w="2398"/>
        <w:gridCol w:w="2124"/>
        <w:gridCol w:w="1577"/>
        <w:gridCol w:w="1418"/>
      </w:tblGrid>
      <w:tr w14:paraId="60588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1002" w:type="dxa"/>
            <w:tcBorders>
              <w:top w:val="single" w:color="auto" w:sz="4" w:space="0"/>
              <w:left w:val="single" w:color="auto" w:sz="4" w:space="0"/>
              <w:bottom w:val="single" w:color="auto" w:sz="4" w:space="0"/>
              <w:right w:val="single" w:color="auto" w:sz="4" w:space="0"/>
            </w:tcBorders>
            <w:shd w:val="clear" w:color="auto" w:fill="BDD6EE"/>
            <w:vAlign w:val="center"/>
          </w:tcPr>
          <w:p w14:paraId="1FEB09F8">
            <w:pPr>
              <w:spacing w:line="360" w:lineRule="auto"/>
              <w:jc w:val="center"/>
              <w:rPr>
                <w:rFonts w:ascii="PMingLiU" w:hAnsi="PMingLiU"/>
                <w:b/>
                <w:bCs/>
                <w:color w:val="auto"/>
                <w:sz w:val="22"/>
                <w:szCs w:val="22"/>
                <w:highlight w:val="none"/>
              </w:rPr>
            </w:pPr>
            <w:r>
              <w:rPr>
                <w:rFonts w:hint="eastAsia" w:ascii="PMingLiU" w:hAnsi="PMingLiU"/>
                <w:b/>
                <w:bCs/>
                <w:color w:val="auto"/>
                <w:sz w:val="22"/>
                <w:szCs w:val="22"/>
                <w:highlight w:val="none"/>
              </w:rPr>
              <w:t>序号</w:t>
            </w:r>
          </w:p>
        </w:tc>
        <w:tc>
          <w:tcPr>
            <w:tcW w:w="2398" w:type="dxa"/>
            <w:tcBorders>
              <w:top w:val="single" w:color="auto" w:sz="4" w:space="0"/>
              <w:left w:val="nil"/>
              <w:bottom w:val="single" w:color="auto" w:sz="4" w:space="0"/>
              <w:right w:val="single" w:color="auto" w:sz="4" w:space="0"/>
            </w:tcBorders>
            <w:shd w:val="clear" w:color="auto" w:fill="BDD6EE"/>
            <w:vAlign w:val="center"/>
          </w:tcPr>
          <w:p w14:paraId="197C4B4F">
            <w:pPr>
              <w:spacing w:line="360" w:lineRule="auto"/>
              <w:jc w:val="center"/>
              <w:rPr>
                <w:rFonts w:ascii="PMingLiU" w:hAnsi="PMingLiU"/>
                <w:b/>
                <w:bCs/>
                <w:color w:val="auto"/>
                <w:sz w:val="22"/>
                <w:szCs w:val="22"/>
                <w:highlight w:val="none"/>
              </w:rPr>
            </w:pPr>
            <w:r>
              <w:rPr>
                <w:rFonts w:hint="eastAsia" w:ascii="PMingLiU" w:hAnsi="PMingLiU"/>
                <w:b/>
                <w:bCs/>
                <w:color w:val="auto"/>
                <w:sz w:val="22"/>
                <w:szCs w:val="22"/>
                <w:highlight w:val="none"/>
              </w:rPr>
              <w:t>招标文件服务要求</w:t>
            </w:r>
          </w:p>
        </w:tc>
        <w:tc>
          <w:tcPr>
            <w:tcW w:w="2124" w:type="dxa"/>
            <w:tcBorders>
              <w:top w:val="single" w:color="auto" w:sz="4" w:space="0"/>
              <w:left w:val="nil"/>
              <w:bottom w:val="single" w:color="auto" w:sz="4" w:space="0"/>
              <w:right w:val="single" w:color="auto" w:sz="4" w:space="0"/>
            </w:tcBorders>
            <w:shd w:val="clear" w:color="auto" w:fill="BDD6EE"/>
            <w:vAlign w:val="center"/>
          </w:tcPr>
          <w:p w14:paraId="260FF70B">
            <w:pPr>
              <w:spacing w:line="360" w:lineRule="auto"/>
              <w:jc w:val="center"/>
              <w:rPr>
                <w:rFonts w:ascii="PMingLiU" w:hAnsi="PMingLiU"/>
                <w:b/>
                <w:bCs/>
                <w:color w:val="auto"/>
                <w:sz w:val="22"/>
                <w:szCs w:val="22"/>
                <w:highlight w:val="none"/>
              </w:rPr>
            </w:pPr>
            <w:r>
              <w:rPr>
                <w:rFonts w:hint="eastAsia" w:ascii="PMingLiU" w:hAnsi="PMingLiU"/>
                <w:b/>
                <w:bCs/>
                <w:color w:val="auto"/>
                <w:sz w:val="22"/>
                <w:szCs w:val="22"/>
                <w:highlight w:val="none"/>
              </w:rPr>
              <w:t>投标文件服务响应</w:t>
            </w:r>
          </w:p>
        </w:tc>
        <w:tc>
          <w:tcPr>
            <w:tcW w:w="1577" w:type="dxa"/>
            <w:tcBorders>
              <w:top w:val="single" w:color="auto" w:sz="4" w:space="0"/>
              <w:left w:val="nil"/>
              <w:bottom w:val="single" w:color="auto" w:sz="4" w:space="0"/>
              <w:right w:val="single" w:color="auto" w:sz="4" w:space="0"/>
            </w:tcBorders>
            <w:shd w:val="clear" w:color="auto" w:fill="BDD6EE"/>
            <w:vAlign w:val="center"/>
          </w:tcPr>
          <w:p w14:paraId="5C2EE4FD">
            <w:pPr>
              <w:spacing w:line="360" w:lineRule="auto"/>
              <w:jc w:val="center"/>
              <w:rPr>
                <w:rFonts w:ascii="PMingLiU" w:hAnsi="PMingLiU"/>
                <w:b/>
                <w:bCs/>
                <w:color w:val="auto"/>
                <w:sz w:val="22"/>
                <w:szCs w:val="22"/>
                <w:highlight w:val="none"/>
              </w:rPr>
            </w:pPr>
            <w:r>
              <w:rPr>
                <w:rFonts w:hint="eastAsia" w:ascii="PMingLiU" w:hAnsi="PMingLiU"/>
                <w:b/>
                <w:bCs/>
                <w:color w:val="auto"/>
                <w:sz w:val="22"/>
                <w:szCs w:val="22"/>
                <w:highlight w:val="none"/>
              </w:rPr>
              <w:t>偏离情况</w:t>
            </w:r>
          </w:p>
        </w:tc>
        <w:tc>
          <w:tcPr>
            <w:tcW w:w="1418" w:type="dxa"/>
            <w:tcBorders>
              <w:top w:val="single" w:color="auto" w:sz="4" w:space="0"/>
              <w:left w:val="nil"/>
              <w:bottom w:val="single" w:color="auto" w:sz="4" w:space="0"/>
              <w:right w:val="single" w:color="auto" w:sz="4" w:space="0"/>
            </w:tcBorders>
            <w:shd w:val="clear" w:color="auto" w:fill="BDD6EE"/>
            <w:vAlign w:val="center"/>
          </w:tcPr>
          <w:p w14:paraId="3E8DD2B4">
            <w:pPr>
              <w:spacing w:line="360" w:lineRule="auto"/>
              <w:jc w:val="center"/>
              <w:rPr>
                <w:rFonts w:ascii="PMingLiU" w:hAnsi="PMingLiU"/>
                <w:b/>
                <w:bCs/>
                <w:color w:val="auto"/>
                <w:sz w:val="22"/>
                <w:szCs w:val="22"/>
                <w:highlight w:val="none"/>
              </w:rPr>
            </w:pPr>
            <w:r>
              <w:rPr>
                <w:rFonts w:hint="eastAsia" w:ascii="PMingLiU" w:hAnsi="PMingLiU"/>
                <w:b/>
                <w:bCs/>
                <w:color w:val="auto"/>
                <w:sz w:val="22"/>
                <w:szCs w:val="22"/>
                <w:highlight w:val="none"/>
              </w:rPr>
              <w:t>说明</w:t>
            </w:r>
          </w:p>
        </w:tc>
      </w:tr>
      <w:tr w14:paraId="38221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002" w:type="dxa"/>
            <w:tcBorders>
              <w:top w:val="single" w:color="auto" w:sz="4" w:space="0"/>
              <w:left w:val="single" w:color="auto" w:sz="4" w:space="0"/>
              <w:bottom w:val="single" w:color="auto" w:sz="4" w:space="0"/>
              <w:right w:val="single" w:color="auto" w:sz="4" w:space="0"/>
            </w:tcBorders>
          </w:tcPr>
          <w:p w14:paraId="5ADF6186">
            <w:pPr>
              <w:spacing w:line="360" w:lineRule="auto"/>
              <w:jc w:val="center"/>
              <w:rPr>
                <w:rFonts w:ascii="PMingLiU" w:hAnsi="PMingLiU"/>
                <w:color w:val="auto"/>
                <w:sz w:val="22"/>
                <w:szCs w:val="22"/>
                <w:highlight w:val="none"/>
              </w:rPr>
            </w:pPr>
            <w:r>
              <w:rPr>
                <w:rFonts w:hint="eastAsia" w:ascii="PMingLiU" w:hAnsi="PMingLiU"/>
                <w:color w:val="auto"/>
                <w:sz w:val="22"/>
                <w:szCs w:val="22"/>
                <w:highlight w:val="none"/>
              </w:rPr>
              <w:t>1</w:t>
            </w:r>
          </w:p>
        </w:tc>
        <w:tc>
          <w:tcPr>
            <w:tcW w:w="2398" w:type="dxa"/>
            <w:tcBorders>
              <w:top w:val="single" w:color="auto" w:sz="4" w:space="0"/>
              <w:left w:val="nil"/>
              <w:bottom w:val="single" w:color="auto" w:sz="4" w:space="0"/>
              <w:right w:val="single" w:color="auto" w:sz="4" w:space="0"/>
            </w:tcBorders>
          </w:tcPr>
          <w:p w14:paraId="05DBEE69">
            <w:pPr>
              <w:spacing w:line="360" w:lineRule="auto"/>
              <w:rPr>
                <w:rFonts w:ascii="PMingLiU" w:hAnsi="PMingLiU"/>
                <w:color w:val="auto"/>
                <w:sz w:val="22"/>
                <w:szCs w:val="22"/>
                <w:highlight w:val="none"/>
              </w:rPr>
            </w:pPr>
          </w:p>
        </w:tc>
        <w:tc>
          <w:tcPr>
            <w:tcW w:w="2124" w:type="dxa"/>
            <w:tcBorders>
              <w:top w:val="single" w:color="auto" w:sz="4" w:space="0"/>
              <w:left w:val="nil"/>
              <w:bottom w:val="single" w:color="auto" w:sz="4" w:space="0"/>
              <w:right w:val="single" w:color="auto" w:sz="4" w:space="0"/>
            </w:tcBorders>
          </w:tcPr>
          <w:p w14:paraId="3EF58D6E">
            <w:pPr>
              <w:spacing w:line="360" w:lineRule="auto"/>
              <w:rPr>
                <w:rFonts w:ascii="PMingLiU" w:hAnsi="PMingLiU"/>
                <w:color w:val="auto"/>
                <w:sz w:val="22"/>
                <w:szCs w:val="22"/>
                <w:highlight w:val="none"/>
              </w:rPr>
            </w:pPr>
          </w:p>
        </w:tc>
        <w:tc>
          <w:tcPr>
            <w:tcW w:w="1577" w:type="dxa"/>
            <w:tcBorders>
              <w:top w:val="single" w:color="auto" w:sz="4" w:space="0"/>
              <w:left w:val="nil"/>
              <w:bottom w:val="single" w:color="auto" w:sz="4" w:space="0"/>
              <w:right w:val="single" w:color="auto" w:sz="4" w:space="0"/>
            </w:tcBorders>
          </w:tcPr>
          <w:p w14:paraId="1EA046B1">
            <w:pPr>
              <w:spacing w:line="360" w:lineRule="auto"/>
              <w:rPr>
                <w:rFonts w:ascii="PMingLiU" w:hAnsi="PMingLiU"/>
                <w:color w:val="auto"/>
                <w:sz w:val="22"/>
                <w:szCs w:val="22"/>
                <w:highlight w:val="none"/>
              </w:rPr>
            </w:pPr>
          </w:p>
        </w:tc>
        <w:tc>
          <w:tcPr>
            <w:tcW w:w="1418" w:type="dxa"/>
            <w:tcBorders>
              <w:top w:val="single" w:color="auto" w:sz="4" w:space="0"/>
              <w:left w:val="nil"/>
              <w:bottom w:val="single" w:color="auto" w:sz="4" w:space="0"/>
              <w:right w:val="single" w:color="auto" w:sz="4" w:space="0"/>
            </w:tcBorders>
          </w:tcPr>
          <w:p w14:paraId="225299D7">
            <w:pPr>
              <w:spacing w:line="360" w:lineRule="auto"/>
              <w:rPr>
                <w:rFonts w:ascii="PMingLiU" w:hAnsi="PMingLiU"/>
                <w:color w:val="auto"/>
                <w:sz w:val="22"/>
                <w:szCs w:val="22"/>
                <w:highlight w:val="none"/>
              </w:rPr>
            </w:pPr>
          </w:p>
        </w:tc>
      </w:tr>
      <w:tr w14:paraId="45449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002" w:type="dxa"/>
            <w:tcBorders>
              <w:top w:val="single" w:color="auto" w:sz="4" w:space="0"/>
              <w:left w:val="single" w:color="auto" w:sz="4" w:space="0"/>
              <w:bottom w:val="single" w:color="auto" w:sz="4" w:space="0"/>
              <w:right w:val="single" w:color="auto" w:sz="4" w:space="0"/>
            </w:tcBorders>
          </w:tcPr>
          <w:p w14:paraId="3E22B1FE">
            <w:pPr>
              <w:spacing w:line="360" w:lineRule="auto"/>
              <w:jc w:val="center"/>
              <w:rPr>
                <w:rFonts w:ascii="PMingLiU" w:hAnsi="PMingLiU"/>
                <w:color w:val="auto"/>
                <w:sz w:val="22"/>
                <w:szCs w:val="22"/>
                <w:highlight w:val="none"/>
              </w:rPr>
            </w:pPr>
            <w:r>
              <w:rPr>
                <w:rFonts w:hint="eastAsia" w:ascii="PMingLiU" w:hAnsi="PMingLiU"/>
                <w:color w:val="auto"/>
                <w:sz w:val="22"/>
                <w:szCs w:val="22"/>
                <w:highlight w:val="none"/>
              </w:rPr>
              <w:t>2</w:t>
            </w:r>
          </w:p>
        </w:tc>
        <w:tc>
          <w:tcPr>
            <w:tcW w:w="2398" w:type="dxa"/>
            <w:tcBorders>
              <w:top w:val="single" w:color="auto" w:sz="4" w:space="0"/>
              <w:left w:val="nil"/>
              <w:bottom w:val="single" w:color="auto" w:sz="4" w:space="0"/>
              <w:right w:val="single" w:color="auto" w:sz="4" w:space="0"/>
            </w:tcBorders>
          </w:tcPr>
          <w:p w14:paraId="1D8CA121">
            <w:pPr>
              <w:spacing w:line="360" w:lineRule="auto"/>
              <w:rPr>
                <w:rFonts w:ascii="PMingLiU" w:hAnsi="PMingLiU"/>
                <w:color w:val="auto"/>
                <w:sz w:val="22"/>
                <w:szCs w:val="22"/>
                <w:highlight w:val="none"/>
              </w:rPr>
            </w:pPr>
          </w:p>
        </w:tc>
        <w:tc>
          <w:tcPr>
            <w:tcW w:w="2124" w:type="dxa"/>
            <w:tcBorders>
              <w:top w:val="single" w:color="auto" w:sz="4" w:space="0"/>
              <w:left w:val="nil"/>
              <w:bottom w:val="single" w:color="auto" w:sz="4" w:space="0"/>
              <w:right w:val="single" w:color="auto" w:sz="4" w:space="0"/>
            </w:tcBorders>
          </w:tcPr>
          <w:p w14:paraId="384F6DCA">
            <w:pPr>
              <w:spacing w:line="360" w:lineRule="auto"/>
              <w:rPr>
                <w:rFonts w:ascii="PMingLiU" w:hAnsi="PMingLiU"/>
                <w:color w:val="auto"/>
                <w:sz w:val="22"/>
                <w:szCs w:val="22"/>
                <w:highlight w:val="none"/>
              </w:rPr>
            </w:pPr>
          </w:p>
        </w:tc>
        <w:tc>
          <w:tcPr>
            <w:tcW w:w="1577" w:type="dxa"/>
            <w:tcBorders>
              <w:top w:val="single" w:color="auto" w:sz="4" w:space="0"/>
              <w:left w:val="nil"/>
              <w:bottom w:val="single" w:color="auto" w:sz="4" w:space="0"/>
              <w:right w:val="single" w:color="auto" w:sz="4" w:space="0"/>
            </w:tcBorders>
          </w:tcPr>
          <w:p w14:paraId="62168717">
            <w:pPr>
              <w:spacing w:line="360" w:lineRule="auto"/>
              <w:rPr>
                <w:rFonts w:ascii="PMingLiU" w:hAnsi="PMingLiU"/>
                <w:color w:val="auto"/>
                <w:sz w:val="22"/>
                <w:szCs w:val="22"/>
                <w:highlight w:val="none"/>
              </w:rPr>
            </w:pPr>
          </w:p>
        </w:tc>
        <w:tc>
          <w:tcPr>
            <w:tcW w:w="1418" w:type="dxa"/>
            <w:tcBorders>
              <w:top w:val="single" w:color="auto" w:sz="4" w:space="0"/>
              <w:left w:val="nil"/>
              <w:bottom w:val="single" w:color="auto" w:sz="4" w:space="0"/>
              <w:right w:val="single" w:color="auto" w:sz="4" w:space="0"/>
            </w:tcBorders>
          </w:tcPr>
          <w:p w14:paraId="327D6345">
            <w:pPr>
              <w:spacing w:line="360" w:lineRule="auto"/>
              <w:rPr>
                <w:rFonts w:ascii="PMingLiU" w:hAnsi="PMingLiU"/>
                <w:color w:val="auto"/>
                <w:sz w:val="22"/>
                <w:szCs w:val="22"/>
                <w:highlight w:val="none"/>
              </w:rPr>
            </w:pPr>
          </w:p>
        </w:tc>
      </w:tr>
      <w:tr w14:paraId="77E19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002" w:type="dxa"/>
            <w:tcBorders>
              <w:top w:val="single" w:color="auto" w:sz="4" w:space="0"/>
              <w:left w:val="single" w:color="auto" w:sz="4" w:space="0"/>
              <w:bottom w:val="single" w:color="auto" w:sz="4" w:space="0"/>
              <w:right w:val="single" w:color="auto" w:sz="4" w:space="0"/>
            </w:tcBorders>
          </w:tcPr>
          <w:p w14:paraId="1F246F16">
            <w:pPr>
              <w:spacing w:line="360" w:lineRule="auto"/>
              <w:jc w:val="center"/>
              <w:rPr>
                <w:rFonts w:ascii="PMingLiU" w:hAnsi="PMingLiU"/>
                <w:color w:val="auto"/>
                <w:sz w:val="22"/>
                <w:szCs w:val="22"/>
                <w:highlight w:val="none"/>
              </w:rPr>
            </w:pPr>
            <w:r>
              <w:rPr>
                <w:rFonts w:hint="eastAsia" w:ascii="PMingLiU" w:hAnsi="PMingLiU"/>
                <w:color w:val="auto"/>
                <w:sz w:val="22"/>
                <w:szCs w:val="22"/>
                <w:highlight w:val="none"/>
              </w:rPr>
              <w:t>3</w:t>
            </w:r>
          </w:p>
        </w:tc>
        <w:tc>
          <w:tcPr>
            <w:tcW w:w="2398" w:type="dxa"/>
            <w:tcBorders>
              <w:top w:val="single" w:color="auto" w:sz="4" w:space="0"/>
              <w:left w:val="nil"/>
              <w:bottom w:val="single" w:color="auto" w:sz="4" w:space="0"/>
              <w:right w:val="single" w:color="auto" w:sz="4" w:space="0"/>
            </w:tcBorders>
          </w:tcPr>
          <w:p w14:paraId="2BBCDA35">
            <w:pPr>
              <w:spacing w:line="360" w:lineRule="auto"/>
              <w:rPr>
                <w:rFonts w:ascii="PMingLiU" w:hAnsi="PMingLiU"/>
                <w:color w:val="auto"/>
                <w:sz w:val="22"/>
                <w:szCs w:val="22"/>
                <w:highlight w:val="none"/>
              </w:rPr>
            </w:pPr>
          </w:p>
        </w:tc>
        <w:tc>
          <w:tcPr>
            <w:tcW w:w="2124" w:type="dxa"/>
            <w:tcBorders>
              <w:top w:val="single" w:color="auto" w:sz="4" w:space="0"/>
              <w:left w:val="nil"/>
              <w:bottom w:val="single" w:color="auto" w:sz="4" w:space="0"/>
              <w:right w:val="single" w:color="auto" w:sz="4" w:space="0"/>
            </w:tcBorders>
          </w:tcPr>
          <w:p w14:paraId="0D43A87E">
            <w:pPr>
              <w:spacing w:line="360" w:lineRule="auto"/>
              <w:rPr>
                <w:rFonts w:ascii="PMingLiU" w:hAnsi="PMingLiU"/>
                <w:color w:val="auto"/>
                <w:sz w:val="22"/>
                <w:szCs w:val="22"/>
                <w:highlight w:val="none"/>
              </w:rPr>
            </w:pPr>
          </w:p>
        </w:tc>
        <w:tc>
          <w:tcPr>
            <w:tcW w:w="1577" w:type="dxa"/>
            <w:tcBorders>
              <w:top w:val="single" w:color="auto" w:sz="4" w:space="0"/>
              <w:left w:val="nil"/>
              <w:bottom w:val="single" w:color="auto" w:sz="4" w:space="0"/>
              <w:right w:val="single" w:color="auto" w:sz="4" w:space="0"/>
            </w:tcBorders>
          </w:tcPr>
          <w:p w14:paraId="176F4392">
            <w:pPr>
              <w:spacing w:line="360" w:lineRule="auto"/>
              <w:rPr>
                <w:rFonts w:ascii="PMingLiU" w:hAnsi="PMingLiU"/>
                <w:color w:val="auto"/>
                <w:sz w:val="22"/>
                <w:szCs w:val="22"/>
                <w:highlight w:val="none"/>
              </w:rPr>
            </w:pPr>
          </w:p>
        </w:tc>
        <w:tc>
          <w:tcPr>
            <w:tcW w:w="1418" w:type="dxa"/>
            <w:tcBorders>
              <w:top w:val="single" w:color="auto" w:sz="4" w:space="0"/>
              <w:left w:val="nil"/>
              <w:bottom w:val="single" w:color="auto" w:sz="4" w:space="0"/>
              <w:right w:val="single" w:color="auto" w:sz="4" w:space="0"/>
            </w:tcBorders>
          </w:tcPr>
          <w:p w14:paraId="362B1DC7">
            <w:pPr>
              <w:spacing w:line="360" w:lineRule="auto"/>
              <w:rPr>
                <w:rFonts w:ascii="PMingLiU" w:hAnsi="PMingLiU"/>
                <w:color w:val="auto"/>
                <w:sz w:val="22"/>
                <w:szCs w:val="22"/>
                <w:highlight w:val="none"/>
              </w:rPr>
            </w:pPr>
          </w:p>
        </w:tc>
      </w:tr>
      <w:tr w14:paraId="7C0EE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002" w:type="dxa"/>
            <w:tcBorders>
              <w:top w:val="single" w:color="auto" w:sz="4" w:space="0"/>
              <w:left w:val="single" w:color="auto" w:sz="4" w:space="0"/>
              <w:bottom w:val="single" w:color="auto" w:sz="4" w:space="0"/>
              <w:right w:val="single" w:color="auto" w:sz="4" w:space="0"/>
            </w:tcBorders>
          </w:tcPr>
          <w:p w14:paraId="65A74F47">
            <w:pPr>
              <w:spacing w:line="360" w:lineRule="auto"/>
              <w:jc w:val="center"/>
              <w:rPr>
                <w:rFonts w:ascii="PMingLiU" w:hAnsi="PMingLiU"/>
                <w:color w:val="auto"/>
                <w:sz w:val="22"/>
                <w:szCs w:val="22"/>
                <w:highlight w:val="none"/>
              </w:rPr>
            </w:pPr>
            <w:r>
              <w:rPr>
                <w:rFonts w:hint="eastAsia" w:ascii="PMingLiU" w:hAnsi="PMingLiU"/>
                <w:color w:val="auto"/>
                <w:sz w:val="22"/>
                <w:szCs w:val="22"/>
                <w:highlight w:val="none"/>
              </w:rPr>
              <w:t>……</w:t>
            </w:r>
          </w:p>
        </w:tc>
        <w:tc>
          <w:tcPr>
            <w:tcW w:w="2398" w:type="dxa"/>
            <w:tcBorders>
              <w:top w:val="single" w:color="auto" w:sz="4" w:space="0"/>
              <w:left w:val="nil"/>
              <w:bottom w:val="single" w:color="auto" w:sz="4" w:space="0"/>
              <w:right w:val="single" w:color="auto" w:sz="4" w:space="0"/>
            </w:tcBorders>
          </w:tcPr>
          <w:p w14:paraId="485B1250">
            <w:pPr>
              <w:spacing w:line="360" w:lineRule="auto"/>
              <w:rPr>
                <w:rFonts w:ascii="PMingLiU" w:hAnsi="PMingLiU"/>
                <w:color w:val="auto"/>
                <w:sz w:val="22"/>
                <w:szCs w:val="22"/>
                <w:highlight w:val="none"/>
              </w:rPr>
            </w:pPr>
          </w:p>
        </w:tc>
        <w:tc>
          <w:tcPr>
            <w:tcW w:w="2124" w:type="dxa"/>
            <w:tcBorders>
              <w:top w:val="single" w:color="auto" w:sz="4" w:space="0"/>
              <w:left w:val="nil"/>
              <w:bottom w:val="single" w:color="auto" w:sz="4" w:space="0"/>
              <w:right w:val="single" w:color="auto" w:sz="4" w:space="0"/>
            </w:tcBorders>
          </w:tcPr>
          <w:p w14:paraId="5809D2F7">
            <w:pPr>
              <w:spacing w:line="360" w:lineRule="auto"/>
              <w:rPr>
                <w:rFonts w:ascii="PMingLiU" w:hAnsi="PMingLiU"/>
                <w:color w:val="auto"/>
                <w:sz w:val="22"/>
                <w:szCs w:val="22"/>
                <w:highlight w:val="none"/>
              </w:rPr>
            </w:pPr>
          </w:p>
        </w:tc>
        <w:tc>
          <w:tcPr>
            <w:tcW w:w="1577" w:type="dxa"/>
            <w:tcBorders>
              <w:top w:val="single" w:color="auto" w:sz="4" w:space="0"/>
              <w:left w:val="nil"/>
              <w:bottom w:val="single" w:color="auto" w:sz="4" w:space="0"/>
              <w:right w:val="single" w:color="auto" w:sz="4" w:space="0"/>
            </w:tcBorders>
          </w:tcPr>
          <w:p w14:paraId="559F8DEA">
            <w:pPr>
              <w:spacing w:line="360" w:lineRule="auto"/>
              <w:rPr>
                <w:rFonts w:ascii="PMingLiU" w:hAnsi="PMingLiU"/>
                <w:color w:val="auto"/>
                <w:sz w:val="22"/>
                <w:szCs w:val="22"/>
                <w:highlight w:val="none"/>
              </w:rPr>
            </w:pPr>
          </w:p>
        </w:tc>
        <w:tc>
          <w:tcPr>
            <w:tcW w:w="1418" w:type="dxa"/>
            <w:tcBorders>
              <w:top w:val="single" w:color="auto" w:sz="4" w:space="0"/>
              <w:left w:val="nil"/>
              <w:bottom w:val="single" w:color="auto" w:sz="4" w:space="0"/>
              <w:right w:val="single" w:color="auto" w:sz="4" w:space="0"/>
            </w:tcBorders>
          </w:tcPr>
          <w:p w14:paraId="074C0C02">
            <w:pPr>
              <w:spacing w:line="360" w:lineRule="auto"/>
              <w:rPr>
                <w:rFonts w:ascii="PMingLiU" w:hAnsi="PMingLiU"/>
                <w:color w:val="auto"/>
                <w:sz w:val="22"/>
                <w:szCs w:val="22"/>
                <w:highlight w:val="none"/>
              </w:rPr>
            </w:pPr>
          </w:p>
        </w:tc>
      </w:tr>
    </w:tbl>
    <w:p w14:paraId="77C7CE8A">
      <w:pPr>
        <w:spacing w:line="360" w:lineRule="auto"/>
        <w:rPr>
          <w:rFonts w:ascii="PMingLiU" w:hAnsi="PMingLiU"/>
          <w:color w:val="auto"/>
          <w:sz w:val="22"/>
          <w:szCs w:val="22"/>
          <w:highlight w:val="none"/>
        </w:rPr>
      </w:pPr>
      <w:r>
        <w:rPr>
          <w:rFonts w:hint="eastAsia" w:ascii="PMingLiU" w:hAnsi="PMingLiU"/>
          <w:color w:val="auto"/>
          <w:sz w:val="22"/>
          <w:szCs w:val="22"/>
          <w:highlight w:val="none"/>
        </w:rPr>
        <w:t>注：</w:t>
      </w:r>
    </w:p>
    <w:p w14:paraId="192066C9">
      <w:pPr>
        <w:numPr>
          <w:ilvl w:val="0"/>
          <w:numId w:val="8"/>
        </w:numPr>
        <w:spacing w:line="360" w:lineRule="auto"/>
        <w:rPr>
          <w:rFonts w:ascii="PMingLiU" w:hAnsi="PMingLiU"/>
          <w:color w:val="auto"/>
          <w:sz w:val="22"/>
          <w:szCs w:val="22"/>
          <w:highlight w:val="none"/>
        </w:rPr>
      </w:pPr>
      <w:r>
        <w:rPr>
          <w:rFonts w:hint="eastAsia" w:ascii="PMingLiU" w:hAnsi="PMingLiU"/>
          <w:color w:val="auto"/>
          <w:sz w:val="22"/>
          <w:szCs w:val="22"/>
          <w:highlight w:val="none"/>
        </w:rPr>
        <w:t>投标人必须对应招标文件</w:t>
      </w:r>
      <w:r>
        <w:rPr>
          <w:rFonts w:hint="eastAsia" w:ascii="PMingLiU" w:hAnsi="PMingLiU" w:eastAsia="宋体"/>
          <w:color w:val="auto"/>
          <w:sz w:val="22"/>
          <w:szCs w:val="22"/>
          <w:highlight w:val="none"/>
          <w:lang w:val="en-US" w:eastAsia="zh-CN"/>
        </w:rPr>
        <w:t>-第二章招标项目需求-</w:t>
      </w:r>
      <w:r>
        <w:rPr>
          <w:rFonts w:hint="eastAsia" w:ascii="PMingLiU" w:hAnsi="PMingLiU"/>
          <w:color w:val="auto"/>
          <w:sz w:val="22"/>
          <w:szCs w:val="22"/>
          <w:highlight w:val="none"/>
        </w:rPr>
        <w:t>服务要求逐条响应。</w:t>
      </w:r>
    </w:p>
    <w:p w14:paraId="6BD95237">
      <w:pPr>
        <w:numPr>
          <w:ilvl w:val="0"/>
          <w:numId w:val="8"/>
        </w:numPr>
        <w:spacing w:line="360" w:lineRule="auto"/>
        <w:rPr>
          <w:rFonts w:ascii="宋体" w:hAnsi="宋体" w:cs="宋体"/>
          <w:bCs/>
          <w:color w:val="auto"/>
          <w:sz w:val="22"/>
          <w:szCs w:val="22"/>
          <w:highlight w:val="none"/>
        </w:rPr>
      </w:pPr>
      <w:r>
        <w:rPr>
          <w:rFonts w:hint="eastAsia" w:ascii="PMingLiU" w:hAnsi="PMingLiU"/>
          <w:color w:val="auto"/>
          <w:sz w:val="22"/>
          <w:szCs w:val="22"/>
          <w:highlight w:val="none"/>
        </w:rPr>
        <w:t>“偏离情况”一栏应如实填写“正偏离”、“负偏离”或“无偏离”。</w:t>
      </w:r>
    </w:p>
    <w:p w14:paraId="30DBEAC0">
      <w:pPr>
        <w:pStyle w:val="6"/>
        <w:numPr>
          <w:ilvl w:val="0"/>
          <w:numId w:val="6"/>
        </w:numPr>
        <w:ind w:left="0" w:leftChars="0" w:firstLine="420" w:firstLineChars="0"/>
        <w:jc w:val="center"/>
        <w:rPr>
          <w:rFonts w:hint="eastAsia" w:ascii="黑体" w:eastAsia="黑体"/>
          <w:b w:val="0"/>
          <w:sz w:val="24"/>
        </w:rPr>
      </w:pPr>
      <w:r>
        <w:rPr>
          <w:rFonts w:hint="eastAsia" w:ascii="黑体" w:eastAsia="黑体"/>
          <w:b w:val="0"/>
          <w:sz w:val="24"/>
        </w:rPr>
        <w:t>商务需求偏离表</w:t>
      </w:r>
    </w:p>
    <w:tbl>
      <w:tblPr>
        <w:tblStyle w:val="20"/>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2"/>
        <w:gridCol w:w="2398"/>
        <w:gridCol w:w="2124"/>
        <w:gridCol w:w="1578"/>
        <w:gridCol w:w="1417"/>
      </w:tblGrid>
      <w:tr w14:paraId="2E51F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1002" w:type="dxa"/>
            <w:tcBorders>
              <w:top w:val="single" w:color="auto" w:sz="4" w:space="0"/>
              <w:left w:val="single" w:color="auto" w:sz="4" w:space="0"/>
              <w:bottom w:val="single" w:color="auto" w:sz="4" w:space="0"/>
              <w:right w:val="single" w:color="auto" w:sz="4" w:space="0"/>
            </w:tcBorders>
            <w:shd w:val="clear" w:color="auto" w:fill="BDD6EE"/>
            <w:vAlign w:val="center"/>
          </w:tcPr>
          <w:p w14:paraId="0648B6D7">
            <w:pPr>
              <w:spacing w:line="360" w:lineRule="auto"/>
              <w:jc w:val="center"/>
              <w:rPr>
                <w:rFonts w:ascii="PMingLiU" w:hAnsi="PMingLiU"/>
                <w:b/>
                <w:bCs/>
                <w:color w:val="auto"/>
                <w:sz w:val="22"/>
                <w:szCs w:val="22"/>
                <w:highlight w:val="none"/>
              </w:rPr>
            </w:pPr>
            <w:r>
              <w:rPr>
                <w:rFonts w:hint="eastAsia" w:ascii="PMingLiU" w:hAnsi="PMingLiU"/>
                <w:b/>
                <w:bCs/>
                <w:color w:val="auto"/>
                <w:sz w:val="22"/>
                <w:szCs w:val="22"/>
                <w:highlight w:val="none"/>
              </w:rPr>
              <w:t>序号</w:t>
            </w:r>
          </w:p>
        </w:tc>
        <w:tc>
          <w:tcPr>
            <w:tcW w:w="2398" w:type="dxa"/>
            <w:tcBorders>
              <w:top w:val="single" w:color="auto" w:sz="4" w:space="0"/>
              <w:left w:val="nil"/>
              <w:bottom w:val="single" w:color="auto" w:sz="4" w:space="0"/>
              <w:right w:val="single" w:color="auto" w:sz="4" w:space="0"/>
            </w:tcBorders>
            <w:shd w:val="clear" w:color="auto" w:fill="BDD6EE"/>
            <w:vAlign w:val="center"/>
          </w:tcPr>
          <w:p w14:paraId="62F1DAA4">
            <w:pPr>
              <w:spacing w:line="360" w:lineRule="auto"/>
              <w:jc w:val="center"/>
              <w:rPr>
                <w:rFonts w:ascii="PMingLiU" w:hAnsi="PMingLiU"/>
                <w:b/>
                <w:bCs/>
                <w:color w:val="auto"/>
                <w:sz w:val="22"/>
                <w:szCs w:val="22"/>
                <w:highlight w:val="none"/>
              </w:rPr>
            </w:pPr>
            <w:r>
              <w:rPr>
                <w:rFonts w:hint="eastAsia" w:ascii="PMingLiU" w:hAnsi="PMingLiU"/>
                <w:b/>
                <w:bCs/>
                <w:color w:val="auto"/>
                <w:sz w:val="22"/>
                <w:szCs w:val="22"/>
                <w:highlight w:val="none"/>
              </w:rPr>
              <w:t>招标文件商务要求</w:t>
            </w:r>
          </w:p>
        </w:tc>
        <w:tc>
          <w:tcPr>
            <w:tcW w:w="2124" w:type="dxa"/>
            <w:tcBorders>
              <w:top w:val="single" w:color="auto" w:sz="4" w:space="0"/>
              <w:left w:val="nil"/>
              <w:bottom w:val="single" w:color="auto" w:sz="4" w:space="0"/>
              <w:right w:val="single" w:color="auto" w:sz="4" w:space="0"/>
            </w:tcBorders>
            <w:shd w:val="clear" w:color="auto" w:fill="BDD6EE"/>
            <w:vAlign w:val="center"/>
          </w:tcPr>
          <w:p w14:paraId="2703784C">
            <w:pPr>
              <w:spacing w:line="360" w:lineRule="auto"/>
              <w:jc w:val="center"/>
              <w:rPr>
                <w:rFonts w:ascii="PMingLiU" w:hAnsi="PMingLiU"/>
                <w:b/>
                <w:bCs/>
                <w:color w:val="auto"/>
                <w:sz w:val="22"/>
                <w:szCs w:val="22"/>
                <w:highlight w:val="none"/>
              </w:rPr>
            </w:pPr>
            <w:r>
              <w:rPr>
                <w:rFonts w:hint="eastAsia" w:ascii="PMingLiU" w:hAnsi="PMingLiU"/>
                <w:b/>
                <w:bCs/>
                <w:color w:val="auto"/>
                <w:sz w:val="22"/>
                <w:szCs w:val="22"/>
                <w:highlight w:val="none"/>
              </w:rPr>
              <w:t>投标文件商务响应</w:t>
            </w:r>
          </w:p>
        </w:tc>
        <w:tc>
          <w:tcPr>
            <w:tcW w:w="1578" w:type="dxa"/>
            <w:tcBorders>
              <w:top w:val="single" w:color="auto" w:sz="4" w:space="0"/>
              <w:left w:val="nil"/>
              <w:bottom w:val="single" w:color="auto" w:sz="4" w:space="0"/>
              <w:right w:val="single" w:color="auto" w:sz="4" w:space="0"/>
            </w:tcBorders>
            <w:shd w:val="clear" w:color="auto" w:fill="BDD6EE"/>
            <w:vAlign w:val="center"/>
          </w:tcPr>
          <w:p w14:paraId="7433465A">
            <w:pPr>
              <w:spacing w:line="360" w:lineRule="auto"/>
              <w:jc w:val="center"/>
              <w:rPr>
                <w:rFonts w:ascii="PMingLiU" w:hAnsi="PMingLiU"/>
                <w:b/>
                <w:bCs/>
                <w:color w:val="auto"/>
                <w:sz w:val="22"/>
                <w:szCs w:val="22"/>
                <w:highlight w:val="none"/>
              </w:rPr>
            </w:pPr>
            <w:r>
              <w:rPr>
                <w:rFonts w:hint="eastAsia" w:ascii="PMingLiU" w:hAnsi="PMingLiU"/>
                <w:b/>
                <w:bCs/>
                <w:color w:val="auto"/>
                <w:sz w:val="22"/>
                <w:szCs w:val="22"/>
                <w:highlight w:val="none"/>
              </w:rPr>
              <w:t>偏离情况</w:t>
            </w:r>
          </w:p>
        </w:tc>
        <w:tc>
          <w:tcPr>
            <w:tcW w:w="1417" w:type="dxa"/>
            <w:tcBorders>
              <w:top w:val="single" w:color="auto" w:sz="4" w:space="0"/>
              <w:left w:val="nil"/>
              <w:bottom w:val="single" w:color="auto" w:sz="4" w:space="0"/>
              <w:right w:val="single" w:color="auto" w:sz="4" w:space="0"/>
            </w:tcBorders>
            <w:shd w:val="clear" w:color="auto" w:fill="BDD6EE"/>
            <w:vAlign w:val="center"/>
          </w:tcPr>
          <w:p w14:paraId="5F538306">
            <w:pPr>
              <w:spacing w:line="360" w:lineRule="auto"/>
              <w:jc w:val="center"/>
              <w:rPr>
                <w:rFonts w:ascii="PMingLiU" w:hAnsi="PMingLiU"/>
                <w:b/>
                <w:bCs/>
                <w:color w:val="auto"/>
                <w:sz w:val="22"/>
                <w:szCs w:val="22"/>
                <w:highlight w:val="none"/>
              </w:rPr>
            </w:pPr>
            <w:r>
              <w:rPr>
                <w:rFonts w:hint="eastAsia" w:ascii="PMingLiU" w:hAnsi="PMingLiU"/>
                <w:b/>
                <w:bCs/>
                <w:color w:val="auto"/>
                <w:sz w:val="22"/>
                <w:szCs w:val="22"/>
                <w:highlight w:val="none"/>
              </w:rPr>
              <w:t>说明</w:t>
            </w:r>
          </w:p>
        </w:tc>
      </w:tr>
      <w:tr w14:paraId="189E2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002" w:type="dxa"/>
            <w:tcBorders>
              <w:top w:val="single" w:color="auto" w:sz="4" w:space="0"/>
              <w:left w:val="single" w:color="auto" w:sz="4" w:space="0"/>
              <w:bottom w:val="single" w:color="auto" w:sz="4" w:space="0"/>
              <w:right w:val="single" w:color="auto" w:sz="4" w:space="0"/>
            </w:tcBorders>
          </w:tcPr>
          <w:p w14:paraId="04EF8BD0">
            <w:pPr>
              <w:spacing w:line="360" w:lineRule="auto"/>
              <w:jc w:val="center"/>
              <w:rPr>
                <w:rFonts w:ascii="PMingLiU" w:hAnsi="PMingLiU"/>
                <w:color w:val="auto"/>
                <w:sz w:val="22"/>
                <w:szCs w:val="22"/>
                <w:highlight w:val="none"/>
              </w:rPr>
            </w:pPr>
            <w:r>
              <w:rPr>
                <w:rFonts w:hint="eastAsia" w:ascii="PMingLiU" w:hAnsi="PMingLiU"/>
                <w:color w:val="auto"/>
                <w:sz w:val="22"/>
                <w:szCs w:val="22"/>
                <w:highlight w:val="none"/>
              </w:rPr>
              <w:t>1</w:t>
            </w:r>
          </w:p>
        </w:tc>
        <w:tc>
          <w:tcPr>
            <w:tcW w:w="2398" w:type="dxa"/>
            <w:tcBorders>
              <w:top w:val="single" w:color="auto" w:sz="4" w:space="0"/>
              <w:left w:val="nil"/>
              <w:bottom w:val="single" w:color="auto" w:sz="4" w:space="0"/>
              <w:right w:val="single" w:color="auto" w:sz="4" w:space="0"/>
            </w:tcBorders>
          </w:tcPr>
          <w:p w14:paraId="10A88620">
            <w:pPr>
              <w:spacing w:line="360" w:lineRule="auto"/>
              <w:rPr>
                <w:rFonts w:ascii="PMingLiU" w:hAnsi="PMingLiU"/>
                <w:color w:val="auto"/>
                <w:sz w:val="22"/>
                <w:szCs w:val="22"/>
                <w:highlight w:val="none"/>
              </w:rPr>
            </w:pPr>
          </w:p>
        </w:tc>
        <w:tc>
          <w:tcPr>
            <w:tcW w:w="2124" w:type="dxa"/>
            <w:tcBorders>
              <w:top w:val="single" w:color="auto" w:sz="4" w:space="0"/>
              <w:left w:val="nil"/>
              <w:bottom w:val="single" w:color="auto" w:sz="4" w:space="0"/>
              <w:right w:val="single" w:color="auto" w:sz="4" w:space="0"/>
            </w:tcBorders>
          </w:tcPr>
          <w:p w14:paraId="15739854">
            <w:pPr>
              <w:spacing w:line="360" w:lineRule="auto"/>
              <w:rPr>
                <w:rFonts w:ascii="PMingLiU" w:hAnsi="PMingLiU"/>
                <w:color w:val="auto"/>
                <w:sz w:val="22"/>
                <w:szCs w:val="22"/>
                <w:highlight w:val="none"/>
              </w:rPr>
            </w:pPr>
          </w:p>
        </w:tc>
        <w:tc>
          <w:tcPr>
            <w:tcW w:w="1578" w:type="dxa"/>
            <w:tcBorders>
              <w:top w:val="single" w:color="auto" w:sz="4" w:space="0"/>
              <w:left w:val="nil"/>
              <w:bottom w:val="single" w:color="auto" w:sz="4" w:space="0"/>
              <w:right w:val="single" w:color="auto" w:sz="4" w:space="0"/>
            </w:tcBorders>
          </w:tcPr>
          <w:p w14:paraId="20298A29">
            <w:pPr>
              <w:spacing w:line="360" w:lineRule="auto"/>
              <w:rPr>
                <w:rFonts w:ascii="PMingLiU" w:hAnsi="PMingLiU"/>
                <w:color w:val="auto"/>
                <w:sz w:val="22"/>
                <w:szCs w:val="22"/>
                <w:highlight w:val="none"/>
              </w:rPr>
            </w:pPr>
          </w:p>
        </w:tc>
        <w:tc>
          <w:tcPr>
            <w:tcW w:w="1417" w:type="dxa"/>
            <w:tcBorders>
              <w:top w:val="single" w:color="auto" w:sz="4" w:space="0"/>
              <w:left w:val="nil"/>
              <w:bottom w:val="single" w:color="auto" w:sz="4" w:space="0"/>
              <w:right w:val="single" w:color="auto" w:sz="4" w:space="0"/>
            </w:tcBorders>
          </w:tcPr>
          <w:p w14:paraId="0CE40B36">
            <w:pPr>
              <w:spacing w:line="360" w:lineRule="auto"/>
              <w:rPr>
                <w:rFonts w:ascii="PMingLiU" w:hAnsi="PMingLiU"/>
                <w:color w:val="auto"/>
                <w:sz w:val="22"/>
                <w:szCs w:val="22"/>
                <w:highlight w:val="none"/>
              </w:rPr>
            </w:pPr>
          </w:p>
        </w:tc>
      </w:tr>
      <w:tr w14:paraId="75368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002" w:type="dxa"/>
            <w:tcBorders>
              <w:top w:val="single" w:color="auto" w:sz="4" w:space="0"/>
              <w:left w:val="single" w:color="auto" w:sz="4" w:space="0"/>
              <w:bottom w:val="single" w:color="auto" w:sz="4" w:space="0"/>
              <w:right w:val="single" w:color="auto" w:sz="4" w:space="0"/>
            </w:tcBorders>
          </w:tcPr>
          <w:p w14:paraId="785F0892">
            <w:pPr>
              <w:spacing w:line="360" w:lineRule="auto"/>
              <w:jc w:val="center"/>
              <w:rPr>
                <w:rFonts w:ascii="PMingLiU" w:hAnsi="PMingLiU"/>
                <w:color w:val="auto"/>
                <w:sz w:val="22"/>
                <w:szCs w:val="22"/>
                <w:highlight w:val="none"/>
              </w:rPr>
            </w:pPr>
            <w:r>
              <w:rPr>
                <w:rFonts w:hint="eastAsia" w:ascii="PMingLiU" w:hAnsi="PMingLiU"/>
                <w:color w:val="auto"/>
                <w:sz w:val="22"/>
                <w:szCs w:val="22"/>
                <w:highlight w:val="none"/>
              </w:rPr>
              <w:t>2</w:t>
            </w:r>
          </w:p>
        </w:tc>
        <w:tc>
          <w:tcPr>
            <w:tcW w:w="2398" w:type="dxa"/>
            <w:tcBorders>
              <w:top w:val="single" w:color="auto" w:sz="4" w:space="0"/>
              <w:left w:val="nil"/>
              <w:bottom w:val="single" w:color="auto" w:sz="4" w:space="0"/>
              <w:right w:val="single" w:color="auto" w:sz="4" w:space="0"/>
            </w:tcBorders>
          </w:tcPr>
          <w:p w14:paraId="48EA5A47">
            <w:pPr>
              <w:spacing w:line="360" w:lineRule="auto"/>
              <w:rPr>
                <w:rFonts w:ascii="PMingLiU" w:hAnsi="PMingLiU"/>
                <w:color w:val="auto"/>
                <w:sz w:val="22"/>
                <w:szCs w:val="22"/>
                <w:highlight w:val="none"/>
              </w:rPr>
            </w:pPr>
          </w:p>
        </w:tc>
        <w:tc>
          <w:tcPr>
            <w:tcW w:w="2124" w:type="dxa"/>
            <w:tcBorders>
              <w:top w:val="single" w:color="auto" w:sz="4" w:space="0"/>
              <w:left w:val="nil"/>
              <w:bottom w:val="single" w:color="auto" w:sz="4" w:space="0"/>
              <w:right w:val="single" w:color="auto" w:sz="4" w:space="0"/>
            </w:tcBorders>
          </w:tcPr>
          <w:p w14:paraId="683B81B7">
            <w:pPr>
              <w:spacing w:line="360" w:lineRule="auto"/>
              <w:rPr>
                <w:rFonts w:ascii="PMingLiU" w:hAnsi="PMingLiU"/>
                <w:color w:val="auto"/>
                <w:sz w:val="22"/>
                <w:szCs w:val="22"/>
                <w:highlight w:val="none"/>
              </w:rPr>
            </w:pPr>
          </w:p>
        </w:tc>
        <w:tc>
          <w:tcPr>
            <w:tcW w:w="1578" w:type="dxa"/>
            <w:tcBorders>
              <w:top w:val="single" w:color="auto" w:sz="4" w:space="0"/>
              <w:left w:val="nil"/>
              <w:bottom w:val="single" w:color="auto" w:sz="4" w:space="0"/>
              <w:right w:val="single" w:color="auto" w:sz="4" w:space="0"/>
            </w:tcBorders>
          </w:tcPr>
          <w:p w14:paraId="4AB68507">
            <w:pPr>
              <w:spacing w:line="360" w:lineRule="auto"/>
              <w:rPr>
                <w:rFonts w:ascii="PMingLiU" w:hAnsi="PMingLiU"/>
                <w:color w:val="auto"/>
                <w:sz w:val="22"/>
                <w:szCs w:val="22"/>
                <w:highlight w:val="none"/>
              </w:rPr>
            </w:pPr>
          </w:p>
        </w:tc>
        <w:tc>
          <w:tcPr>
            <w:tcW w:w="1417" w:type="dxa"/>
            <w:tcBorders>
              <w:top w:val="single" w:color="auto" w:sz="4" w:space="0"/>
              <w:left w:val="nil"/>
              <w:bottom w:val="single" w:color="auto" w:sz="4" w:space="0"/>
              <w:right w:val="single" w:color="auto" w:sz="4" w:space="0"/>
            </w:tcBorders>
          </w:tcPr>
          <w:p w14:paraId="47EFF02C">
            <w:pPr>
              <w:spacing w:line="360" w:lineRule="auto"/>
              <w:rPr>
                <w:rFonts w:ascii="PMingLiU" w:hAnsi="PMingLiU"/>
                <w:color w:val="auto"/>
                <w:sz w:val="22"/>
                <w:szCs w:val="22"/>
                <w:highlight w:val="none"/>
              </w:rPr>
            </w:pPr>
          </w:p>
        </w:tc>
      </w:tr>
      <w:tr w14:paraId="50CC2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002" w:type="dxa"/>
            <w:tcBorders>
              <w:top w:val="single" w:color="auto" w:sz="4" w:space="0"/>
              <w:left w:val="single" w:color="auto" w:sz="4" w:space="0"/>
              <w:bottom w:val="single" w:color="auto" w:sz="4" w:space="0"/>
              <w:right w:val="single" w:color="auto" w:sz="4" w:space="0"/>
            </w:tcBorders>
          </w:tcPr>
          <w:p w14:paraId="2AD4D5AB">
            <w:pPr>
              <w:spacing w:line="360" w:lineRule="auto"/>
              <w:jc w:val="center"/>
              <w:rPr>
                <w:rFonts w:ascii="PMingLiU" w:hAnsi="PMingLiU"/>
                <w:color w:val="auto"/>
                <w:sz w:val="22"/>
                <w:szCs w:val="22"/>
                <w:highlight w:val="none"/>
              </w:rPr>
            </w:pPr>
            <w:r>
              <w:rPr>
                <w:rFonts w:hint="eastAsia" w:ascii="PMingLiU" w:hAnsi="PMingLiU"/>
                <w:color w:val="auto"/>
                <w:sz w:val="22"/>
                <w:szCs w:val="22"/>
                <w:highlight w:val="none"/>
              </w:rPr>
              <w:t>3</w:t>
            </w:r>
          </w:p>
        </w:tc>
        <w:tc>
          <w:tcPr>
            <w:tcW w:w="2398" w:type="dxa"/>
            <w:tcBorders>
              <w:top w:val="single" w:color="auto" w:sz="4" w:space="0"/>
              <w:left w:val="nil"/>
              <w:bottom w:val="single" w:color="auto" w:sz="4" w:space="0"/>
              <w:right w:val="single" w:color="auto" w:sz="4" w:space="0"/>
            </w:tcBorders>
          </w:tcPr>
          <w:p w14:paraId="033F897C">
            <w:pPr>
              <w:spacing w:line="360" w:lineRule="auto"/>
              <w:rPr>
                <w:rFonts w:ascii="PMingLiU" w:hAnsi="PMingLiU"/>
                <w:color w:val="auto"/>
                <w:sz w:val="22"/>
                <w:szCs w:val="22"/>
                <w:highlight w:val="none"/>
              </w:rPr>
            </w:pPr>
          </w:p>
        </w:tc>
        <w:tc>
          <w:tcPr>
            <w:tcW w:w="2124" w:type="dxa"/>
            <w:tcBorders>
              <w:top w:val="single" w:color="auto" w:sz="4" w:space="0"/>
              <w:left w:val="nil"/>
              <w:bottom w:val="single" w:color="auto" w:sz="4" w:space="0"/>
              <w:right w:val="single" w:color="auto" w:sz="4" w:space="0"/>
            </w:tcBorders>
          </w:tcPr>
          <w:p w14:paraId="6F1171D6">
            <w:pPr>
              <w:spacing w:line="360" w:lineRule="auto"/>
              <w:rPr>
                <w:rFonts w:ascii="PMingLiU" w:hAnsi="PMingLiU"/>
                <w:color w:val="auto"/>
                <w:sz w:val="22"/>
                <w:szCs w:val="22"/>
                <w:highlight w:val="none"/>
              </w:rPr>
            </w:pPr>
          </w:p>
        </w:tc>
        <w:tc>
          <w:tcPr>
            <w:tcW w:w="1578" w:type="dxa"/>
            <w:tcBorders>
              <w:top w:val="single" w:color="auto" w:sz="4" w:space="0"/>
              <w:left w:val="nil"/>
              <w:bottom w:val="single" w:color="auto" w:sz="4" w:space="0"/>
              <w:right w:val="single" w:color="auto" w:sz="4" w:space="0"/>
            </w:tcBorders>
          </w:tcPr>
          <w:p w14:paraId="4D13ACEC">
            <w:pPr>
              <w:spacing w:line="360" w:lineRule="auto"/>
              <w:rPr>
                <w:rFonts w:ascii="PMingLiU" w:hAnsi="PMingLiU"/>
                <w:color w:val="auto"/>
                <w:sz w:val="22"/>
                <w:szCs w:val="22"/>
                <w:highlight w:val="none"/>
              </w:rPr>
            </w:pPr>
          </w:p>
        </w:tc>
        <w:tc>
          <w:tcPr>
            <w:tcW w:w="1417" w:type="dxa"/>
            <w:tcBorders>
              <w:top w:val="single" w:color="auto" w:sz="4" w:space="0"/>
              <w:left w:val="nil"/>
              <w:bottom w:val="single" w:color="auto" w:sz="4" w:space="0"/>
              <w:right w:val="single" w:color="auto" w:sz="4" w:space="0"/>
            </w:tcBorders>
          </w:tcPr>
          <w:p w14:paraId="0EA76725">
            <w:pPr>
              <w:spacing w:line="360" w:lineRule="auto"/>
              <w:rPr>
                <w:rFonts w:ascii="PMingLiU" w:hAnsi="PMingLiU"/>
                <w:color w:val="auto"/>
                <w:sz w:val="22"/>
                <w:szCs w:val="22"/>
                <w:highlight w:val="none"/>
              </w:rPr>
            </w:pPr>
          </w:p>
        </w:tc>
      </w:tr>
      <w:tr w14:paraId="78518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002" w:type="dxa"/>
            <w:tcBorders>
              <w:top w:val="single" w:color="auto" w:sz="4" w:space="0"/>
              <w:left w:val="single" w:color="auto" w:sz="4" w:space="0"/>
              <w:bottom w:val="single" w:color="auto" w:sz="4" w:space="0"/>
              <w:right w:val="single" w:color="auto" w:sz="4" w:space="0"/>
            </w:tcBorders>
          </w:tcPr>
          <w:p w14:paraId="08D98DDF">
            <w:pPr>
              <w:spacing w:line="360" w:lineRule="auto"/>
              <w:jc w:val="center"/>
              <w:rPr>
                <w:rFonts w:ascii="PMingLiU" w:hAnsi="PMingLiU"/>
                <w:color w:val="auto"/>
                <w:sz w:val="22"/>
                <w:szCs w:val="22"/>
                <w:highlight w:val="none"/>
              </w:rPr>
            </w:pPr>
            <w:r>
              <w:rPr>
                <w:rFonts w:hint="eastAsia" w:ascii="PMingLiU" w:hAnsi="PMingLiU"/>
                <w:color w:val="auto"/>
                <w:sz w:val="22"/>
                <w:szCs w:val="22"/>
                <w:highlight w:val="none"/>
              </w:rPr>
              <w:t>……</w:t>
            </w:r>
          </w:p>
        </w:tc>
        <w:tc>
          <w:tcPr>
            <w:tcW w:w="2398" w:type="dxa"/>
            <w:tcBorders>
              <w:top w:val="single" w:color="auto" w:sz="4" w:space="0"/>
              <w:left w:val="nil"/>
              <w:bottom w:val="single" w:color="auto" w:sz="4" w:space="0"/>
              <w:right w:val="single" w:color="auto" w:sz="4" w:space="0"/>
            </w:tcBorders>
          </w:tcPr>
          <w:p w14:paraId="306492C0">
            <w:pPr>
              <w:spacing w:line="360" w:lineRule="auto"/>
              <w:rPr>
                <w:rFonts w:ascii="PMingLiU" w:hAnsi="PMingLiU"/>
                <w:color w:val="auto"/>
                <w:sz w:val="22"/>
                <w:szCs w:val="22"/>
                <w:highlight w:val="none"/>
              </w:rPr>
            </w:pPr>
          </w:p>
        </w:tc>
        <w:tc>
          <w:tcPr>
            <w:tcW w:w="2124" w:type="dxa"/>
            <w:tcBorders>
              <w:top w:val="single" w:color="auto" w:sz="4" w:space="0"/>
              <w:left w:val="nil"/>
              <w:bottom w:val="single" w:color="auto" w:sz="4" w:space="0"/>
              <w:right w:val="single" w:color="auto" w:sz="4" w:space="0"/>
            </w:tcBorders>
          </w:tcPr>
          <w:p w14:paraId="1CF30542">
            <w:pPr>
              <w:spacing w:line="360" w:lineRule="auto"/>
              <w:rPr>
                <w:rFonts w:ascii="PMingLiU" w:hAnsi="PMingLiU"/>
                <w:color w:val="auto"/>
                <w:sz w:val="22"/>
                <w:szCs w:val="22"/>
                <w:highlight w:val="none"/>
              </w:rPr>
            </w:pPr>
          </w:p>
        </w:tc>
        <w:tc>
          <w:tcPr>
            <w:tcW w:w="1578" w:type="dxa"/>
            <w:tcBorders>
              <w:top w:val="single" w:color="auto" w:sz="4" w:space="0"/>
              <w:left w:val="nil"/>
              <w:bottom w:val="single" w:color="auto" w:sz="4" w:space="0"/>
              <w:right w:val="single" w:color="auto" w:sz="4" w:space="0"/>
            </w:tcBorders>
          </w:tcPr>
          <w:p w14:paraId="7EB4845A">
            <w:pPr>
              <w:spacing w:line="360" w:lineRule="auto"/>
              <w:rPr>
                <w:rFonts w:ascii="PMingLiU" w:hAnsi="PMingLiU"/>
                <w:color w:val="auto"/>
                <w:sz w:val="22"/>
                <w:szCs w:val="22"/>
                <w:highlight w:val="none"/>
              </w:rPr>
            </w:pPr>
          </w:p>
        </w:tc>
        <w:tc>
          <w:tcPr>
            <w:tcW w:w="1417" w:type="dxa"/>
            <w:tcBorders>
              <w:top w:val="single" w:color="auto" w:sz="4" w:space="0"/>
              <w:left w:val="nil"/>
              <w:bottom w:val="single" w:color="auto" w:sz="4" w:space="0"/>
              <w:right w:val="single" w:color="auto" w:sz="4" w:space="0"/>
            </w:tcBorders>
          </w:tcPr>
          <w:p w14:paraId="132DB4DF">
            <w:pPr>
              <w:spacing w:line="360" w:lineRule="auto"/>
              <w:rPr>
                <w:rFonts w:ascii="PMingLiU" w:hAnsi="PMingLiU"/>
                <w:color w:val="auto"/>
                <w:sz w:val="22"/>
                <w:szCs w:val="22"/>
                <w:highlight w:val="none"/>
              </w:rPr>
            </w:pPr>
          </w:p>
        </w:tc>
      </w:tr>
    </w:tbl>
    <w:p w14:paraId="010C1405">
      <w:pPr>
        <w:rPr>
          <w:color w:val="auto"/>
          <w:highlight w:val="none"/>
        </w:rPr>
      </w:pPr>
    </w:p>
    <w:p w14:paraId="2D7A055B">
      <w:pPr>
        <w:spacing w:line="360" w:lineRule="auto"/>
        <w:rPr>
          <w:rFonts w:ascii="PMingLiU" w:hAnsi="PMingLiU"/>
          <w:color w:val="auto"/>
          <w:sz w:val="22"/>
          <w:szCs w:val="22"/>
          <w:highlight w:val="none"/>
        </w:rPr>
      </w:pPr>
      <w:r>
        <w:rPr>
          <w:rFonts w:hint="eastAsia" w:ascii="PMingLiU" w:hAnsi="PMingLiU"/>
          <w:color w:val="auto"/>
          <w:sz w:val="22"/>
          <w:szCs w:val="22"/>
          <w:highlight w:val="none"/>
        </w:rPr>
        <w:t>注：</w:t>
      </w:r>
    </w:p>
    <w:p w14:paraId="38952F9F">
      <w:pPr>
        <w:numPr>
          <w:ilvl w:val="0"/>
          <w:numId w:val="9"/>
        </w:numPr>
        <w:spacing w:line="360" w:lineRule="auto"/>
        <w:rPr>
          <w:rFonts w:ascii="PMingLiU" w:hAnsi="PMingLiU"/>
          <w:color w:val="auto"/>
          <w:sz w:val="22"/>
          <w:szCs w:val="22"/>
          <w:highlight w:val="none"/>
        </w:rPr>
      </w:pPr>
      <w:r>
        <w:rPr>
          <w:rFonts w:hint="eastAsia" w:ascii="PMingLiU" w:hAnsi="PMingLiU"/>
          <w:color w:val="auto"/>
          <w:sz w:val="22"/>
          <w:szCs w:val="22"/>
          <w:highlight w:val="none"/>
        </w:rPr>
        <w:t>投标人必须对应招标文件</w:t>
      </w:r>
      <w:r>
        <w:rPr>
          <w:rFonts w:hint="eastAsia" w:ascii="PMingLiU" w:hAnsi="PMingLiU" w:eastAsia="宋体"/>
          <w:color w:val="auto"/>
          <w:sz w:val="22"/>
          <w:szCs w:val="22"/>
          <w:highlight w:val="none"/>
          <w:lang w:val="en-US" w:eastAsia="zh-CN"/>
        </w:rPr>
        <w:t>-第二章招标项目需求-</w:t>
      </w:r>
      <w:r>
        <w:rPr>
          <w:rFonts w:hint="eastAsia" w:ascii="PMingLiU" w:hAnsi="PMingLiU"/>
          <w:color w:val="auto"/>
          <w:sz w:val="22"/>
          <w:szCs w:val="22"/>
          <w:highlight w:val="none"/>
        </w:rPr>
        <w:t>商务要求”逐条响应。</w:t>
      </w:r>
    </w:p>
    <w:p w14:paraId="5A1EB400">
      <w:pPr>
        <w:numPr>
          <w:ilvl w:val="0"/>
          <w:numId w:val="9"/>
        </w:numPr>
        <w:spacing w:line="360" w:lineRule="auto"/>
        <w:rPr>
          <w:rFonts w:ascii="PMingLiU" w:hAnsi="PMingLiU" w:cs="PMingLiU"/>
          <w:bCs/>
          <w:color w:val="auto"/>
          <w:sz w:val="22"/>
          <w:highlight w:val="none"/>
        </w:rPr>
      </w:pPr>
      <w:r>
        <w:rPr>
          <w:rFonts w:hint="eastAsia" w:ascii="PMingLiU" w:hAnsi="PMingLiU"/>
          <w:color w:val="auto"/>
          <w:sz w:val="22"/>
          <w:szCs w:val="22"/>
          <w:highlight w:val="none"/>
        </w:rPr>
        <w:t>“偏离情况”一栏应如实填写“正偏离”、“负偏离”或“无偏离”。</w:t>
      </w:r>
    </w:p>
    <w:p w14:paraId="5093410F">
      <w:pPr>
        <w:rPr>
          <w:color w:val="auto"/>
          <w:highlight w:val="none"/>
        </w:rPr>
      </w:pPr>
    </w:p>
    <w:p w14:paraId="663459CE">
      <w:pPr>
        <w:pStyle w:val="6"/>
        <w:numPr>
          <w:ilvl w:val="0"/>
          <w:numId w:val="6"/>
        </w:numPr>
        <w:ind w:left="0" w:leftChars="0" w:firstLine="420" w:firstLineChars="0"/>
        <w:jc w:val="center"/>
        <w:rPr>
          <w:rFonts w:hint="default" w:ascii="黑体" w:hAnsi="宋体" w:eastAsia="黑体"/>
          <w:b w:val="0"/>
          <w:sz w:val="24"/>
          <w:lang w:val="en-US" w:eastAsia="zh-CN"/>
        </w:rPr>
      </w:pPr>
      <w:r>
        <w:rPr>
          <w:rFonts w:hint="eastAsia" w:ascii="黑体" w:hAnsi="宋体" w:eastAsia="黑体"/>
          <w:b w:val="0"/>
          <w:sz w:val="24"/>
          <w:lang w:val="en-US" w:eastAsia="zh-CN"/>
        </w:rPr>
        <w:t>供应商基本情况表</w:t>
      </w:r>
    </w:p>
    <w:p w14:paraId="2F14BF08">
      <w:pPr>
        <w:spacing w:before="220" w:line="198" w:lineRule="auto"/>
        <w:rPr>
          <w:rFonts w:hint="eastAsia" w:ascii="宋体" w:hAnsi="宋体" w:eastAsia="宋体" w:cs="宋体"/>
          <w:sz w:val="22"/>
          <w:szCs w:val="22"/>
        </w:rPr>
      </w:pPr>
      <w:r>
        <w:rPr>
          <w:rFonts w:hint="eastAsia" w:ascii="宋体" w:hAnsi="宋体" w:eastAsia="宋体" w:cs="宋体"/>
          <w:sz w:val="22"/>
          <w:szCs w:val="22"/>
        </w:rPr>
        <w:t>填表日期：</w:t>
      </w:r>
      <w:r>
        <w:rPr>
          <w:rFonts w:hint="eastAsia" w:ascii="宋体" w:hAnsi="宋体" w:eastAsia="宋体" w:cs="宋体"/>
          <w:spacing w:val="13"/>
          <w:sz w:val="22"/>
          <w:szCs w:val="22"/>
        </w:rPr>
        <w:t xml:space="preserve">      </w:t>
      </w:r>
      <w:r>
        <w:rPr>
          <w:rFonts w:hint="eastAsia" w:ascii="宋体" w:hAnsi="宋体" w:eastAsia="宋体" w:cs="宋体"/>
          <w:sz w:val="22"/>
          <w:szCs w:val="22"/>
        </w:rPr>
        <w:t>年     月      日</w:t>
      </w:r>
    </w:p>
    <w:p w14:paraId="7FB9AD52">
      <w:pPr>
        <w:spacing w:line="75" w:lineRule="exact"/>
        <w:rPr>
          <w:rFonts w:hint="eastAsia" w:ascii="宋体" w:hAnsi="宋体" w:eastAsia="宋体" w:cs="宋体"/>
          <w:sz w:val="24"/>
          <w:szCs w:val="24"/>
        </w:rPr>
      </w:pPr>
    </w:p>
    <w:tbl>
      <w:tblPr>
        <w:tblStyle w:val="54"/>
        <w:tblW w:w="875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40"/>
        <w:gridCol w:w="676"/>
        <w:gridCol w:w="1605"/>
        <w:gridCol w:w="946"/>
        <w:gridCol w:w="791"/>
        <w:gridCol w:w="1199"/>
        <w:gridCol w:w="1499"/>
        <w:gridCol w:w="1303"/>
      </w:tblGrid>
      <w:tr w14:paraId="5879B4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jc w:val="center"/>
        </w:trPr>
        <w:tc>
          <w:tcPr>
            <w:tcW w:w="1416" w:type="dxa"/>
            <w:gridSpan w:val="2"/>
            <w:vAlign w:val="center"/>
          </w:tcPr>
          <w:p w14:paraId="39085BB7">
            <w:pPr>
              <w:pStyle w:val="58"/>
              <w:spacing w:before="180" w:line="203" w:lineRule="auto"/>
              <w:jc w:val="both"/>
              <w:rPr>
                <w:rFonts w:hint="eastAsia" w:ascii="宋体" w:hAnsi="宋体" w:eastAsia="宋体" w:cs="宋体"/>
                <w:sz w:val="22"/>
                <w:szCs w:val="22"/>
              </w:rPr>
            </w:pPr>
            <w:r>
              <w:rPr>
                <w:rFonts w:hint="eastAsia" w:ascii="宋体" w:hAnsi="宋体" w:eastAsia="宋体" w:cs="宋体"/>
                <w:spacing w:val="-4"/>
                <w:sz w:val="22"/>
                <w:szCs w:val="22"/>
              </w:rPr>
              <w:t>采购人</w:t>
            </w:r>
          </w:p>
        </w:tc>
        <w:tc>
          <w:tcPr>
            <w:tcW w:w="7343" w:type="dxa"/>
            <w:gridSpan w:val="6"/>
            <w:vAlign w:val="center"/>
          </w:tcPr>
          <w:p w14:paraId="017D51D4">
            <w:pPr>
              <w:jc w:val="center"/>
              <w:rPr>
                <w:rFonts w:hint="eastAsia" w:ascii="宋体" w:hAnsi="宋体" w:eastAsia="宋体" w:cs="宋体"/>
                <w:color w:val="auto"/>
                <w:sz w:val="22"/>
                <w:szCs w:val="22"/>
                <w:lang w:eastAsia="zh-CN"/>
              </w:rPr>
            </w:pPr>
          </w:p>
        </w:tc>
      </w:tr>
      <w:tr w14:paraId="42E73A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6" w:hRule="atLeast"/>
          <w:jc w:val="center"/>
        </w:trPr>
        <w:tc>
          <w:tcPr>
            <w:tcW w:w="1416" w:type="dxa"/>
            <w:gridSpan w:val="2"/>
            <w:shd w:val="clear" w:color="auto" w:fill="auto"/>
            <w:vAlign w:val="center"/>
          </w:tcPr>
          <w:p w14:paraId="777DA4E8">
            <w:pPr>
              <w:pStyle w:val="58"/>
              <w:spacing w:before="181" w:line="201" w:lineRule="auto"/>
              <w:jc w:val="both"/>
              <w:rPr>
                <w:rFonts w:hint="eastAsia" w:ascii="宋体" w:hAnsi="宋体" w:eastAsia="宋体" w:cs="宋体"/>
                <w:kern w:val="2"/>
                <w:sz w:val="22"/>
                <w:szCs w:val="22"/>
                <w:lang w:val="en-US" w:eastAsia="en-US" w:bidi="ar-SA"/>
              </w:rPr>
            </w:pPr>
            <w:r>
              <w:rPr>
                <w:rFonts w:hint="eastAsia" w:ascii="宋体" w:hAnsi="宋体" w:eastAsia="宋体" w:cs="宋体"/>
                <w:spacing w:val="-3"/>
                <w:sz w:val="22"/>
                <w:szCs w:val="22"/>
              </w:rPr>
              <w:t>项目名称</w:t>
            </w:r>
          </w:p>
        </w:tc>
        <w:tc>
          <w:tcPr>
            <w:tcW w:w="2551" w:type="dxa"/>
            <w:gridSpan w:val="2"/>
            <w:shd w:val="clear" w:color="auto" w:fill="auto"/>
            <w:vAlign w:val="center"/>
          </w:tcPr>
          <w:p w14:paraId="46D3DB7D">
            <w:pPr>
              <w:jc w:val="center"/>
              <w:rPr>
                <w:rFonts w:hint="eastAsia" w:ascii="宋体" w:hAnsi="宋体" w:eastAsia="宋体" w:cs="宋体"/>
                <w:color w:val="auto"/>
                <w:kern w:val="2"/>
                <w:sz w:val="22"/>
                <w:szCs w:val="22"/>
                <w:lang w:val="en-US" w:eastAsia="zh-CN" w:bidi="ar-SA"/>
              </w:rPr>
            </w:pPr>
          </w:p>
        </w:tc>
        <w:tc>
          <w:tcPr>
            <w:tcW w:w="1990" w:type="dxa"/>
            <w:gridSpan w:val="2"/>
            <w:vAlign w:val="center"/>
          </w:tcPr>
          <w:p w14:paraId="281F0AED">
            <w:pPr>
              <w:pStyle w:val="58"/>
              <w:spacing w:before="40" w:line="191" w:lineRule="auto"/>
              <w:ind w:right="152"/>
              <w:jc w:val="center"/>
              <w:rPr>
                <w:rFonts w:hint="eastAsia" w:ascii="宋体" w:hAnsi="宋体" w:eastAsia="宋体" w:cs="宋体"/>
                <w:color w:val="auto"/>
                <w:spacing w:val="-2"/>
                <w:sz w:val="22"/>
                <w:szCs w:val="22"/>
                <w:lang w:val="en-US" w:eastAsia="zh-CN"/>
              </w:rPr>
            </w:pPr>
            <w:r>
              <w:rPr>
                <w:rFonts w:hint="eastAsia" w:ascii="宋体" w:hAnsi="宋体" w:eastAsia="宋体" w:cs="宋体"/>
                <w:color w:val="auto"/>
                <w:spacing w:val="-2"/>
                <w:sz w:val="22"/>
                <w:szCs w:val="22"/>
                <w:lang w:val="en-US" w:eastAsia="zh-CN"/>
              </w:rPr>
              <w:t>项目编号</w:t>
            </w:r>
          </w:p>
        </w:tc>
        <w:tc>
          <w:tcPr>
            <w:tcW w:w="2802" w:type="dxa"/>
            <w:gridSpan w:val="2"/>
            <w:vAlign w:val="center"/>
          </w:tcPr>
          <w:p w14:paraId="67BFD23D">
            <w:pPr>
              <w:jc w:val="center"/>
              <w:rPr>
                <w:rFonts w:hint="eastAsia" w:ascii="宋体" w:hAnsi="宋体" w:eastAsia="宋体" w:cs="宋体"/>
                <w:color w:val="auto"/>
                <w:sz w:val="22"/>
                <w:szCs w:val="22"/>
                <w:lang w:eastAsia="zh-CN"/>
              </w:rPr>
            </w:pPr>
          </w:p>
        </w:tc>
      </w:tr>
      <w:tr w14:paraId="5425D5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6" w:hRule="atLeast"/>
          <w:jc w:val="center"/>
        </w:trPr>
        <w:tc>
          <w:tcPr>
            <w:tcW w:w="1416" w:type="dxa"/>
            <w:gridSpan w:val="2"/>
            <w:vAlign w:val="center"/>
          </w:tcPr>
          <w:p w14:paraId="3680A526">
            <w:pPr>
              <w:pStyle w:val="58"/>
              <w:spacing w:before="40" w:line="191" w:lineRule="auto"/>
              <w:ind w:right="105"/>
              <w:jc w:val="both"/>
              <w:rPr>
                <w:rFonts w:hint="eastAsia" w:ascii="宋体" w:hAnsi="宋体" w:eastAsia="宋体" w:cs="宋体"/>
                <w:sz w:val="22"/>
                <w:szCs w:val="22"/>
                <w:lang w:val="en-US" w:eastAsia="zh-CN"/>
              </w:rPr>
            </w:pPr>
            <w:r>
              <w:rPr>
                <w:rFonts w:hint="eastAsia" w:ascii="宋体" w:hAnsi="宋体" w:eastAsia="宋体" w:cs="宋体"/>
                <w:spacing w:val="-4"/>
                <w:sz w:val="22"/>
                <w:szCs w:val="22"/>
              </w:rPr>
              <w:t>投标（响</w:t>
            </w:r>
            <w:r>
              <w:rPr>
                <w:rFonts w:hint="eastAsia" w:ascii="宋体" w:hAnsi="宋体" w:eastAsia="宋体" w:cs="宋体"/>
                <w:spacing w:val="-5"/>
                <w:sz w:val="22"/>
                <w:szCs w:val="22"/>
              </w:rPr>
              <w:t>应）供应商</w:t>
            </w:r>
            <w:r>
              <w:rPr>
                <w:rFonts w:hint="eastAsia" w:ascii="宋体" w:hAnsi="宋体" w:eastAsia="宋体" w:cs="宋体"/>
                <w:spacing w:val="-5"/>
                <w:sz w:val="22"/>
                <w:szCs w:val="22"/>
                <w:lang w:val="en-US" w:eastAsia="zh-CN"/>
              </w:rPr>
              <w:t>名称</w:t>
            </w:r>
          </w:p>
        </w:tc>
        <w:tc>
          <w:tcPr>
            <w:tcW w:w="2551" w:type="dxa"/>
            <w:gridSpan w:val="2"/>
            <w:vAlign w:val="center"/>
          </w:tcPr>
          <w:p w14:paraId="60D7D3A1">
            <w:pPr>
              <w:jc w:val="both"/>
              <w:rPr>
                <w:rFonts w:hint="eastAsia" w:ascii="宋体" w:hAnsi="宋体" w:eastAsia="宋体" w:cs="宋体"/>
                <w:sz w:val="22"/>
                <w:szCs w:val="22"/>
              </w:rPr>
            </w:pPr>
          </w:p>
        </w:tc>
        <w:tc>
          <w:tcPr>
            <w:tcW w:w="1990" w:type="dxa"/>
            <w:gridSpan w:val="2"/>
            <w:vAlign w:val="center"/>
          </w:tcPr>
          <w:p w14:paraId="14464BB0">
            <w:pPr>
              <w:pStyle w:val="58"/>
              <w:spacing w:before="40" w:line="191" w:lineRule="auto"/>
              <w:ind w:left="527" w:right="152" w:hanging="362"/>
              <w:jc w:val="both"/>
              <w:rPr>
                <w:rFonts w:hint="eastAsia" w:ascii="宋体" w:hAnsi="宋体" w:eastAsia="宋体" w:cs="宋体"/>
                <w:sz w:val="22"/>
                <w:szCs w:val="22"/>
              </w:rPr>
            </w:pPr>
            <w:r>
              <w:rPr>
                <w:rFonts w:hint="eastAsia" w:ascii="宋体" w:hAnsi="宋体" w:eastAsia="宋体" w:cs="宋体"/>
                <w:spacing w:val="-2"/>
                <w:sz w:val="22"/>
                <w:szCs w:val="22"/>
              </w:rPr>
              <w:t>供应商统一社会</w:t>
            </w:r>
            <w:r>
              <w:rPr>
                <w:rFonts w:hint="eastAsia" w:ascii="宋体" w:hAnsi="宋体" w:eastAsia="宋体" w:cs="宋体"/>
                <w:sz w:val="22"/>
                <w:szCs w:val="22"/>
              </w:rPr>
              <w:t xml:space="preserve"> </w:t>
            </w:r>
            <w:r>
              <w:rPr>
                <w:rFonts w:hint="eastAsia" w:ascii="宋体" w:hAnsi="宋体" w:eastAsia="宋体" w:cs="宋体"/>
                <w:spacing w:val="-3"/>
                <w:sz w:val="22"/>
                <w:szCs w:val="22"/>
              </w:rPr>
              <w:t>信用代码</w:t>
            </w:r>
          </w:p>
        </w:tc>
        <w:tc>
          <w:tcPr>
            <w:tcW w:w="2802" w:type="dxa"/>
            <w:gridSpan w:val="2"/>
            <w:vAlign w:val="center"/>
          </w:tcPr>
          <w:p w14:paraId="3FD978F8">
            <w:pPr>
              <w:jc w:val="both"/>
              <w:rPr>
                <w:rFonts w:hint="eastAsia" w:ascii="宋体" w:hAnsi="宋体" w:eastAsia="宋体" w:cs="宋体"/>
                <w:sz w:val="22"/>
                <w:szCs w:val="22"/>
              </w:rPr>
            </w:pPr>
          </w:p>
        </w:tc>
      </w:tr>
      <w:tr w14:paraId="278DCD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8759" w:type="dxa"/>
            <w:gridSpan w:val="8"/>
            <w:vAlign w:val="top"/>
          </w:tcPr>
          <w:p w14:paraId="785B0E89">
            <w:pPr>
              <w:pStyle w:val="58"/>
              <w:spacing w:before="175" w:line="198" w:lineRule="auto"/>
              <w:ind w:left="2683"/>
              <w:rPr>
                <w:rFonts w:hint="eastAsia" w:ascii="宋体" w:hAnsi="宋体" w:eastAsia="宋体" w:cs="宋体"/>
                <w:sz w:val="22"/>
                <w:szCs w:val="22"/>
              </w:rPr>
            </w:pPr>
            <w:r>
              <w:rPr>
                <w:rFonts w:hint="eastAsia" w:ascii="宋体" w:hAnsi="宋体" w:eastAsia="宋体" w:cs="宋体"/>
                <w:b/>
                <w:bCs/>
                <w:sz w:val="22"/>
                <w:szCs w:val="22"/>
              </w:rPr>
              <w:t>投标（响应）供应商相关人员情况</w:t>
            </w:r>
          </w:p>
        </w:tc>
      </w:tr>
      <w:tr w14:paraId="2B5819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5" w:hRule="atLeast"/>
          <w:jc w:val="center"/>
        </w:trPr>
        <w:tc>
          <w:tcPr>
            <w:tcW w:w="740" w:type="dxa"/>
            <w:vAlign w:val="top"/>
          </w:tcPr>
          <w:p w14:paraId="12F40D25">
            <w:pPr>
              <w:pStyle w:val="58"/>
              <w:spacing w:before="217" w:line="202" w:lineRule="auto"/>
              <w:ind w:left="145"/>
              <w:rPr>
                <w:rFonts w:hint="eastAsia" w:ascii="宋体" w:hAnsi="宋体" w:eastAsia="宋体" w:cs="宋体"/>
                <w:sz w:val="22"/>
                <w:szCs w:val="22"/>
              </w:rPr>
            </w:pPr>
            <w:r>
              <w:rPr>
                <w:rFonts w:hint="eastAsia" w:ascii="宋体" w:hAnsi="宋体" w:eastAsia="宋体" w:cs="宋体"/>
                <w:spacing w:val="-5"/>
                <w:sz w:val="22"/>
                <w:szCs w:val="22"/>
              </w:rPr>
              <w:t>序号</w:t>
            </w:r>
          </w:p>
        </w:tc>
        <w:tc>
          <w:tcPr>
            <w:tcW w:w="2281" w:type="dxa"/>
            <w:gridSpan w:val="2"/>
            <w:vAlign w:val="top"/>
          </w:tcPr>
          <w:p w14:paraId="5DDA525C">
            <w:pPr>
              <w:pStyle w:val="58"/>
              <w:spacing w:before="213" w:line="202" w:lineRule="auto"/>
              <w:ind w:left="916"/>
              <w:rPr>
                <w:rFonts w:hint="eastAsia" w:ascii="宋体" w:hAnsi="宋体" w:eastAsia="宋体" w:cs="宋体"/>
                <w:sz w:val="22"/>
                <w:szCs w:val="22"/>
              </w:rPr>
            </w:pPr>
            <w:r>
              <w:rPr>
                <w:rFonts w:hint="eastAsia" w:ascii="宋体" w:hAnsi="宋体" w:eastAsia="宋体" w:cs="宋体"/>
                <w:spacing w:val="-6"/>
                <w:sz w:val="22"/>
                <w:szCs w:val="22"/>
              </w:rPr>
              <w:t>职务</w:t>
            </w:r>
          </w:p>
        </w:tc>
        <w:tc>
          <w:tcPr>
            <w:tcW w:w="946" w:type="dxa"/>
            <w:vAlign w:val="top"/>
          </w:tcPr>
          <w:p w14:paraId="11D68907">
            <w:pPr>
              <w:pStyle w:val="58"/>
              <w:spacing w:before="213" w:line="203" w:lineRule="auto"/>
              <w:ind w:left="245"/>
              <w:rPr>
                <w:rFonts w:hint="eastAsia" w:ascii="宋体" w:hAnsi="宋体" w:eastAsia="宋体" w:cs="宋体"/>
                <w:sz w:val="22"/>
                <w:szCs w:val="22"/>
              </w:rPr>
            </w:pPr>
            <w:r>
              <w:rPr>
                <w:rFonts w:hint="eastAsia" w:ascii="宋体" w:hAnsi="宋体" w:eastAsia="宋体" w:cs="宋体"/>
                <w:spacing w:val="-4"/>
                <w:sz w:val="22"/>
                <w:szCs w:val="22"/>
              </w:rPr>
              <w:t>姓名</w:t>
            </w:r>
          </w:p>
        </w:tc>
        <w:tc>
          <w:tcPr>
            <w:tcW w:w="1990" w:type="dxa"/>
            <w:gridSpan w:val="2"/>
            <w:vAlign w:val="top"/>
          </w:tcPr>
          <w:p w14:paraId="78BCB862">
            <w:pPr>
              <w:pStyle w:val="58"/>
              <w:spacing w:before="214" w:line="203" w:lineRule="auto"/>
              <w:ind w:left="410"/>
              <w:rPr>
                <w:rFonts w:hint="eastAsia" w:ascii="宋体" w:hAnsi="宋体" w:eastAsia="宋体" w:cs="宋体"/>
                <w:sz w:val="22"/>
                <w:szCs w:val="22"/>
              </w:rPr>
            </w:pPr>
            <w:r>
              <w:rPr>
                <w:rFonts w:hint="eastAsia" w:ascii="宋体" w:hAnsi="宋体" w:eastAsia="宋体" w:cs="宋体"/>
                <w:spacing w:val="-3"/>
                <w:sz w:val="22"/>
                <w:szCs w:val="22"/>
              </w:rPr>
              <w:t>身份证号码</w:t>
            </w:r>
          </w:p>
        </w:tc>
        <w:tc>
          <w:tcPr>
            <w:tcW w:w="1499" w:type="dxa"/>
            <w:vAlign w:val="top"/>
          </w:tcPr>
          <w:p w14:paraId="4F9E5225">
            <w:pPr>
              <w:pStyle w:val="58"/>
              <w:spacing w:before="39" w:line="191" w:lineRule="auto"/>
              <w:ind w:left="288" w:right="266" w:firstLine="5"/>
              <w:rPr>
                <w:rFonts w:hint="eastAsia" w:ascii="宋体" w:hAnsi="宋体" w:eastAsia="宋体" w:cs="宋体"/>
                <w:sz w:val="22"/>
                <w:szCs w:val="22"/>
              </w:rPr>
            </w:pPr>
            <w:r>
              <w:rPr>
                <w:rFonts w:hint="eastAsia" w:ascii="宋体" w:hAnsi="宋体" w:eastAsia="宋体" w:cs="宋体"/>
                <w:spacing w:val="-7"/>
                <w:sz w:val="22"/>
                <w:szCs w:val="22"/>
              </w:rPr>
              <w:t>劳动合同</w:t>
            </w:r>
            <w:r>
              <w:rPr>
                <w:rFonts w:hint="eastAsia" w:ascii="宋体" w:hAnsi="宋体" w:eastAsia="宋体" w:cs="宋体"/>
                <w:sz w:val="22"/>
                <w:szCs w:val="22"/>
              </w:rPr>
              <w:t xml:space="preserve"> </w:t>
            </w:r>
            <w:r>
              <w:rPr>
                <w:rFonts w:hint="eastAsia" w:ascii="宋体" w:hAnsi="宋体" w:eastAsia="宋体" w:cs="宋体"/>
                <w:spacing w:val="-6"/>
                <w:sz w:val="22"/>
                <w:szCs w:val="22"/>
              </w:rPr>
              <w:t>关系单位</w:t>
            </w:r>
          </w:p>
        </w:tc>
        <w:tc>
          <w:tcPr>
            <w:tcW w:w="1303" w:type="dxa"/>
            <w:vAlign w:val="top"/>
          </w:tcPr>
          <w:p w14:paraId="6984CFB5">
            <w:pPr>
              <w:pStyle w:val="58"/>
              <w:spacing w:before="39" w:line="191" w:lineRule="auto"/>
              <w:ind w:left="271" w:right="262" w:firstLine="8"/>
              <w:rPr>
                <w:rFonts w:hint="eastAsia" w:ascii="宋体" w:hAnsi="宋体" w:eastAsia="宋体" w:cs="宋体"/>
                <w:sz w:val="22"/>
                <w:szCs w:val="22"/>
              </w:rPr>
            </w:pPr>
            <w:r>
              <w:rPr>
                <w:rFonts w:hint="eastAsia" w:ascii="宋体" w:hAnsi="宋体" w:eastAsia="宋体" w:cs="宋体"/>
                <w:spacing w:val="-5"/>
                <w:sz w:val="22"/>
                <w:szCs w:val="22"/>
              </w:rPr>
              <w:t>缴纳社会</w:t>
            </w:r>
            <w:r>
              <w:rPr>
                <w:rFonts w:hint="eastAsia" w:ascii="宋体" w:hAnsi="宋体" w:eastAsia="宋体" w:cs="宋体"/>
                <w:spacing w:val="-3"/>
                <w:sz w:val="22"/>
                <w:szCs w:val="22"/>
              </w:rPr>
              <w:t>保险单位</w:t>
            </w:r>
          </w:p>
        </w:tc>
      </w:tr>
      <w:tr w14:paraId="73F39E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6" w:hRule="atLeast"/>
          <w:jc w:val="center"/>
        </w:trPr>
        <w:tc>
          <w:tcPr>
            <w:tcW w:w="740" w:type="dxa"/>
            <w:vAlign w:val="top"/>
          </w:tcPr>
          <w:p w14:paraId="2D8849A3">
            <w:pPr>
              <w:spacing w:line="252" w:lineRule="auto"/>
              <w:rPr>
                <w:rFonts w:hint="eastAsia" w:ascii="宋体" w:hAnsi="宋体" w:eastAsia="宋体" w:cs="宋体"/>
                <w:sz w:val="22"/>
                <w:szCs w:val="22"/>
              </w:rPr>
            </w:pPr>
          </w:p>
          <w:p w14:paraId="77106F66">
            <w:pPr>
              <w:pStyle w:val="58"/>
              <w:spacing w:before="103" w:line="169" w:lineRule="auto"/>
              <w:ind w:left="321"/>
              <w:rPr>
                <w:rFonts w:hint="eastAsia" w:ascii="宋体" w:hAnsi="宋体" w:eastAsia="宋体" w:cs="宋体"/>
                <w:sz w:val="22"/>
                <w:szCs w:val="22"/>
              </w:rPr>
            </w:pPr>
            <w:r>
              <w:rPr>
                <w:rFonts w:hint="eastAsia" w:ascii="宋体" w:hAnsi="宋体" w:eastAsia="宋体" w:cs="宋体"/>
                <w:sz w:val="22"/>
                <w:szCs w:val="22"/>
              </w:rPr>
              <w:t>1</w:t>
            </w:r>
          </w:p>
        </w:tc>
        <w:tc>
          <w:tcPr>
            <w:tcW w:w="2281" w:type="dxa"/>
            <w:gridSpan w:val="2"/>
            <w:vAlign w:val="top"/>
          </w:tcPr>
          <w:p w14:paraId="24086F9F">
            <w:pPr>
              <w:pStyle w:val="58"/>
              <w:spacing w:before="174" w:line="235" w:lineRule="auto"/>
              <w:ind w:left="240" w:right="116" w:hanging="101"/>
              <w:rPr>
                <w:rFonts w:hint="eastAsia" w:ascii="宋体" w:hAnsi="宋体" w:eastAsia="宋体" w:cs="宋体"/>
                <w:sz w:val="22"/>
                <w:szCs w:val="22"/>
              </w:rPr>
            </w:pPr>
            <w:r>
              <w:rPr>
                <w:rFonts w:hint="eastAsia" w:ascii="宋体" w:hAnsi="宋体" w:eastAsia="宋体" w:cs="宋体"/>
                <w:spacing w:val="-6"/>
                <w:sz w:val="22"/>
                <w:szCs w:val="22"/>
              </w:rPr>
              <w:t>法定代表人/单位负责 人/主要经营负责人</w:t>
            </w:r>
          </w:p>
        </w:tc>
        <w:tc>
          <w:tcPr>
            <w:tcW w:w="946" w:type="dxa"/>
            <w:vAlign w:val="top"/>
          </w:tcPr>
          <w:p w14:paraId="00A933DE">
            <w:pPr>
              <w:rPr>
                <w:rFonts w:hint="eastAsia" w:ascii="宋体" w:hAnsi="宋体" w:eastAsia="宋体" w:cs="宋体"/>
                <w:sz w:val="22"/>
                <w:szCs w:val="22"/>
              </w:rPr>
            </w:pPr>
          </w:p>
        </w:tc>
        <w:tc>
          <w:tcPr>
            <w:tcW w:w="1990" w:type="dxa"/>
            <w:gridSpan w:val="2"/>
            <w:vAlign w:val="top"/>
          </w:tcPr>
          <w:p w14:paraId="1DDCB2E3">
            <w:pPr>
              <w:rPr>
                <w:rFonts w:hint="eastAsia" w:ascii="宋体" w:hAnsi="宋体" w:eastAsia="宋体" w:cs="宋体"/>
                <w:sz w:val="22"/>
                <w:szCs w:val="22"/>
              </w:rPr>
            </w:pPr>
          </w:p>
        </w:tc>
        <w:tc>
          <w:tcPr>
            <w:tcW w:w="1499" w:type="dxa"/>
            <w:vAlign w:val="top"/>
          </w:tcPr>
          <w:p w14:paraId="1304A867">
            <w:pPr>
              <w:rPr>
                <w:rFonts w:hint="eastAsia" w:ascii="宋体" w:hAnsi="宋体" w:eastAsia="宋体" w:cs="宋体"/>
                <w:sz w:val="22"/>
                <w:szCs w:val="22"/>
              </w:rPr>
            </w:pPr>
          </w:p>
        </w:tc>
        <w:tc>
          <w:tcPr>
            <w:tcW w:w="1303" w:type="dxa"/>
            <w:vAlign w:val="top"/>
          </w:tcPr>
          <w:p w14:paraId="7E63C48D">
            <w:pPr>
              <w:rPr>
                <w:rFonts w:hint="eastAsia" w:ascii="宋体" w:hAnsi="宋体" w:eastAsia="宋体" w:cs="宋体"/>
                <w:sz w:val="22"/>
                <w:szCs w:val="22"/>
              </w:rPr>
            </w:pPr>
          </w:p>
        </w:tc>
      </w:tr>
      <w:tr w14:paraId="26CA77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740" w:type="dxa"/>
            <w:vAlign w:val="top"/>
          </w:tcPr>
          <w:p w14:paraId="6B1467A8">
            <w:pPr>
              <w:pStyle w:val="58"/>
              <w:spacing w:before="211" w:line="168" w:lineRule="auto"/>
              <w:ind w:left="322"/>
              <w:rPr>
                <w:rFonts w:hint="eastAsia" w:ascii="宋体" w:hAnsi="宋体" w:eastAsia="宋体" w:cs="宋体"/>
                <w:sz w:val="22"/>
                <w:szCs w:val="22"/>
              </w:rPr>
            </w:pPr>
            <w:r>
              <w:rPr>
                <w:rFonts w:hint="eastAsia" w:ascii="宋体" w:hAnsi="宋体" w:eastAsia="宋体" w:cs="宋体"/>
                <w:sz w:val="22"/>
                <w:szCs w:val="22"/>
              </w:rPr>
              <w:t>2</w:t>
            </w:r>
          </w:p>
        </w:tc>
        <w:tc>
          <w:tcPr>
            <w:tcW w:w="2281" w:type="dxa"/>
            <w:gridSpan w:val="2"/>
            <w:vAlign w:val="top"/>
          </w:tcPr>
          <w:p w14:paraId="5192EF36">
            <w:pPr>
              <w:pStyle w:val="58"/>
              <w:spacing w:before="190" w:line="202" w:lineRule="auto"/>
              <w:ind w:left="161"/>
              <w:rPr>
                <w:rFonts w:hint="eastAsia" w:ascii="宋体" w:hAnsi="宋体" w:eastAsia="宋体" w:cs="宋体"/>
                <w:sz w:val="22"/>
                <w:szCs w:val="22"/>
              </w:rPr>
            </w:pPr>
            <w:r>
              <w:rPr>
                <w:rFonts w:hint="eastAsia" w:ascii="宋体" w:hAnsi="宋体" w:eastAsia="宋体" w:cs="宋体"/>
                <w:spacing w:val="-2"/>
                <w:sz w:val="22"/>
                <w:szCs w:val="22"/>
              </w:rPr>
              <w:t>项目投标授权代表人</w:t>
            </w:r>
          </w:p>
        </w:tc>
        <w:tc>
          <w:tcPr>
            <w:tcW w:w="946" w:type="dxa"/>
            <w:vAlign w:val="top"/>
          </w:tcPr>
          <w:p w14:paraId="62B9DED8">
            <w:pPr>
              <w:rPr>
                <w:rFonts w:hint="eastAsia" w:ascii="宋体" w:hAnsi="宋体" w:eastAsia="宋体" w:cs="宋体"/>
                <w:sz w:val="22"/>
                <w:szCs w:val="22"/>
              </w:rPr>
            </w:pPr>
          </w:p>
        </w:tc>
        <w:tc>
          <w:tcPr>
            <w:tcW w:w="1990" w:type="dxa"/>
            <w:gridSpan w:val="2"/>
            <w:vAlign w:val="top"/>
          </w:tcPr>
          <w:p w14:paraId="2A1C80F5">
            <w:pPr>
              <w:rPr>
                <w:rFonts w:hint="eastAsia" w:ascii="宋体" w:hAnsi="宋体" w:eastAsia="宋体" w:cs="宋体"/>
                <w:sz w:val="22"/>
                <w:szCs w:val="22"/>
              </w:rPr>
            </w:pPr>
          </w:p>
        </w:tc>
        <w:tc>
          <w:tcPr>
            <w:tcW w:w="1499" w:type="dxa"/>
            <w:vAlign w:val="top"/>
          </w:tcPr>
          <w:p w14:paraId="2E36404A">
            <w:pPr>
              <w:rPr>
                <w:rFonts w:hint="eastAsia" w:ascii="宋体" w:hAnsi="宋体" w:eastAsia="宋体" w:cs="宋体"/>
                <w:sz w:val="22"/>
                <w:szCs w:val="22"/>
              </w:rPr>
            </w:pPr>
          </w:p>
        </w:tc>
        <w:tc>
          <w:tcPr>
            <w:tcW w:w="1303" w:type="dxa"/>
            <w:vAlign w:val="top"/>
          </w:tcPr>
          <w:p w14:paraId="23B84755">
            <w:pPr>
              <w:rPr>
                <w:rFonts w:hint="eastAsia" w:ascii="宋体" w:hAnsi="宋体" w:eastAsia="宋体" w:cs="宋体"/>
                <w:sz w:val="22"/>
                <w:szCs w:val="22"/>
              </w:rPr>
            </w:pPr>
          </w:p>
        </w:tc>
      </w:tr>
      <w:tr w14:paraId="2D8C4B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740" w:type="dxa"/>
            <w:vAlign w:val="top"/>
          </w:tcPr>
          <w:p w14:paraId="1170AB6D">
            <w:pPr>
              <w:pStyle w:val="58"/>
              <w:spacing w:before="210" w:line="167" w:lineRule="auto"/>
              <w:ind w:left="321"/>
              <w:rPr>
                <w:rFonts w:hint="eastAsia" w:ascii="宋体" w:hAnsi="宋体" w:eastAsia="宋体" w:cs="宋体"/>
                <w:sz w:val="22"/>
                <w:szCs w:val="22"/>
              </w:rPr>
            </w:pPr>
            <w:r>
              <w:rPr>
                <w:rFonts w:hint="eastAsia" w:ascii="宋体" w:hAnsi="宋体" w:eastAsia="宋体" w:cs="宋体"/>
                <w:sz w:val="22"/>
                <w:szCs w:val="22"/>
              </w:rPr>
              <w:t>3</w:t>
            </w:r>
          </w:p>
        </w:tc>
        <w:tc>
          <w:tcPr>
            <w:tcW w:w="2281" w:type="dxa"/>
            <w:gridSpan w:val="2"/>
            <w:vAlign w:val="top"/>
          </w:tcPr>
          <w:p w14:paraId="46E5E796">
            <w:pPr>
              <w:pStyle w:val="58"/>
              <w:spacing w:before="178" w:line="201" w:lineRule="auto"/>
              <w:ind w:left="551"/>
              <w:rPr>
                <w:rFonts w:hint="eastAsia" w:ascii="宋体" w:hAnsi="宋体" w:eastAsia="宋体" w:cs="宋体"/>
                <w:sz w:val="22"/>
                <w:szCs w:val="22"/>
              </w:rPr>
            </w:pPr>
            <w:r>
              <w:rPr>
                <w:rFonts w:hint="eastAsia" w:ascii="宋体" w:hAnsi="宋体" w:eastAsia="宋体" w:cs="宋体"/>
                <w:spacing w:val="-3"/>
                <w:sz w:val="22"/>
                <w:szCs w:val="22"/>
              </w:rPr>
              <w:t>项目负责人</w:t>
            </w:r>
          </w:p>
        </w:tc>
        <w:tc>
          <w:tcPr>
            <w:tcW w:w="946" w:type="dxa"/>
            <w:vAlign w:val="top"/>
          </w:tcPr>
          <w:p w14:paraId="4F0D0B16">
            <w:pPr>
              <w:rPr>
                <w:rFonts w:hint="eastAsia" w:ascii="宋体" w:hAnsi="宋体" w:eastAsia="宋体" w:cs="宋体"/>
                <w:sz w:val="22"/>
                <w:szCs w:val="22"/>
              </w:rPr>
            </w:pPr>
          </w:p>
        </w:tc>
        <w:tc>
          <w:tcPr>
            <w:tcW w:w="1990" w:type="dxa"/>
            <w:gridSpan w:val="2"/>
            <w:vAlign w:val="top"/>
          </w:tcPr>
          <w:p w14:paraId="318D7624">
            <w:pPr>
              <w:rPr>
                <w:rFonts w:hint="eastAsia" w:ascii="宋体" w:hAnsi="宋体" w:eastAsia="宋体" w:cs="宋体"/>
                <w:sz w:val="22"/>
                <w:szCs w:val="22"/>
              </w:rPr>
            </w:pPr>
          </w:p>
        </w:tc>
        <w:tc>
          <w:tcPr>
            <w:tcW w:w="1499" w:type="dxa"/>
            <w:vAlign w:val="top"/>
          </w:tcPr>
          <w:p w14:paraId="5C89CAB0">
            <w:pPr>
              <w:rPr>
                <w:rFonts w:hint="eastAsia" w:ascii="宋体" w:hAnsi="宋体" w:eastAsia="宋体" w:cs="宋体"/>
                <w:sz w:val="22"/>
                <w:szCs w:val="22"/>
              </w:rPr>
            </w:pPr>
          </w:p>
        </w:tc>
        <w:tc>
          <w:tcPr>
            <w:tcW w:w="1303" w:type="dxa"/>
            <w:vAlign w:val="top"/>
          </w:tcPr>
          <w:p w14:paraId="209EB826">
            <w:pPr>
              <w:rPr>
                <w:rFonts w:hint="eastAsia" w:ascii="宋体" w:hAnsi="宋体" w:eastAsia="宋体" w:cs="宋体"/>
                <w:sz w:val="22"/>
                <w:szCs w:val="22"/>
              </w:rPr>
            </w:pPr>
          </w:p>
        </w:tc>
      </w:tr>
      <w:tr w14:paraId="5F34B1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740" w:type="dxa"/>
            <w:vAlign w:val="top"/>
          </w:tcPr>
          <w:p w14:paraId="18FA0ACC">
            <w:pPr>
              <w:pStyle w:val="58"/>
              <w:spacing w:before="210" w:line="168" w:lineRule="auto"/>
              <w:ind w:left="314"/>
              <w:rPr>
                <w:rFonts w:hint="eastAsia" w:ascii="宋体" w:hAnsi="宋体" w:eastAsia="宋体" w:cs="宋体"/>
                <w:sz w:val="22"/>
                <w:szCs w:val="22"/>
              </w:rPr>
            </w:pPr>
            <w:r>
              <w:rPr>
                <w:rFonts w:hint="eastAsia" w:ascii="宋体" w:hAnsi="宋体" w:eastAsia="宋体" w:cs="宋体"/>
                <w:sz w:val="22"/>
                <w:szCs w:val="22"/>
              </w:rPr>
              <w:t>4</w:t>
            </w:r>
          </w:p>
        </w:tc>
        <w:tc>
          <w:tcPr>
            <w:tcW w:w="2281" w:type="dxa"/>
            <w:gridSpan w:val="2"/>
            <w:vAlign w:val="top"/>
          </w:tcPr>
          <w:p w14:paraId="085FAF2D">
            <w:pPr>
              <w:pStyle w:val="58"/>
              <w:spacing w:before="176" w:line="202" w:lineRule="auto"/>
              <w:ind w:left="440"/>
              <w:rPr>
                <w:rFonts w:hint="eastAsia" w:ascii="宋体" w:hAnsi="宋体" w:eastAsia="宋体" w:cs="宋体"/>
                <w:sz w:val="22"/>
                <w:szCs w:val="22"/>
              </w:rPr>
            </w:pPr>
            <w:r>
              <w:rPr>
                <w:rFonts w:hint="eastAsia" w:ascii="宋体" w:hAnsi="宋体" w:eastAsia="宋体" w:cs="宋体"/>
                <w:spacing w:val="-4"/>
                <w:sz w:val="22"/>
                <w:szCs w:val="22"/>
              </w:rPr>
              <w:t>主要技术人员</w:t>
            </w:r>
          </w:p>
        </w:tc>
        <w:tc>
          <w:tcPr>
            <w:tcW w:w="946" w:type="dxa"/>
            <w:vAlign w:val="top"/>
          </w:tcPr>
          <w:p w14:paraId="5B437276">
            <w:pPr>
              <w:rPr>
                <w:rFonts w:hint="eastAsia" w:ascii="宋体" w:hAnsi="宋体" w:eastAsia="宋体" w:cs="宋体"/>
                <w:sz w:val="22"/>
                <w:szCs w:val="22"/>
              </w:rPr>
            </w:pPr>
          </w:p>
        </w:tc>
        <w:tc>
          <w:tcPr>
            <w:tcW w:w="1990" w:type="dxa"/>
            <w:gridSpan w:val="2"/>
            <w:vAlign w:val="top"/>
          </w:tcPr>
          <w:p w14:paraId="3152DCC5">
            <w:pPr>
              <w:rPr>
                <w:rFonts w:hint="eastAsia" w:ascii="宋体" w:hAnsi="宋体" w:eastAsia="宋体" w:cs="宋体"/>
                <w:sz w:val="22"/>
                <w:szCs w:val="22"/>
              </w:rPr>
            </w:pPr>
          </w:p>
        </w:tc>
        <w:tc>
          <w:tcPr>
            <w:tcW w:w="1499" w:type="dxa"/>
            <w:vAlign w:val="top"/>
          </w:tcPr>
          <w:p w14:paraId="623F775E">
            <w:pPr>
              <w:rPr>
                <w:rFonts w:hint="eastAsia" w:ascii="宋体" w:hAnsi="宋体" w:eastAsia="宋体" w:cs="宋体"/>
                <w:sz w:val="22"/>
                <w:szCs w:val="22"/>
              </w:rPr>
            </w:pPr>
          </w:p>
        </w:tc>
        <w:tc>
          <w:tcPr>
            <w:tcW w:w="1303" w:type="dxa"/>
            <w:vAlign w:val="top"/>
          </w:tcPr>
          <w:p w14:paraId="3118261C">
            <w:pPr>
              <w:rPr>
                <w:rFonts w:hint="eastAsia" w:ascii="宋体" w:hAnsi="宋体" w:eastAsia="宋体" w:cs="宋体"/>
                <w:sz w:val="22"/>
                <w:szCs w:val="22"/>
              </w:rPr>
            </w:pPr>
          </w:p>
        </w:tc>
      </w:tr>
      <w:tr w14:paraId="023E0B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740" w:type="dxa"/>
            <w:vAlign w:val="top"/>
          </w:tcPr>
          <w:p w14:paraId="056D015E">
            <w:pPr>
              <w:pStyle w:val="58"/>
              <w:spacing w:before="215" w:line="165" w:lineRule="auto"/>
              <w:ind w:left="325"/>
              <w:rPr>
                <w:rFonts w:hint="eastAsia" w:ascii="宋体" w:hAnsi="宋体" w:eastAsia="宋体" w:cs="宋体"/>
                <w:sz w:val="22"/>
                <w:szCs w:val="22"/>
              </w:rPr>
            </w:pPr>
            <w:r>
              <w:rPr>
                <w:rFonts w:hint="eastAsia" w:ascii="宋体" w:hAnsi="宋体" w:eastAsia="宋体" w:cs="宋体"/>
                <w:sz w:val="22"/>
                <w:szCs w:val="22"/>
              </w:rPr>
              <w:t>5</w:t>
            </w:r>
          </w:p>
        </w:tc>
        <w:tc>
          <w:tcPr>
            <w:tcW w:w="2281" w:type="dxa"/>
            <w:gridSpan w:val="2"/>
            <w:vAlign w:val="top"/>
          </w:tcPr>
          <w:p w14:paraId="5D47D860">
            <w:pPr>
              <w:pStyle w:val="58"/>
              <w:spacing w:before="178" w:line="202" w:lineRule="auto"/>
              <w:ind w:left="189"/>
              <w:rPr>
                <w:rFonts w:hint="eastAsia" w:ascii="宋体" w:hAnsi="宋体" w:eastAsia="宋体" w:cs="宋体"/>
                <w:sz w:val="22"/>
                <w:szCs w:val="22"/>
              </w:rPr>
            </w:pPr>
            <w:r>
              <w:rPr>
                <w:rFonts w:hint="eastAsia" w:ascii="宋体" w:hAnsi="宋体" w:eastAsia="宋体" w:cs="宋体"/>
                <w:spacing w:val="-2"/>
                <w:sz w:val="22"/>
                <w:szCs w:val="22"/>
              </w:rPr>
              <w:t>投标文件编制人员</w:t>
            </w:r>
          </w:p>
        </w:tc>
        <w:tc>
          <w:tcPr>
            <w:tcW w:w="946" w:type="dxa"/>
            <w:vAlign w:val="top"/>
          </w:tcPr>
          <w:p w14:paraId="3320D7BB">
            <w:pPr>
              <w:rPr>
                <w:rFonts w:hint="eastAsia" w:ascii="宋体" w:hAnsi="宋体" w:eastAsia="宋体" w:cs="宋体"/>
                <w:sz w:val="22"/>
                <w:szCs w:val="22"/>
              </w:rPr>
            </w:pPr>
          </w:p>
        </w:tc>
        <w:tc>
          <w:tcPr>
            <w:tcW w:w="1990" w:type="dxa"/>
            <w:gridSpan w:val="2"/>
            <w:vAlign w:val="top"/>
          </w:tcPr>
          <w:p w14:paraId="4E698A3F">
            <w:pPr>
              <w:rPr>
                <w:rFonts w:hint="eastAsia" w:ascii="宋体" w:hAnsi="宋体" w:eastAsia="宋体" w:cs="宋体"/>
                <w:sz w:val="22"/>
                <w:szCs w:val="22"/>
              </w:rPr>
            </w:pPr>
          </w:p>
        </w:tc>
        <w:tc>
          <w:tcPr>
            <w:tcW w:w="1499" w:type="dxa"/>
            <w:vAlign w:val="top"/>
          </w:tcPr>
          <w:p w14:paraId="339482AF">
            <w:pPr>
              <w:rPr>
                <w:rFonts w:hint="eastAsia" w:ascii="宋体" w:hAnsi="宋体" w:eastAsia="宋体" w:cs="宋体"/>
                <w:sz w:val="22"/>
                <w:szCs w:val="22"/>
              </w:rPr>
            </w:pPr>
          </w:p>
        </w:tc>
        <w:tc>
          <w:tcPr>
            <w:tcW w:w="1303" w:type="dxa"/>
            <w:vAlign w:val="top"/>
          </w:tcPr>
          <w:p w14:paraId="74258FA2">
            <w:pPr>
              <w:rPr>
                <w:rFonts w:hint="eastAsia" w:ascii="宋体" w:hAnsi="宋体" w:eastAsia="宋体" w:cs="宋体"/>
                <w:sz w:val="22"/>
                <w:szCs w:val="22"/>
              </w:rPr>
            </w:pPr>
          </w:p>
        </w:tc>
      </w:tr>
      <w:tr w14:paraId="26D48F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8759" w:type="dxa"/>
            <w:gridSpan w:val="8"/>
            <w:vAlign w:val="top"/>
          </w:tcPr>
          <w:p w14:paraId="2E926913">
            <w:pPr>
              <w:pStyle w:val="58"/>
              <w:spacing w:before="178" w:line="198" w:lineRule="auto"/>
              <w:ind w:left="120"/>
              <w:rPr>
                <w:rFonts w:hint="eastAsia" w:ascii="宋体" w:hAnsi="宋体" w:eastAsia="宋体" w:cs="宋体"/>
                <w:sz w:val="22"/>
                <w:szCs w:val="22"/>
              </w:rPr>
            </w:pPr>
            <w:r>
              <w:rPr>
                <w:rFonts w:hint="eastAsia" w:ascii="宋体" w:hAnsi="宋体" w:eastAsia="宋体" w:cs="宋体"/>
                <w:b/>
                <w:bCs/>
                <w:spacing w:val="-1"/>
                <w:sz w:val="22"/>
                <w:szCs w:val="22"/>
              </w:rPr>
              <w:t>说明：同一职务有多人担任（如主要技术人员</w:t>
            </w:r>
            <w:r>
              <w:rPr>
                <w:rFonts w:hint="eastAsia" w:ascii="宋体" w:hAnsi="宋体" w:eastAsia="宋体" w:cs="宋体"/>
                <w:b/>
                <w:bCs/>
                <w:spacing w:val="-42"/>
                <w:w w:val="95"/>
                <w:sz w:val="22"/>
                <w:szCs w:val="22"/>
              </w:rPr>
              <w:t>），</w:t>
            </w:r>
            <w:r>
              <w:rPr>
                <w:rFonts w:hint="eastAsia" w:ascii="宋体" w:hAnsi="宋体" w:eastAsia="宋体" w:cs="宋体"/>
                <w:b/>
                <w:bCs/>
                <w:spacing w:val="-1"/>
                <w:sz w:val="22"/>
                <w:szCs w:val="22"/>
              </w:rPr>
              <w:t>应分行填写。</w:t>
            </w:r>
          </w:p>
        </w:tc>
      </w:tr>
      <w:tr w14:paraId="42F35F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8759" w:type="dxa"/>
            <w:gridSpan w:val="8"/>
            <w:vAlign w:val="top"/>
          </w:tcPr>
          <w:p w14:paraId="3DE44A1C">
            <w:pPr>
              <w:pStyle w:val="58"/>
              <w:spacing w:before="177" w:line="198" w:lineRule="auto"/>
              <w:ind w:left="2683"/>
              <w:rPr>
                <w:rFonts w:hint="eastAsia" w:ascii="宋体" w:hAnsi="宋体" w:eastAsia="宋体" w:cs="宋体"/>
                <w:sz w:val="22"/>
                <w:szCs w:val="22"/>
              </w:rPr>
            </w:pPr>
            <w:r>
              <w:rPr>
                <w:rFonts w:hint="eastAsia" w:ascii="宋体" w:hAnsi="宋体" w:eastAsia="宋体" w:cs="宋体"/>
                <w:b/>
                <w:bCs/>
                <w:sz w:val="22"/>
                <w:szCs w:val="22"/>
              </w:rPr>
              <w:t>投标（响应）供应商关联关系情况</w:t>
            </w:r>
          </w:p>
        </w:tc>
      </w:tr>
      <w:tr w14:paraId="53AB2F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740" w:type="dxa"/>
            <w:vAlign w:val="top"/>
          </w:tcPr>
          <w:p w14:paraId="2B5AE9D3">
            <w:pPr>
              <w:pStyle w:val="58"/>
              <w:spacing w:before="178" w:line="202" w:lineRule="auto"/>
              <w:ind w:left="145"/>
              <w:rPr>
                <w:rFonts w:hint="eastAsia" w:ascii="宋体" w:hAnsi="宋体" w:eastAsia="宋体" w:cs="宋体"/>
                <w:sz w:val="22"/>
                <w:szCs w:val="22"/>
              </w:rPr>
            </w:pPr>
            <w:r>
              <w:rPr>
                <w:rFonts w:hint="eastAsia" w:ascii="宋体" w:hAnsi="宋体" w:eastAsia="宋体" w:cs="宋体"/>
                <w:spacing w:val="-5"/>
                <w:sz w:val="22"/>
                <w:szCs w:val="22"/>
              </w:rPr>
              <w:t>序号</w:t>
            </w:r>
          </w:p>
        </w:tc>
        <w:tc>
          <w:tcPr>
            <w:tcW w:w="2281" w:type="dxa"/>
            <w:gridSpan w:val="2"/>
            <w:vAlign w:val="top"/>
          </w:tcPr>
          <w:p w14:paraId="29D8F5CF">
            <w:pPr>
              <w:pStyle w:val="58"/>
              <w:spacing w:before="177" w:line="202" w:lineRule="auto"/>
              <w:ind w:left="436"/>
              <w:rPr>
                <w:rFonts w:hint="eastAsia" w:ascii="宋体" w:hAnsi="宋体" w:eastAsia="宋体" w:cs="宋体"/>
                <w:sz w:val="22"/>
                <w:szCs w:val="22"/>
              </w:rPr>
            </w:pPr>
            <w:r>
              <w:rPr>
                <w:rFonts w:hint="eastAsia" w:ascii="宋体" w:hAnsi="宋体" w:eastAsia="宋体" w:cs="宋体"/>
                <w:spacing w:val="-3"/>
                <w:sz w:val="22"/>
                <w:szCs w:val="22"/>
              </w:rPr>
              <w:t>关联关系类型</w:t>
            </w:r>
          </w:p>
        </w:tc>
        <w:tc>
          <w:tcPr>
            <w:tcW w:w="1737" w:type="dxa"/>
            <w:gridSpan w:val="2"/>
            <w:vAlign w:val="top"/>
          </w:tcPr>
          <w:p w14:paraId="340116DE">
            <w:pPr>
              <w:pStyle w:val="58"/>
              <w:spacing w:before="177" w:line="203" w:lineRule="auto"/>
              <w:ind w:left="166"/>
              <w:rPr>
                <w:rFonts w:hint="eastAsia" w:ascii="宋体" w:hAnsi="宋体" w:eastAsia="宋体" w:cs="宋体"/>
                <w:sz w:val="22"/>
                <w:szCs w:val="22"/>
              </w:rPr>
            </w:pPr>
            <w:r>
              <w:rPr>
                <w:rFonts w:hint="eastAsia" w:ascii="宋体" w:hAnsi="宋体" w:eastAsia="宋体" w:cs="宋体"/>
                <w:spacing w:val="-3"/>
                <w:sz w:val="22"/>
                <w:szCs w:val="22"/>
              </w:rPr>
              <w:t>关联主体名称</w:t>
            </w:r>
          </w:p>
        </w:tc>
        <w:tc>
          <w:tcPr>
            <w:tcW w:w="4001" w:type="dxa"/>
            <w:gridSpan w:val="3"/>
            <w:vAlign w:val="top"/>
          </w:tcPr>
          <w:p w14:paraId="3186A26B">
            <w:pPr>
              <w:pStyle w:val="58"/>
              <w:spacing w:before="177" w:line="204" w:lineRule="auto"/>
              <w:ind w:left="1862"/>
              <w:rPr>
                <w:rFonts w:hint="eastAsia" w:ascii="宋体" w:hAnsi="宋体" w:eastAsia="宋体" w:cs="宋体"/>
                <w:sz w:val="22"/>
                <w:szCs w:val="22"/>
              </w:rPr>
            </w:pPr>
            <w:r>
              <w:rPr>
                <w:rFonts w:hint="eastAsia" w:ascii="宋体" w:hAnsi="宋体" w:eastAsia="宋体" w:cs="宋体"/>
                <w:spacing w:val="-4"/>
                <w:sz w:val="22"/>
                <w:szCs w:val="22"/>
              </w:rPr>
              <w:t>备注</w:t>
            </w:r>
          </w:p>
        </w:tc>
      </w:tr>
      <w:tr w14:paraId="129956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82" w:hRule="atLeast"/>
          <w:jc w:val="center"/>
        </w:trPr>
        <w:tc>
          <w:tcPr>
            <w:tcW w:w="740" w:type="dxa"/>
            <w:vAlign w:val="top"/>
          </w:tcPr>
          <w:p w14:paraId="69151CC8">
            <w:pPr>
              <w:spacing w:line="290" w:lineRule="auto"/>
              <w:rPr>
                <w:rFonts w:hint="eastAsia" w:ascii="宋体" w:hAnsi="宋体" w:eastAsia="宋体" w:cs="宋体"/>
                <w:sz w:val="22"/>
                <w:szCs w:val="22"/>
              </w:rPr>
            </w:pPr>
          </w:p>
          <w:p w14:paraId="428F7A4C">
            <w:pPr>
              <w:spacing w:line="290" w:lineRule="auto"/>
              <w:rPr>
                <w:rFonts w:hint="eastAsia" w:ascii="宋体" w:hAnsi="宋体" w:eastAsia="宋体" w:cs="宋体"/>
                <w:sz w:val="22"/>
                <w:szCs w:val="22"/>
              </w:rPr>
            </w:pPr>
          </w:p>
          <w:p w14:paraId="02C1823D">
            <w:pPr>
              <w:pStyle w:val="58"/>
              <w:spacing w:before="103" w:line="169" w:lineRule="auto"/>
              <w:ind w:left="321"/>
              <w:rPr>
                <w:rFonts w:hint="eastAsia" w:ascii="宋体" w:hAnsi="宋体" w:eastAsia="宋体" w:cs="宋体"/>
                <w:sz w:val="22"/>
                <w:szCs w:val="22"/>
              </w:rPr>
            </w:pPr>
            <w:r>
              <w:rPr>
                <w:rFonts w:hint="eastAsia" w:ascii="宋体" w:hAnsi="宋体" w:eastAsia="宋体" w:cs="宋体"/>
                <w:sz w:val="22"/>
                <w:szCs w:val="22"/>
              </w:rPr>
              <w:t>1</w:t>
            </w:r>
          </w:p>
        </w:tc>
        <w:tc>
          <w:tcPr>
            <w:tcW w:w="2281" w:type="dxa"/>
            <w:gridSpan w:val="2"/>
            <w:vAlign w:val="top"/>
          </w:tcPr>
          <w:p w14:paraId="14A69D6C">
            <w:pPr>
              <w:spacing w:line="274" w:lineRule="auto"/>
              <w:rPr>
                <w:rFonts w:hint="eastAsia" w:ascii="宋体" w:hAnsi="宋体" w:eastAsia="宋体" w:cs="宋体"/>
                <w:sz w:val="22"/>
                <w:szCs w:val="22"/>
              </w:rPr>
            </w:pPr>
          </w:p>
          <w:p w14:paraId="240D01BA">
            <w:pPr>
              <w:spacing w:line="274" w:lineRule="auto"/>
              <w:rPr>
                <w:rFonts w:hint="eastAsia" w:ascii="宋体" w:hAnsi="宋体" w:eastAsia="宋体" w:cs="宋体"/>
                <w:sz w:val="22"/>
                <w:szCs w:val="22"/>
              </w:rPr>
            </w:pPr>
          </w:p>
          <w:p w14:paraId="5A4C1C34">
            <w:pPr>
              <w:pStyle w:val="58"/>
              <w:spacing w:before="103" w:line="203" w:lineRule="auto"/>
              <w:ind w:left="671"/>
              <w:rPr>
                <w:rFonts w:hint="eastAsia" w:ascii="宋体" w:hAnsi="宋体" w:eastAsia="宋体" w:cs="宋体"/>
                <w:sz w:val="22"/>
                <w:szCs w:val="22"/>
              </w:rPr>
            </w:pPr>
            <w:r>
              <w:rPr>
                <w:rFonts w:hint="eastAsia" w:ascii="宋体" w:hAnsi="宋体" w:eastAsia="宋体" w:cs="宋体"/>
                <w:spacing w:val="-3"/>
                <w:sz w:val="22"/>
                <w:szCs w:val="22"/>
              </w:rPr>
              <w:t>控股股东</w:t>
            </w:r>
          </w:p>
        </w:tc>
        <w:tc>
          <w:tcPr>
            <w:tcW w:w="1737" w:type="dxa"/>
            <w:gridSpan w:val="2"/>
            <w:vAlign w:val="top"/>
          </w:tcPr>
          <w:p w14:paraId="18CC5128">
            <w:pPr>
              <w:rPr>
                <w:rFonts w:hint="eastAsia" w:ascii="宋体" w:hAnsi="宋体" w:eastAsia="宋体" w:cs="宋体"/>
                <w:sz w:val="22"/>
                <w:szCs w:val="22"/>
              </w:rPr>
            </w:pPr>
          </w:p>
        </w:tc>
        <w:tc>
          <w:tcPr>
            <w:tcW w:w="4001" w:type="dxa"/>
            <w:gridSpan w:val="3"/>
            <w:vAlign w:val="top"/>
          </w:tcPr>
          <w:p w14:paraId="2EF1F87C">
            <w:pPr>
              <w:pStyle w:val="58"/>
              <w:spacing w:before="27" w:line="200" w:lineRule="auto"/>
              <w:ind w:left="98" w:right="116" w:firstLine="19"/>
              <w:jc w:val="both"/>
              <w:rPr>
                <w:rFonts w:hint="eastAsia" w:ascii="宋体" w:hAnsi="宋体" w:eastAsia="宋体" w:cs="宋体"/>
                <w:sz w:val="22"/>
                <w:szCs w:val="22"/>
              </w:rPr>
            </w:pPr>
            <w:r>
              <w:rPr>
                <w:rFonts w:hint="eastAsia" w:ascii="宋体" w:hAnsi="宋体" w:eastAsia="宋体" w:cs="宋体"/>
                <w:spacing w:val="-1"/>
                <w:sz w:val="22"/>
                <w:szCs w:val="22"/>
              </w:rPr>
              <w:t>指出资额（或持有股份）占投标（响应）供应商资</w:t>
            </w:r>
            <w:r>
              <w:rPr>
                <w:rFonts w:hint="eastAsia" w:ascii="宋体" w:hAnsi="宋体" w:eastAsia="宋体" w:cs="宋体"/>
                <w:spacing w:val="9"/>
                <w:sz w:val="22"/>
                <w:szCs w:val="22"/>
              </w:rPr>
              <w:t xml:space="preserve"> </w:t>
            </w:r>
            <w:r>
              <w:rPr>
                <w:rFonts w:hint="eastAsia" w:ascii="宋体" w:hAnsi="宋体" w:eastAsia="宋体" w:cs="宋体"/>
                <w:spacing w:val="-8"/>
                <w:sz w:val="22"/>
                <w:szCs w:val="22"/>
              </w:rPr>
              <w:t>本总额（或股本总额）50%以上的股东，以及出资额</w:t>
            </w:r>
            <w:r>
              <w:rPr>
                <w:rFonts w:hint="eastAsia" w:ascii="宋体" w:hAnsi="宋体" w:eastAsia="宋体" w:cs="宋体"/>
                <w:spacing w:val="7"/>
                <w:sz w:val="22"/>
                <w:szCs w:val="22"/>
              </w:rPr>
              <w:t xml:space="preserve"> </w:t>
            </w:r>
            <w:r>
              <w:rPr>
                <w:rFonts w:hint="eastAsia" w:ascii="宋体" w:hAnsi="宋体" w:eastAsia="宋体" w:cs="宋体"/>
                <w:spacing w:val="-5"/>
                <w:sz w:val="22"/>
                <w:szCs w:val="22"/>
              </w:rPr>
              <w:t>（或持有股份）的比例虽然不足</w:t>
            </w:r>
            <w:r>
              <w:rPr>
                <w:rFonts w:hint="eastAsia" w:ascii="宋体" w:hAnsi="宋体" w:eastAsia="宋体" w:cs="宋体"/>
                <w:spacing w:val="15"/>
                <w:sz w:val="22"/>
                <w:szCs w:val="22"/>
              </w:rPr>
              <w:t xml:space="preserve"> </w:t>
            </w:r>
            <w:r>
              <w:rPr>
                <w:rFonts w:hint="eastAsia" w:ascii="宋体" w:hAnsi="宋体" w:eastAsia="宋体" w:cs="宋体"/>
                <w:spacing w:val="-5"/>
                <w:sz w:val="22"/>
                <w:szCs w:val="22"/>
              </w:rPr>
              <w:t>50%，但依</w:t>
            </w:r>
            <w:r>
              <w:rPr>
                <w:rFonts w:hint="eastAsia" w:ascii="宋体" w:hAnsi="宋体" w:eastAsia="宋体" w:cs="宋体"/>
                <w:spacing w:val="-6"/>
                <w:sz w:val="22"/>
                <w:szCs w:val="22"/>
              </w:rPr>
              <w:t>其出资</w:t>
            </w:r>
            <w:r>
              <w:rPr>
                <w:rFonts w:hint="eastAsia" w:ascii="宋体" w:hAnsi="宋体" w:eastAsia="宋体" w:cs="宋体"/>
                <w:spacing w:val="-9"/>
                <w:sz w:val="22"/>
                <w:szCs w:val="22"/>
              </w:rPr>
              <w:t>额（或持有股份）所享有的表决权已足以对投标（响</w:t>
            </w:r>
            <w:r>
              <w:rPr>
                <w:rFonts w:hint="eastAsia" w:ascii="宋体" w:hAnsi="宋体" w:eastAsia="宋体" w:cs="宋体"/>
                <w:spacing w:val="18"/>
                <w:w w:val="101"/>
                <w:sz w:val="22"/>
                <w:szCs w:val="22"/>
              </w:rPr>
              <w:t xml:space="preserve"> </w:t>
            </w:r>
            <w:r>
              <w:rPr>
                <w:rFonts w:hint="eastAsia" w:ascii="宋体" w:hAnsi="宋体" w:eastAsia="宋体" w:cs="宋体"/>
                <w:sz w:val="22"/>
                <w:szCs w:val="22"/>
              </w:rPr>
              <w:t>应）供应商股东会（或股东大会）的决议产生重要</w:t>
            </w:r>
            <w:r>
              <w:rPr>
                <w:rFonts w:hint="eastAsia" w:ascii="宋体" w:hAnsi="宋体" w:eastAsia="宋体" w:cs="宋体"/>
                <w:spacing w:val="6"/>
                <w:sz w:val="22"/>
                <w:szCs w:val="22"/>
              </w:rPr>
              <w:t xml:space="preserve"> </w:t>
            </w:r>
            <w:r>
              <w:rPr>
                <w:rFonts w:hint="eastAsia" w:ascii="宋体" w:hAnsi="宋体" w:eastAsia="宋体" w:cs="宋体"/>
                <w:spacing w:val="-2"/>
                <w:sz w:val="22"/>
                <w:szCs w:val="22"/>
              </w:rPr>
              <w:t>影响的股东。</w:t>
            </w:r>
          </w:p>
        </w:tc>
      </w:tr>
      <w:tr w14:paraId="7387AD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5" w:hRule="atLeast"/>
          <w:jc w:val="center"/>
        </w:trPr>
        <w:tc>
          <w:tcPr>
            <w:tcW w:w="740" w:type="dxa"/>
            <w:vAlign w:val="top"/>
          </w:tcPr>
          <w:p w14:paraId="1125C79F">
            <w:pPr>
              <w:pStyle w:val="58"/>
              <w:spacing w:before="251" w:line="168" w:lineRule="auto"/>
              <w:ind w:left="322"/>
              <w:rPr>
                <w:rFonts w:hint="eastAsia" w:ascii="宋体" w:hAnsi="宋体" w:eastAsia="宋体" w:cs="宋体"/>
                <w:sz w:val="22"/>
                <w:szCs w:val="22"/>
              </w:rPr>
            </w:pPr>
            <w:r>
              <w:rPr>
                <w:rFonts w:hint="eastAsia" w:ascii="宋体" w:hAnsi="宋体" w:eastAsia="宋体" w:cs="宋体"/>
                <w:sz w:val="22"/>
                <w:szCs w:val="22"/>
              </w:rPr>
              <w:t>2</w:t>
            </w:r>
          </w:p>
        </w:tc>
        <w:tc>
          <w:tcPr>
            <w:tcW w:w="2281" w:type="dxa"/>
            <w:gridSpan w:val="2"/>
            <w:vAlign w:val="top"/>
          </w:tcPr>
          <w:p w14:paraId="3F2850B5">
            <w:pPr>
              <w:pStyle w:val="58"/>
              <w:spacing w:before="217" w:line="203" w:lineRule="auto"/>
              <w:ind w:left="678"/>
              <w:rPr>
                <w:rFonts w:hint="eastAsia" w:ascii="宋体" w:hAnsi="宋体" w:eastAsia="宋体" w:cs="宋体"/>
                <w:sz w:val="22"/>
                <w:szCs w:val="22"/>
              </w:rPr>
            </w:pPr>
            <w:r>
              <w:rPr>
                <w:rFonts w:hint="eastAsia" w:ascii="宋体" w:hAnsi="宋体" w:eastAsia="宋体" w:cs="宋体"/>
                <w:spacing w:val="-5"/>
                <w:sz w:val="22"/>
                <w:szCs w:val="22"/>
              </w:rPr>
              <w:t>管理关系</w:t>
            </w:r>
          </w:p>
        </w:tc>
        <w:tc>
          <w:tcPr>
            <w:tcW w:w="1737" w:type="dxa"/>
            <w:gridSpan w:val="2"/>
            <w:vAlign w:val="top"/>
          </w:tcPr>
          <w:p w14:paraId="4F9BE94A">
            <w:pPr>
              <w:rPr>
                <w:rFonts w:hint="eastAsia" w:ascii="宋体" w:hAnsi="宋体" w:eastAsia="宋体" w:cs="宋体"/>
                <w:sz w:val="22"/>
                <w:szCs w:val="22"/>
              </w:rPr>
            </w:pPr>
          </w:p>
        </w:tc>
        <w:tc>
          <w:tcPr>
            <w:tcW w:w="4001" w:type="dxa"/>
            <w:gridSpan w:val="3"/>
            <w:vAlign w:val="top"/>
          </w:tcPr>
          <w:p w14:paraId="4C2E3331">
            <w:pPr>
              <w:pStyle w:val="58"/>
              <w:spacing w:before="43" w:line="190" w:lineRule="auto"/>
              <w:ind w:left="120" w:right="24"/>
              <w:rPr>
                <w:rFonts w:hint="eastAsia" w:ascii="宋体" w:hAnsi="宋体" w:eastAsia="宋体" w:cs="宋体"/>
                <w:sz w:val="22"/>
                <w:szCs w:val="22"/>
              </w:rPr>
            </w:pPr>
            <w:r>
              <w:rPr>
                <w:rFonts w:hint="eastAsia" w:ascii="宋体" w:hAnsi="宋体" w:eastAsia="宋体" w:cs="宋体"/>
                <w:spacing w:val="-8"/>
                <w:sz w:val="22"/>
                <w:szCs w:val="22"/>
              </w:rPr>
              <w:t>指对投标（响应）供应商不具有出资持</w:t>
            </w:r>
            <w:r>
              <w:rPr>
                <w:rFonts w:hint="eastAsia" w:ascii="宋体" w:hAnsi="宋体" w:eastAsia="宋体" w:cs="宋体"/>
                <w:spacing w:val="-3"/>
                <w:sz w:val="22"/>
                <w:szCs w:val="22"/>
              </w:rPr>
              <w:t>股关系，但对其存在管理关系的主体。</w:t>
            </w:r>
          </w:p>
        </w:tc>
      </w:tr>
      <w:tr w14:paraId="16055B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1" w:hRule="atLeast"/>
          <w:jc w:val="center"/>
        </w:trPr>
        <w:tc>
          <w:tcPr>
            <w:tcW w:w="8759" w:type="dxa"/>
            <w:gridSpan w:val="8"/>
            <w:vAlign w:val="top"/>
          </w:tcPr>
          <w:p w14:paraId="38EDA9E4">
            <w:pPr>
              <w:pStyle w:val="58"/>
              <w:spacing w:before="42" w:line="180" w:lineRule="auto"/>
              <w:ind w:left="120"/>
              <w:rPr>
                <w:rFonts w:hint="eastAsia" w:ascii="宋体" w:hAnsi="宋体" w:eastAsia="宋体" w:cs="宋体"/>
                <w:sz w:val="22"/>
                <w:szCs w:val="22"/>
              </w:rPr>
            </w:pPr>
            <w:r>
              <w:rPr>
                <w:rFonts w:hint="eastAsia" w:ascii="宋体" w:hAnsi="宋体" w:eastAsia="宋体" w:cs="宋体"/>
                <w:b/>
                <w:bCs/>
                <w:spacing w:val="-1"/>
                <w:sz w:val="22"/>
                <w:szCs w:val="22"/>
              </w:rPr>
              <w:t>说明：同一关联关系类型有多个主体的，应分行填写。</w:t>
            </w:r>
          </w:p>
        </w:tc>
      </w:tr>
    </w:tbl>
    <w:p w14:paraId="5F533212">
      <w:pPr>
        <w:rPr>
          <w:rFonts w:hint="eastAsia" w:ascii="宋体" w:hAnsi="宋体" w:eastAsia="宋体" w:cs="宋体"/>
          <w:sz w:val="24"/>
          <w:szCs w:val="24"/>
        </w:rPr>
      </w:pPr>
    </w:p>
    <w:p w14:paraId="1A0E9344">
      <w:pPr>
        <w:spacing w:line="360" w:lineRule="auto"/>
        <w:rPr>
          <w:rFonts w:hint="eastAsia" w:ascii="宋体" w:hAnsi="宋体" w:eastAsia="宋体" w:cs="宋体"/>
          <w:sz w:val="22"/>
          <w:szCs w:val="22"/>
        </w:rPr>
      </w:pPr>
      <w:r>
        <w:rPr>
          <w:rFonts w:hint="eastAsia" w:ascii="宋体" w:hAnsi="宋体" w:eastAsia="宋体" w:cs="宋体"/>
          <w:b/>
          <w:sz w:val="22"/>
          <w:szCs w:val="22"/>
          <w:lang w:val="en-US" w:eastAsia="zh-CN"/>
        </w:rPr>
        <w:t>注</w:t>
      </w:r>
      <w:r>
        <w:rPr>
          <w:rFonts w:hint="eastAsia" w:ascii="宋体" w:hAnsi="宋体" w:eastAsia="宋体" w:cs="宋体"/>
          <w:sz w:val="22"/>
          <w:szCs w:val="22"/>
        </w:rPr>
        <w:t>：</w:t>
      </w:r>
    </w:p>
    <w:p w14:paraId="6B895C56">
      <w:pPr>
        <w:numPr>
          <w:ilvl w:val="0"/>
          <w:numId w:val="0"/>
        </w:numPr>
        <w:spacing w:line="440" w:lineRule="exact"/>
        <w:ind w:left="0" w:leftChars="0" w:firstLine="454" w:firstLineChars="0"/>
        <w:rPr>
          <w:rFonts w:hint="eastAsia" w:ascii="宋体" w:hAnsi="宋体" w:eastAsia="宋体" w:cs="宋体"/>
          <w:b w:val="0"/>
          <w:bCs w:val="0"/>
          <w:sz w:val="22"/>
          <w:szCs w:val="22"/>
          <w:highlight w:val="none"/>
        </w:rPr>
      </w:pPr>
      <w:r>
        <w:rPr>
          <w:rFonts w:hint="eastAsia" w:ascii="宋体" w:hAnsi="宋体" w:eastAsia="宋体" w:cs="宋体"/>
          <w:b w:val="0"/>
          <w:bCs w:val="0"/>
          <w:sz w:val="22"/>
          <w:szCs w:val="22"/>
          <w:lang w:val="en-US" w:eastAsia="zh-CN" w:bidi="ar-SA"/>
        </w:rPr>
        <w:t>1.</w:t>
      </w:r>
      <w:r>
        <w:rPr>
          <w:rFonts w:hint="eastAsia" w:ascii="宋体" w:hAnsi="宋体" w:eastAsia="宋体" w:cs="宋体"/>
          <w:b w:val="0"/>
          <w:bCs w:val="0"/>
          <w:sz w:val="22"/>
          <w:szCs w:val="22"/>
          <w:highlight w:val="none"/>
        </w:rPr>
        <w:t>主要经营负责人</w:t>
      </w:r>
      <w:r>
        <w:rPr>
          <w:rFonts w:hint="eastAsia" w:ascii="宋体" w:hAnsi="宋体" w:eastAsia="宋体" w:cs="宋体"/>
          <w:b w:val="0"/>
          <w:bCs w:val="0"/>
          <w:sz w:val="22"/>
          <w:szCs w:val="22"/>
          <w:highlight w:val="none"/>
          <w:lang w:val="en-US" w:eastAsia="zh-CN"/>
        </w:rPr>
        <w:t>即实际控制人，是指通过投资关系、协议或者其他安排，能够实际支配公司行为的人。</w:t>
      </w:r>
    </w:p>
    <w:p w14:paraId="22D5741C">
      <w:pPr>
        <w:numPr>
          <w:ilvl w:val="0"/>
          <w:numId w:val="0"/>
        </w:numPr>
        <w:spacing w:line="440" w:lineRule="exact"/>
        <w:ind w:left="0" w:leftChars="0" w:firstLine="454" w:firstLineChars="0"/>
        <w:rPr>
          <w:rFonts w:hint="eastAsia" w:ascii="宋体" w:hAnsi="宋体" w:eastAsia="宋体" w:cs="宋体"/>
          <w:b w:val="0"/>
        </w:rPr>
      </w:pPr>
      <w:r>
        <w:rPr>
          <w:rFonts w:hint="eastAsia" w:ascii="宋体" w:hAnsi="宋体" w:eastAsia="宋体" w:cs="宋体"/>
          <w:b w:val="0"/>
          <w:sz w:val="24"/>
          <w:szCs w:val="24"/>
          <w:lang w:val="en-US" w:eastAsia="zh-CN" w:bidi="ar-SA"/>
        </w:rPr>
        <w:t>2.</w:t>
      </w:r>
      <w:r>
        <w:rPr>
          <w:rFonts w:hint="eastAsia" w:ascii="宋体" w:hAnsi="宋体" w:eastAsia="宋体" w:cs="宋体"/>
          <w:b w:val="0"/>
          <w:bCs w:val="0"/>
          <w:sz w:val="22"/>
          <w:szCs w:val="22"/>
        </w:rPr>
        <w:t>如未有相关情况，请在相应栏填写“无”。</w:t>
      </w:r>
    </w:p>
    <w:p w14:paraId="06312191">
      <w:pPr>
        <w:numPr>
          <w:ilvl w:val="0"/>
          <w:numId w:val="0"/>
        </w:numPr>
        <w:spacing w:line="440" w:lineRule="exact"/>
        <w:ind w:left="0" w:leftChars="0" w:firstLine="454" w:firstLineChars="0"/>
        <w:rPr>
          <w:rFonts w:hint="eastAsia" w:ascii="宋体" w:hAnsi="宋体" w:eastAsia="宋体" w:cs="宋体"/>
          <w:b w:val="0"/>
          <w:bCs w:val="0"/>
          <w:sz w:val="22"/>
          <w:szCs w:val="22"/>
        </w:rPr>
      </w:pPr>
      <w:r>
        <w:rPr>
          <w:rFonts w:hint="eastAsia" w:ascii="宋体" w:hAnsi="宋体" w:eastAsia="宋体" w:cs="宋体"/>
          <w:b w:val="0"/>
          <w:sz w:val="24"/>
          <w:szCs w:val="24"/>
          <w:lang w:val="en-US" w:eastAsia="zh-CN" w:bidi="ar-SA"/>
        </w:rPr>
        <w:t>3.</w:t>
      </w:r>
      <w:r>
        <w:rPr>
          <w:rFonts w:hint="eastAsia" w:ascii="宋体" w:hAnsi="宋体" w:eastAsia="宋体" w:cs="宋体"/>
          <w:b w:val="0"/>
          <w:bCs w:val="0"/>
          <w:sz w:val="22"/>
          <w:szCs w:val="22"/>
          <w:lang w:eastAsia="zh-CN"/>
        </w:rPr>
        <w:t>投标供应商</w:t>
      </w:r>
      <w:r>
        <w:rPr>
          <w:rFonts w:hint="eastAsia" w:ascii="宋体" w:hAnsi="宋体" w:eastAsia="宋体" w:cs="宋体"/>
          <w:b w:val="0"/>
          <w:bCs w:val="0"/>
          <w:sz w:val="22"/>
          <w:szCs w:val="22"/>
        </w:rPr>
        <w:t>应如实申报本单位控股及管理关系人员信息，如存在隐瞒真实情况，提供虚假资料的，经查实，主管部门将依据《深圳经济特区政府采购条例》第五十七条的规定进行处罚。</w:t>
      </w:r>
    </w:p>
    <w:p w14:paraId="3321D593">
      <w:pPr>
        <w:pStyle w:val="8"/>
        <w:rPr>
          <w:rFonts w:hint="eastAsia" w:ascii="宋体" w:hAnsi="宋体" w:eastAsia="宋体" w:cs="宋体"/>
          <w:b w:val="0"/>
          <w:bCs w:val="0"/>
          <w:sz w:val="22"/>
          <w:szCs w:val="22"/>
        </w:rPr>
      </w:pPr>
    </w:p>
    <w:p w14:paraId="5A164CE6">
      <w:pPr>
        <w:pStyle w:val="8"/>
        <w:rPr>
          <w:rFonts w:hint="eastAsia" w:ascii="宋体" w:hAnsi="宋体" w:eastAsia="宋体" w:cs="宋体"/>
          <w:b w:val="0"/>
          <w:bCs w:val="0"/>
          <w:sz w:val="22"/>
          <w:szCs w:val="22"/>
        </w:rPr>
      </w:pPr>
    </w:p>
    <w:p w14:paraId="21CE709F">
      <w:pPr>
        <w:pStyle w:val="8"/>
        <w:rPr>
          <w:rFonts w:hint="eastAsia" w:ascii="宋体" w:hAnsi="宋体" w:eastAsia="宋体" w:cs="宋体"/>
          <w:b w:val="0"/>
          <w:bCs w:val="0"/>
          <w:sz w:val="22"/>
          <w:szCs w:val="22"/>
        </w:rPr>
      </w:pPr>
    </w:p>
    <w:p w14:paraId="11E3FC1B">
      <w:pPr>
        <w:numPr>
          <w:ilvl w:val="0"/>
          <w:numId w:val="0"/>
        </w:numPr>
        <w:ind w:left="420" w:leftChars="0"/>
        <w:rPr>
          <w:rFonts w:hint="eastAsia"/>
        </w:rPr>
      </w:pPr>
    </w:p>
    <w:p w14:paraId="315385FB">
      <w:pPr>
        <w:pStyle w:val="6"/>
        <w:numPr>
          <w:ilvl w:val="0"/>
          <w:numId w:val="6"/>
        </w:numPr>
        <w:ind w:left="0" w:leftChars="0" w:firstLine="420" w:firstLineChars="0"/>
        <w:jc w:val="center"/>
        <w:rPr>
          <w:rFonts w:hint="eastAsia" w:ascii="黑体" w:hAnsi="宋体" w:eastAsia="黑体" w:cs="Times New Roman"/>
          <w:b w:val="0"/>
          <w:sz w:val="24"/>
        </w:rPr>
      </w:pPr>
      <w:r>
        <w:rPr>
          <w:rFonts w:hint="eastAsia" w:ascii="黑体" w:hAnsi="宋体" w:eastAsia="黑体" w:cs="Times New Roman"/>
          <w:b w:val="0"/>
          <w:sz w:val="24"/>
        </w:rPr>
        <w:t>实施方案</w:t>
      </w:r>
    </w:p>
    <w:p w14:paraId="7314D895">
      <w:pPr>
        <w:pStyle w:val="6"/>
        <w:numPr>
          <w:ilvl w:val="0"/>
          <w:numId w:val="6"/>
        </w:numPr>
        <w:ind w:left="0" w:leftChars="0" w:firstLine="420" w:firstLineChars="0"/>
        <w:jc w:val="center"/>
        <w:rPr>
          <w:rFonts w:hint="eastAsia" w:ascii="黑体" w:hAnsi="宋体" w:eastAsia="黑体" w:cs="Times New Roman"/>
          <w:b w:val="0"/>
          <w:sz w:val="24"/>
        </w:rPr>
      </w:pPr>
      <w:r>
        <w:rPr>
          <w:rFonts w:hint="eastAsia" w:ascii="黑体" w:hAnsi="宋体" w:eastAsia="黑体" w:cs="Times New Roman"/>
          <w:b w:val="0"/>
          <w:sz w:val="24"/>
        </w:rPr>
        <w:t>平台系统功能设计</w:t>
      </w:r>
    </w:p>
    <w:p w14:paraId="2DDDBB7C">
      <w:pPr>
        <w:pStyle w:val="6"/>
        <w:numPr>
          <w:ilvl w:val="0"/>
          <w:numId w:val="6"/>
        </w:numPr>
        <w:ind w:left="0" w:leftChars="0" w:firstLine="420" w:firstLineChars="0"/>
        <w:jc w:val="center"/>
        <w:rPr>
          <w:rFonts w:hint="eastAsia" w:ascii="黑体" w:hAnsi="宋体" w:eastAsia="黑体" w:cs="Times New Roman"/>
          <w:b w:val="0"/>
          <w:sz w:val="24"/>
        </w:rPr>
      </w:pPr>
      <w:r>
        <w:rPr>
          <w:rFonts w:hint="eastAsia" w:ascii="黑体" w:hAnsi="宋体" w:eastAsia="黑体" w:cs="Times New Roman"/>
          <w:b w:val="0"/>
          <w:sz w:val="24"/>
        </w:rPr>
        <w:t>质量（完成时间、安全、环保）保障措施及方案</w:t>
      </w:r>
    </w:p>
    <w:p w14:paraId="3A3BF519"/>
    <w:p w14:paraId="46F53E80">
      <w:pPr>
        <w:rPr>
          <w:rFonts w:eastAsia="黑体"/>
        </w:rPr>
      </w:pPr>
    </w:p>
    <w:p w14:paraId="479712B5">
      <w:pPr>
        <w:rPr>
          <w:rFonts w:eastAsiaTheme="minorEastAsia"/>
        </w:rPr>
      </w:pPr>
    </w:p>
    <w:p w14:paraId="46F38D27">
      <w:pPr>
        <w:pStyle w:val="6"/>
        <w:numPr>
          <w:ilvl w:val="0"/>
          <w:numId w:val="6"/>
        </w:numPr>
        <w:ind w:left="0" w:leftChars="0" w:firstLine="420" w:firstLineChars="0"/>
        <w:jc w:val="center"/>
        <w:rPr>
          <w:rFonts w:ascii="黑体" w:eastAsia="黑体"/>
          <w:b w:val="0"/>
          <w:sz w:val="24"/>
        </w:rPr>
      </w:pPr>
      <w:r>
        <w:rPr>
          <w:rFonts w:hint="eastAsia" w:ascii="黑体" w:eastAsia="黑体"/>
          <w:b w:val="0"/>
          <w:sz w:val="24"/>
        </w:rPr>
        <w:t>其它招标文件要求的内容及投标人认为需要补充的内容（格式自定）</w:t>
      </w:r>
    </w:p>
    <w:p w14:paraId="47BD37A9">
      <w:pPr>
        <w:rPr>
          <w:rFonts w:ascii="黑体" w:hAnsi="宋体" w:eastAsia="黑体"/>
          <w:bCs/>
        </w:rPr>
      </w:pPr>
      <w:r>
        <w:rPr>
          <w:rFonts w:ascii="黑体" w:hAnsi="宋体" w:eastAsia="黑体"/>
          <w:bCs/>
        </w:rPr>
        <w:br w:type="page"/>
      </w:r>
    </w:p>
    <w:p w14:paraId="67DF574F">
      <w:pPr>
        <w:rPr>
          <w:rFonts w:ascii="黑体" w:hAnsi="宋体" w:eastAsia="黑体"/>
          <w:bCs/>
        </w:rPr>
      </w:pPr>
    </w:p>
    <w:p w14:paraId="12EDD459">
      <w:pPr>
        <w:pStyle w:val="5"/>
      </w:pPr>
      <w:r>
        <w:rPr>
          <w:rFonts w:hint="eastAsia"/>
        </w:rPr>
        <w:t>第四章</w:t>
      </w:r>
      <w:r>
        <w:rPr>
          <w:rFonts w:hint="eastAsia" w:eastAsia="宋体"/>
        </w:rPr>
        <w:t xml:space="preserve">  </w:t>
      </w:r>
      <w:r>
        <w:rPr>
          <w:rFonts w:hint="eastAsia"/>
        </w:rPr>
        <w:t>合同及履约情况反馈格式</w:t>
      </w:r>
    </w:p>
    <w:p w14:paraId="23E15577">
      <w:pPr>
        <w:ind w:firstLine="470" w:firstLineChars="196"/>
      </w:pPr>
    </w:p>
    <w:p w14:paraId="6C0CC36C">
      <w:pPr>
        <w:jc w:val="center"/>
        <w:outlineLvl w:val="0"/>
      </w:pPr>
      <w:r>
        <w:rPr>
          <w:rFonts w:hint="eastAsia"/>
          <w:b/>
        </w:rPr>
        <w:t>（仅供参考，具体以项目需求及采购结果为准）</w:t>
      </w:r>
    </w:p>
    <w:p w14:paraId="6B24148F">
      <w:pPr>
        <w:ind w:firstLine="480" w:firstLineChars="200"/>
        <w:rPr>
          <w:rFonts w:ascii="宋体" w:hAnsi="宋体"/>
          <w:szCs w:val="21"/>
        </w:rPr>
      </w:pPr>
    </w:p>
    <w:p w14:paraId="7C87E6B5">
      <w:pPr>
        <w:rPr>
          <w:rFonts w:ascii="宋体"/>
          <w:b/>
          <w:bCs/>
          <w:szCs w:val="21"/>
        </w:rPr>
      </w:pPr>
      <w:r>
        <w:rPr>
          <w:rFonts w:hint="eastAsia" w:ascii="宋体" w:hAnsi="宋体"/>
          <w:b/>
          <w:bCs/>
          <w:szCs w:val="21"/>
        </w:rPr>
        <w:t>甲方：</w:t>
      </w:r>
    </w:p>
    <w:p w14:paraId="1852CAA9">
      <w:pPr>
        <w:rPr>
          <w:rFonts w:ascii="宋体"/>
          <w:b/>
          <w:bCs/>
          <w:szCs w:val="21"/>
        </w:rPr>
      </w:pPr>
      <w:r>
        <w:rPr>
          <w:rFonts w:hint="eastAsia" w:ascii="宋体" w:hAnsi="宋体"/>
          <w:b/>
          <w:bCs/>
          <w:szCs w:val="21"/>
        </w:rPr>
        <w:t>乙方：</w:t>
      </w:r>
    </w:p>
    <w:p w14:paraId="6DFCC344">
      <w:pPr>
        <w:rPr>
          <w:rFonts w:ascii="宋体"/>
          <w:szCs w:val="21"/>
        </w:rPr>
      </w:pPr>
    </w:p>
    <w:p w14:paraId="61414B2C">
      <w:pPr>
        <w:rPr>
          <w:rFonts w:ascii="宋体"/>
          <w:szCs w:val="21"/>
        </w:rPr>
      </w:pPr>
    </w:p>
    <w:p w14:paraId="51D6E226">
      <w:pPr>
        <w:ind w:firstLine="480" w:firstLineChars="200"/>
        <w:rPr>
          <w:rFonts w:ascii="宋体"/>
          <w:szCs w:val="21"/>
        </w:rPr>
      </w:pPr>
      <w:r>
        <w:rPr>
          <w:rFonts w:hint="eastAsia" w:ascii="宋体" w:hAnsi="宋体"/>
          <w:szCs w:val="21"/>
        </w:rPr>
        <w:t>根据深圳市东海国际招标有限公司号招标项目的投标结果，由单位为中标方。按照《中华人民共和国民法典》和《深圳经济特区政府采购条例》，经深圳市（以下简称甲方）和单位（以下简称乙方）协商，就甲方委托乙方承担</w:t>
      </w:r>
      <w:r>
        <w:rPr>
          <w:rFonts w:hint="eastAsia" w:ascii="宋体" w:hAnsi="宋体"/>
          <w:szCs w:val="21"/>
          <w:u w:val="single"/>
        </w:rPr>
        <w:t xml:space="preserve">     </w:t>
      </w:r>
      <w:r>
        <w:rPr>
          <w:rFonts w:hint="eastAsia" w:ascii="宋体" w:hAnsi="宋体"/>
          <w:snapToGrid w:val="0"/>
          <w:szCs w:val="21"/>
          <w:lang w:val="zh-CN"/>
        </w:rPr>
        <w:t>服务项目</w:t>
      </w:r>
      <w:r>
        <w:rPr>
          <w:rFonts w:hint="eastAsia" w:ascii="宋体" w:hAnsi="宋体"/>
          <w:szCs w:val="21"/>
        </w:rPr>
        <w:t>，达成以下合同条款：</w:t>
      </w:r>
    </w:p>
    <w:p w14:paraId="2B38FFAA">
      <w:pPr>
        <w:ind w:firstLine="480" w:firstLineChars="200"/>
        <w:rPr>
          <w:rFonts w:ascii="宋体"/>
          <w:b/>
          <w:bCs/>
          <w:szCs w:val="21"/>
        </w:rPr>
      </w:pPr>
      <w:r>
        <w:rPr>
          <w:rFonts w:hint="eastAsia" w:ascii="宋体" w:hAnsi="宋体"/>
          <w:b/>
          <w:bCs/>
          <w:szCs w:val="21"/>
        </w:rPr>
        <w:t>第一条　项目概况</w:t>
      </w:r>
    </w:p>
    <w:p w14:paraId="77EBEECE">
      <w:pPr>
        <w:ind w:firstLine="480" w:firstLineChars="200"/>
        <w:rPr>
          <w:rFonts w:ascii="宋体"/>
          <w:szCs w:val="21"/>
        </w:rPr>
      </w:pPr>
      <w:r>
        <w:rPr>
          <w:rFonts w:hint="eastAsia" w:ascii="宋体" w:hAnsi="宋体"/>
          <w:szCs w:val="21"/>
        </w:rPr>
        <w:t>项目名称：</w:t>
      </w:r>
    </w:p>
    <w:p w14:paraId="5A088A31">
      <w:pPr>
        <w:ind w:firstLine="480" w:firstLineChars="200"/>
        <w:rPr>
          <w:rFonts w:ascii="宋体"/>
          <w:szCs w:val="21"/>
        </w:rPr>
      </w:pPr>
      <w:r>
        <w:rPr>
          <w:rFonts w:hint="eastAsia" w:ascii="宋体" w:hAnsi="宋体"/>
          <w:szCs w:val="21"/>
        </w:rPr>
        <w:t>项目内容：</w:t>
      </w:r>
    </w:p>
    <w:p w14:paraId="0CDF98E7">
      <w:pPr>
        <w:ind w:firstLine="480" w:firstLineChars="200"/>
        <w:rPr>
          <w:rFonts w:ascii="宋体"/>
          <w:szCs w:val="21"/>
        </w:rPr>
      </w:pPr>
      <w:r>
        <w:rPr>
          <w:rFonts w:hint="eastAsia" w:ascii="宋体" w:hAnsi="宋体"/>
          <w:szCs w:val="21"/>
        </w:rPr>
        <w:t>服务时间：</w:t>
      </w:r>
    </w:p>
    <w:p w14:paraId="0CCDBAF6">
      <w:pPr>
        <w:ind w:firstLine="480" w:firstLineChars="200"/>
        <w:rPr>
          <w:rFonts w:ascii="宋体"/>
          <w:szCs w:val="21"/>
        </w:rPr>
      </w:pPr>
      <w:r>
        <w:rPr>
          <w:rFonts w:hint="eastAsia" w:ascii="宋体" w:hAnsi="宋体"/>
          <w:szCs w:val="21"/>
        </w:rPr>
        <w:t>合同价款：合同总价为元，含一切税、费。</w:t>
      </w:r>
      <w:r>
        <w:rPr>
          <w:rFonts w:hint="eastAsia"/>
        </w:rPr>
        <w:t>本合同总价包括</w:t>
      </w:r>
      <w:r>
        <w:rPr>
          <w:rFonts w:hint="eastAsia" w:ascii="宋体" w:hAnsi="宋体"/>
          <w:szCs w:val="21"/>
        </w:rPr>
        <w:t>乙方为实施本项目荷载试验所需的设备仪器费、车辆租赁费、</w:t>
      </w:r>
      <w:r>
        <w:rPr>
          <w:rFonts w:hint="eastAsia"/>
        </w:rPr>
        <w:t>服务和技术费用等，为固定不变价格，且不随通货膨胀的影响而波动。合同总价包括</w:t>
      </w:r>
      <w:r>
        <w:rPr>
          <w:rFonts w:hint="eastAsia" w:ascii="宋体" w:hAnsi="宋体"/>
          <w:szCs w:val="21"/>
        </w:rPr>
        <w:t>乙方</w:t>
      </w:r>
      <w:r>
        <w:rPr>
          <w:rFonts w:hint="eastAsia"/>
        </w:rPr>
        <w:t>履行本合同义务所发生的一切费用和支出和以各种方式寄送技术资料到甲方办公室所发生的费用。如发生本合同规定的不可抗力，合同总价可经双方友好协商予以调整。</w:t>
      </w:r>
    </w:p>
    <w:p w14:paraId="66781D33">
      <w:pPr>
        <w:pStyle w:val="8"/>
        <w:rPr>
          <w:rFonts w:ascii="宋体"/>
          <w:szCs w:val="21"/>
        </w:rPr>
      </w:pPr>
      <w:r>
        <w:rPr>
          <w:rFonts w:hint="eastAsia" w:ascii="宋体" w:hAnsi="宋体"/>
          <w:szCs w:val="21"/>
        </w:rPr>
        <w:t>支付方式：</w:t>
      </w:r>
    </w:p>
    <w:p w14:paraId="127CAE58">
      <w:pPr>
        <w:ind w:firstLine="480" w:firstLineChars="200"/>
        <w:rPr>
          <w:rFonts w:ascii="宋体"/>
          <w:b/>
          <w:bCs/>
          <w:szCs w:val="21"/>
        </w:rPr>
      </w:pPr>
      <w:r>
        <w:rPr>
          <w:rFonts w:hint="eastAsia" w:ascii="宋体" w:hAnsi="宋体"/>
          <w:b/>
          <w:bCs/>
          <w:szCs w:val="21"/>
        </w:rPr>
        <w:t>第二条服务范围</w:t>
      </w:r>
    </w:p>
    <w:p w14:paraId="02FC6E73">
      <w:pPr>
        <w:ind w:firstLine="480" w:firstLineChars="200"/>
        <w:rPr>
          <w:rFonts w:ascii="宋体"/>
          <w:szCs w:val="21"/>
        </w:rPr>
      </w:pPr>
      <w:r>
        <w:rPr>
          <w:rFonts w:ascii="宋体" w:hAnsi="宋体"/>
          <w:szCs w:val="21"/>
        </w:rPr>
        <w:t>1</w:t>
      </w:r>
      <w:r>
        <w:rPr>
          <w:rFonts w:hint="eastAsia" w:ascii="宋体" w:hAnsi="宋体"/>
          <w:szCs w:val="21"/>
        </w:rPr>
        <w:t>、</w:t>
      </w:r>
    </w:p>
    <w:p w14:paraId="62C17604">
      <w:pPr>
        <w:ind w:firstLine="480" w:firstLineChars="200"/>
        <w:rPr>
          <w:rFonts w:ascii="宋体"/>
          <w:szCs w:val="21"/>
        </w:rPr>
      </w:pPr>
      <w:r>
        <w:rPr>
          <w:rFonts w:ascii="宋体" w:hAnsi="宋体"/>
          <w:szCs w:val="21"/>
        </w:rPr>
        <w:t>2</w:t>
      </w:r>
      <w:r>
        <w:rPr>
          <w:rFonts w:hint="eastAsia" w:ascii="宋体" w:hAnsi="宋体"/>
          <w:szCs w:val="21"/>
        </w:rPr>
        <w:t>、</w:t>
      </w:r>
    </w:p>
    <w:p w14:paraId="708D1AA7">
      <w:pPr>
        <w:ind w:firstLine="480" w:firstLineChars="200"/>
        <w:rPr>
          <w:rFonts w:ascii="宋体"/>
          <w:szCs w:val="21"/>
        </w:rPr>
      </w:pPr>
      <w:r>
        <w:rPr>
          <w:rFonts w:ascii="宋体" w:hAnsi="宋体"/>
          <w:szCs w:val="21"/>
        </w:rPr>
        <w:t>3</w:t>
      </w:r>
      <w:r>
        <w:rPr>
          <w:rFonts w:hint="eastAsia" w:ascii="宋体" w:hAnsi="宋体"/>
          <w:szCs w:val="21"/>
        </w:rPr>
        <w:t>、</w:t>
      </w:r>
    </w:p>
    <w:p w14:paraId="59E9385B">
      <w:pPr>
        <w:ind w:firstLine="480" w:firstLineChars="200"/>
        <w:rPr>
          <w:rFonts w:ascii="宋体"/>
          <w:szCs w:val="21"/>
        </w:rPr>
      </w:pPr>
      <w:r>
        <w:rPr>
          <w:rFonts w:ascii="宋体" w:hAnsi="宋体"/>
          <w:szCs w:val="21"/>
        </w:rPr>
        <w:t>4</w:t>
      </w:r>
      <w:r>
        <w:rPr>
          <w:rFonts w:hint="eastAsia" w:ascii="宋体" w:hAnsi="宋体"/>
          <w:szCs w:val="21"/>
        </w:rPr>
        <w:t>、其他合同未明示的相关工作。</w:t>
      </w:r>
    </w:p>
    <w:p w14:paraId="0EA1DF76">
      <w:pPr>
        <w:ind w:firstLine="480" w:firstLineChars="200"/>
        <w:rPr>
          <w:rFonts w:ascii="宋体"/>
          <w:b/>
          <w:bCs/>
          <w:szCs w:val="21"/>
        </w:rPr>
      </w:pPr>
      <w:r>
        <w:rPr>
          <w:rFonts w:hint="eastAsia" w:ascii="宋体" w:hAnsi="宋体"/>
          <w:b/>
          <w:bCs/>
          <w:szCs w:val="21"/>
        </w:rPr>
        <w:t>第三条时间要求及阶段成果</w:t>
      </w:r>
    </w:p>
    <w:p w14:paraId="561A10E7">
      <w:pPr>
        <w:ind w:firstLine="480" w:firstLineChars="200"/>
        <w:rPr>
          <w:rFonts w:ascii="宋体"/>
          <w:szCs w:val="21"/>
        </w:rPr>
      </w:pPr>
      <w:r>
        <w:rPr>
          <w:rFonts w:ascii="宋体" w:hAnsi="宋体"/>
          <w:szCs w:val="21"/>
        </w:rPr>
        <w:t>1</w:t>
      </w:r>
      <w:r>
        <w:rPr>
          <w:rFonts w:hint="eastAsia" w:ascii="宋体" w:hAnsi="宋体"/>
          <w:szCs w:val="21"/>
        </w:rPr>
        <w:t>、合同签订天内完成项目实施的准备工作，包括工作大纲和试验细则的编制；</w:t>
      </w:r>
    </w:p>
    <w:p w14:paraId="4AA4283F">
      <w:pPr>
        <w:ind w:firstLine="480" w:firstLineChars="200"/>
        <w:rPr>
          <w:rFonts w:ascii="宋体"/>
          <w:szCs w:val="21"/>
        </w:rPr>
      </w:pPr>
      <w:r>
        <w:rPr>
          <w:rFonts w:ascii="宋体" w:hAnsi="宋体"/>
          <w:szCs w:val="21"/>
        </w:rPr>
        <w:t>2</w:t>
      </w:r>
      <w:r>
        <w:rPr>
          <w:rFonts w:hint="eastAsia" w:ascii="宋体" w:hAnsi="宋体"/>
          <w:szCs w:val="21"/>
        </w:rPr>
        <w:t>、</w:t>
      </w:r>
    </w:p>
    <w:p w14:paraId="178A64D2">
      <w:pPr>
        <w:ind w:firstLine="480" w:firstLineChars="200"/>
        <w:rPr>
          <w:rFonts w:ascii="宋体"/>
          <w:szCs w:val="21"/>
        </w:rPr>
      </w:pPr>
      <w:r>
        <w:rPr>
          <w:rFonts w:ascii="宋体" w:hAnsi="宋体"/>
          <w:szCs w:val="21"/>
        </w:rPr>
        <w:t>3</w:t>
      </w:r>
      <w:r>
        <w:rPr>
          <w:rFonts w:hint="eastAsia" w:ascii="宋体" w:hAnsi="宋体"/>
          <w:szCs w:val="21"/>
        </w:rPr>
        <w:t>、</w:t>
      </w:r>
    </w:p>
    <w:p w14:paraId="707E937B">
      <w:pPr>
        <w:ind w:firstLine="480" w:firstLineChars="200"/>
        <w:rPr>
          <w:rFonts w:ascii="宋体"/>
          <w:szCs w:val="21"/>
        </w:rPr>
      </w:pPr>
      <w:r>
        <w:rPr>
          <w:rFonts w:ascii="宋体" w:hAnsi="宋体"/>
          <w:szCs w:val="21"/>
        </w:rPr>
        <w:t>4</w:t>
      </w:r>
      <w:r>
        <w:rPr>
          <w:rFonts w:hint="eastAsia" w:ascii="宋体" w:hAnsi="宋体"/>
          <w:szCs w:val="21"/>
        </w:rPr>
        <w:t>、</w:t>
      </w:r>
    </w:p>
    <w:p w14:paraId="4DECC44A">
      <w:pPr>
        <w:ind w:firstLine="480" w:firstLineChars="200"/>
        <w:rPr>
          <w:rFonts w:ascii="宋体"/>
          <w:b/>
          <w:bCs/>
          <w:szCs w:val="21"/>
        </w:rPr>
      </w:pPr>
      <w:r>
        <w:rPr>
          <w:rFonts w:hint="eastAsia" w:ascii="宋体" w:hAnsi="宋体"/>
          <w:b/>
          <w:bCs/>
          <w:szCs w:val="21"/>
        </w:rPr>
        <w:t>第四条咨询服务资料归属</w:t>
      </w:r>
    </w:p>
    <w:p w14:paraId="128A6C57">
      <w:pPr>
        <w:ind w:firstLine="480" w:firstLineChars="200"/>
      </w:pPr>
      <w:r>
        <w:t>1</w:t>
      </w:r>
      <w:r>
        <w:rPr>
          <w:rFonts w:hint="eastAsia"/>
        </w:rPr>
        <w:t>、所有提交给甲方的咨询服务文件及相关的资料的最后文本，包括为履行技术咨询服务范围所编制的图纸、计划和证明资料等，都属于甲方的财产，</w:t>
      </w:r>
      <w:r>
        <w:rPr>
          <w:rFonts w:hint="eastAsia" w:ascii="宋体" w:hAnsi="宋体"/>
          <w:szCs w:val="21"/>
        </w:rPr>
        <w:t>乙</w:t>
      </w:r>
      <w:r>
        <w:rPr>
          <w:rFonts w:hint="eastAsia"/>
        </w:rPr>
        <w:t>方在提交给甲方之前应将上述资料进行整理归类和编制索引。</w:t>
      </w:r>
    </w:p>
    <w:p w14:paraId="6DC26100">
      <w:pPr>
        <w:ind w:firstLine="480" w:firstLineChars="200"/>
      </w:pPr>
      <w:r>
        <w:t>2</w:t>
      </w:r>
      <w:r>
        <w:rPr>
          <w:rFonts w:hint="eastAsia"/>
        </w:rPr>
        <w:t>、</w:t>
      </w:r>
      <w:r>
        <w:rPr>
          <w:rFonts w:hint="eastAsia" w:ascii="宋体" w:hAnsi="宋体"/>
          <w:szCs w:val="21"/>
        </w:rPr>
        <w:t>乙</w:t>
      </w:r>
      <w:r>
        <w:rPr>
          <w:rFonts w:hint="eastAsia"/>
        </w:rPr>
        <w:t>方未经甲方的书面同意，不得将上述资料用于与本咨询服务项目之外的任何项目。</w:t>
      </w:r>
    </w:p>
    <w:p w14:paraId="641A9AEB">
      <w:pPr>
        <w:ind w:firstLine="480" w:firstLineChars="200"/>
      </w:pPr>
      <w:r>
        <w:t>3</w:t>
      </w:r>
      <w:r>
        <w:rPr>
          <w:rFonts w:hint="eastAsia"/>
        </w:rPr>
        <w:t>、合同履行完毕，未经甲方的书面同意，</w:t>
      </w:r>
      <w:r>
        <w:rPr>
          <w:rFonts w:hint="eastAsia" w:ascii="宋体" w:hAnsi="宋体"/>
          <w:szCs w:val="21"/>
        </w:rPr>
        <w:t>乙</w:t>
      </w:r>
      <w:r>
        <w:rPr>
          <w:rFonts w:hint="eastAsia"/>
        </w:rPr>
        <w:t>方不得保存在履行合同过程中所获得或接触到的任何</w:t>
      </w:r>
      <w:r>
        <w:rPr>
          <w:rFonts w:hint="eastAsia" w:ascii="宋体" w:hAnsi="宋体"/>
          <w:szCs w:val="21"/>
        </w:rPr>
        <w:t>内部数据资料。</w:t>
      </w:r>
    </w:p>
    <w:p w14:paraId="7ABBCC03">
      <w:pPr>
        <w:ind w:firstLine="480" w:firstLineChars="200"/>
        <w:rPr>
          <w:rFonts w:ascii="宋体"/>
          <w:b/>
          <w:bCs/>
          <w:szCs w:val="21"/>
        </w:rPr>
      </w:pPr>
      <w:r>
        <w:rPr>
          <w:rFonts w:hint="eastAsia" w:ascii="宋体" w:hAnsi="宋体"/>
          <w:b/>
          <w:bCs/>
          <w:szCs w:val="21"/>
        </w:rPr>
        <w:t>第五条甲方的义务</w:t>
      </w:r>
    </w:p>
    <w:p w14:paraId="43CE2C42">
      <w:pPr>
        <w:ind w:firstLine="480" w:firstLineChars="200"/>
        <w:rPr>
          <w:rFonts w:ascii="宋体"/>
          <w:szCs w:val="21"/>
        </w:rPr>
      </w:pPr>
      <w:r>
        <w:rPr>
          <w:rFonts w:ascii="宋体" w:hAnsi="宋体"/>
          <w:szCs w:val="21"/>
        </w:rPr>
        <w:t>1</w:t>
      </w:r>
      <w:r>
        <w:rPr>
          <w:rFonts w:hint="eastAsia" w:ascii="宋体" w:hAnsi="宋体"/>
          <w:szCs w:val="21"/>
        </w:rPr>
        <w:t>、负责与本咨询服务项目有关的第三方的协调，提供开展咨询服务工作的外部条件。</w:t>
      </w:r>
    </w:p>
    <w:p w14:paraId="0751139D">
      <w:pPr>
        <w:ind w:firstLine="480" w:firstLineChars="200"/>
        <w:rPr>
          <w:rFonts w:ascii="宋体"/>
          <w:szCs w:val="21"/>
        </w:rPr>
      </w:pPr>
      <w:r>
        <w:rPr>
          <w:rFonts w:ascii="宋体" w:hAnsi="宋体"/>
          <w:szCs w:val="21"/>
        </w:rPr>
        <w:t>2</w:t>
      </w:r>
      <w:r>
        <w:rPr>
          <w:rFonts w:hint="eastAsia" w:ascii="宋体" w:hAnsi="宋体"/>
          <w:szCs w:val="21"/>
        </w:rPr>
        <w:t>、向乙方提供与本项目咨询服务工作有关的资料。</w:t>
      </w:r>
    </w:p>
    <w:p w14:paraId="71859805">
      <w:pPr>
        <w:ind w:firstLine="480" w:firstLineChars="200"/>
        <w:rPr>
          <w:rFonts w:ascii="宋体"/>
          <w:szCs w:val="21"/>
        </w:rPr>
      </w:pPr>
      <w:r>
        <w:rPr>
          <w:rFonts w:ascii="宋体" w:hAnsi="宋体"/>
          <w:szCs w:val="21"/>
        </w:rPr>
        <w:t>3</w:t>
      </w:r>
      <w:r>
        <w:rPr>
          <w:rFonts w:hint="eastAsia" w:ascii="宋体" w:hAnsi="宋体"/>
          <w:szCs w:val="21"/>
        </w:rPr>
        <w:t>、负责组织有关专家对项目试验成果评估报告的评审。</w:t>
      </w:r>
    </w:p>
    <w:p w14:paraId="76443C9D">
      <w:pPr>
        <w:ind w:firstLine="480" w:firstLineChars="200"/>
        <w:rPr>
          <w:rFonts w:ascii="宋体"/>
          <w:b/>
          <w:bCs/>
          <w:szCs w:val="21"/>
        </w:rPr>
      </w:pPr>
      <w:r>
        <w:rPr>
          <w:rFonts w:hint="eastAsia" w:ascii="宋体" w:hAnsi="宋体"/>
          <w:b/>
          <w:bCs/>
          <w:szCs w:val="21"/>
        </w:rPr>
        <w:t>第七条　乙方的义务</w:t>
      </w:r>
    </w:p>
    <w:p w14:paraId="1A533A25">
      <w:pPr>
        <w:ind w:firstLine="480" w:firstLineChars="200"/>
        <w:rPr>
          <w:rFonts w:ascii="宋体"/>
          <w:szCs w:val="21"/>
        </w:rPr>
      </w:pPr>
      <w:r>
        <w:rPr>
          <w:rFonts w:hint="eastAsia" w:ascii="宋体" w:hAnsi="宋体"/>
          <w:szCs w:val="21"/>
        </w:rPr>
        <w:t>１、应按照号招标文件、乙方投标文件要求按期完成本项目咨询服务工作。</w:t>
      </w:r>
    </w:p>
    <w:p w14:paraId="08478FA6">
      <w:pPr>
        <w:ind w:firstLine="480" w:firstLineChars="200"/>
        <w:rPr>
          <w:rFonts w:ascii="宋体"/>
          <w:szCs w:val="21"/>
        </w:rPr>
      </w:pPr>
      <w:r>
        <w:rPr>
          <w:rFonts w:ascii="宋体" w:hAnsi="宋体"/>
          <w:szCs w:val="21"/>
        </w:rPr>
        <w:t>2</w:t>
      </w:r>
      <w:r>
        <w:rPr>
          <w:rFonts w:hint="eastAsia" w:ascii="宋体" w:hAnsi="宋体"/>
          <w:szCs w:val="21"/>
        </w:rPr>
        <w:t>、负责组织项目的实施，保证工程进度和成桥荷载试验工作质量，并满足交通部交工验收相关标准。</w:t>
      </w:r>
    </w:p>
    <w:p w14:paraId="14DB3194">
      <w:pPr>
        <w:ind w:firstLine="480" w:firstLineChars="200"/>
        <w:rPr>
          <w:rFonts w:ascii="宋体"/>
          <w:szCs w:val="21"/>
        </w:rPr>
      </w:pPr>
      <w:r>
        <w:rPr>
          <w:rFonts w:ascii="宋体" w:hAnsi="宋体"/>
          <w:szCs w:val="21"/>
        </w:rPr>
        <w:t>3</w:t>
      </w:r>
      <w:r>
        <w:rPr>
          <w:rFonts w:hint="eastAsia" w:ascii="宋体" w:hAnsi="宋体"/>
          <w:szCs w:val="21"/>
        </w:rPr>
        <w:t>、</w:t>
      </w:r>
      <w:r>
        <w:rPr>
          <w:rFonts w:hint="eastAsia" w:ascii="宋体" w:hAnsi="宋体"/>
        </w:rPr>
        <w:t>向甲方提交检测资料等各套，一套电子版文件。</w:t>
      </w:r>
    </w:p>
    <w:p w14:paraId="3E592596">
      <w:pPr>
        <w:ind w:firstLine="480" w:firstLineChars="200"/>
        <w:rPr>
          <w:rFonts w:ascii="宋体"/>
          <w:szCs w:val="21"/>
        </w:rPr>
      </w:pPr>
      <w:r>
        <w:rPr>
          <w:rFonts w:ascii="宋体" w:hAnsi="宋体"/>
          <w:szCs w:val="21"/>
        </w:rPr>
        <w:t>4</w:t>
      </w:r>
      <w:r>
        <w:rPr>
          <w:rFonts w:hint="eastAsia" w:ascii="宋体" w:hAnsi="宋体"/>
          <w:szCs w:val="21"/>
        </w:rPr>
        <w:t>、在履行合同期间或合同规定期限内，不得泄露与本合同规定业务活动有关的保密资料。</w:t>
      </w:r>
    </w:p>
    <w:p w14:paraId="100039E2">
      <w:pPr>
        <w:ind w:firstLine="480" w:firstLineChars="200"/>
        <w:rPr>
          <w:rFonts w:ascii="宋体"/>
          <w:b/>
          <w:bCs/>
          <w:szCs w:val="21"/>
        </w:rPr>
      </w:pPr>
      <w:r>
        <w:rPr>
          <w:rFonts w:hint="eastAsia" w:ascii="宋体" w:hAnsi="宋体"/>
          <w:b/>
          <w:bCs/>
          <w:szCs w:val="21"/>
        </w:rPr>
        <w:t>第八条甲方的权利</w:t>
      </w:r>
    </w:p>
    <w:p w14:paraId="390A6BF5">
      <w:pPr>
        <w:ind w:firstLine="480" w:firstLineChars="200"/>
        <w:rPr>
          <w:rFonts w:ascii="宋体"/>
          <w:szCs w:val="21"/>
        </w:rPr>
      </w:pPr>
      <w:r>
        <w:rPr>
          <w:rFonts w:ascii="宋体" w:hAnsi="宋体"/>
          <w:szCs w:val="21"/>
        </w:rPr>
        <w:t>1</w:t>
      </w:r>
      <w:r>
        <w:rPr>
          <w:rFonts w:hint="eastAsia" w:ascii="宋体" w:hAnsi="宋体"/>
          <w:szCs w:val="21"/>
        </w:rPr>
        <w:t>、有权向乙方询问工作进展情况及相关的内容。</w:t>
      </w:r>
    </w:p>
    <w:p w14:paraId="5F0E0F6C">
      <w:pPr>
        <w:ind w:firstLine="480" w:firstLineChars="200"/>
        <w:rPr>
          <w:rFonts w:ascii="宋体"/>
          <w:szCs w:val="21"/>
        </w:rPr>
      </w:pPr>
      <w:r>
        <w:rPr>
          <w:rFonts w:ascii="宋体" w:hAnsi="宋体"/>
          <w:szCs w:val="21"/>
        </w:rPr>
        <w:t>2</w:t>
      </w:r>
      <w:r>
        <w:rPr>
          <w:rFonts w:hint="eastAsia" w:ascii="宋体" w:hAnsi="宋体"/>
          <w:szCs w:val="21"/>
        </w:rPr>
        <w:t>、有权阐述对具体问题的意见和建议。</w:t>
      </w:r>
    </w:p>
    <w:p w14:paraId="28D8730B">
      <w:pPr>
        <w:ind w:firstLine="480" w:firstLineChars="200"/>
        <w:rPr>
          <w:rFonts w:ascii="宋体"/>
          <w:szCs w:val="21"/>
        </w:rPr>
      </w:pPr>
      <w:r>
        <w:rPr>
          <w:rFonts w:ascii="宋体" w:hAnsi="宋体"/>
          <w:szCs w:val="21"/>
        </w:rPr>
        <w:t>3</w:t>
      </w:r>
      <w:r>
        <w:rPr>
          <w:rFonts w:hint="eastAsia" w:ascii="宋体" w:hAnsi="宋体"/>
          <w:szCs w:val="21"/>
        </w:rPr>
        <w:t>、当甲方认定乙方人员不按合同履行其职责，或与第三人串通给甲方造成经济损失的，甲方有权要求更换人员，直至终止合同并要求乙方承担相应的赔偿责任。</w:t>
      </w:r>
    </w:p>
    <w:p w14:paraId="7829360E">
      <w:pPr>
        <w:ind w:firstLine="480" w:firstLineChars="200"/>
        <w:rPr>
          <w:rFonts w:ascii="宋体"/>
          <w:b/>
          <w:bCs/>
          <w:szCs w:val="21"/>
        </w:rPr>
      </w:pPr>
      <w:r>
        <w:rPr>
          <w:rFonts w:hint="eastAsia" w:ascii="宋体" w:hAnsi="宋体"/>
          <w:b/>
          <w:bCs/>
          <w:szCs w:val="21"/>
        </w:rPr>
        <w:t>第九条乙方的权利</w:t>
      </w:r>
    </w:p>
    <w:p w14:paraId="481D76A6">
      <w:pPr>
        <w:ind w:firstLine="480" w:firstLineChars="200"/>
        <w:rPr>
          <w:rFonts w:ascii="宋体"/>
          <w:szCs w:val="21"/>
        </w:rPr>
      </w:pPr>
      <w:r>
        <w:rPr>
          <w:rFonts w:ascii="宋体" w:hAnsi="宋体"/>
          <w:szCs w:val="21"/>
        </w:rPr>
        <w:t>1</w:t>
      </w:r>
      <w:r>
        <w:rPr>
          <w:rFonts w:hint="eastAsia" w:ascii="宋体" w:hAnsi="宋体"/>
          <w:szCs w:val="21"/>
        </w:rPr>
        <w:t>、乙方在本项目服务过程中，如甲方提供的资料不明确时可向甲方提出书面报告。</w:t>
      </w:r>
    </w:p>
    <w:p w14:paraId="5770FE74">
      <w:pPr>
        <w:ind w:firstLine="480" w:firstLineChars="200"/>
        <w:rPr>
          <w:rFonts w:ascii="宋体"/>
          <w:szCs w:val="21"/>
        </w:rPr>
      </w:pPr>
      <w:r>
        <w:rPr>
          <w:rFonts w:ascii="宋体" w:hAnsi="宋体"/>
          <w:szCs w:val="21"/>
        </w:rPr>
        <w:t>2</w:t>
      </w:r>
      <w:r>
        <w:rPr>
          <w:rFonts w:hint="eastAsia" w:ascii="宋体" w:hAnsi="宋体"/>
          <w:szCs w:val="21"/>
        </w:rPr>
        <w:t>、乙方在本项目服务过程中，有权对第三方提出与本咨询服务业务有关的问题进行核对或查问。</w:t>
      </w:r>
    </w:p>
    <w:p w14:paraId="1965BC5E">
      <w:pPr>
        <w:ind w:firstLine="480" w:firstLineChars="200"/>
        <w:rPr>
          <w:rFonts w:ascii="宋体"/>
          <w:szCs w:val="21"/>
        </w:rPr>
      </w:pPr>
      <w:r>
        <w:rPr>
          <w:rFonts w:ascii="宋体" w:hAnsi="宋体"/>
          <w:szCs w:val="21"/>
        </w:rPr>
        <w:t>3</w:t>
      </w:r>
      <w:r>
        <w:rPr>
          <w:rFonts w:hint="eastAsia" w:ascii="宋体" w:hAnsi="宋体"/>
          <w:szCs w:val="21"/>
        </w:rPr>
        <w:t>、乙方在本项目服务过程中，有到工程现场勘察的权利。</w:t>
      </w:r>
    </w:p>
    <w:p w14:paraId="66872DC9">
      <w:pPr>
        <w:ind w:firstLine="480" w:firstLineChars="200"/>
        <w:rPr>
          <w:rFonts w:ascii="宋体"/>
          <w:b/>
          <w:bCs/>
          <w:szCs w:val="21"/>
        </w:rPr>
      </w:pPr>
      <w:r>
        <w:rPr>
          <w:rFonts w:hint="eastAsia" w:ascii="宋体" w:hAnsi="宋体"/>
          <w:b/>
          <w:bCs/>
          <w:szCs w:val="21"/>
        </w:rPr>
        <w:t>第十条甲方的责任</w:t>
      </w:r>
    </w:p>
    <w:p w14:paraId="6E59F141">
      <w:pPr>
        <w:ind w:firstLine="480" w:firstLineChars="200"/>
        <w:rPr>
          <w:rFonts w:ascii="宋体"/>
          <w:szCs w:val="21"/>
        </w:rPr>
      </w:pPr>
      <w:r>
        <w:rPr>
          <w:rFonts w:ascii="宋体" w:hAnsi="宋体"/>
          <w:szCs w:val="21"/>
        </w:rPr>
        <w:t>1</w:t>
      </w:r>
      <w:r>
        <w:rPr>
          <w:rFonts w:hint="eastAsia" w:ascii="宋体" w:hAnsi="宋体"/>
          <w:szCs w:val="21"/>
        </w:rPr>
        <w:t>、应当履行本合同约定的义务，如有违反则应当承担违约责任，赔偿给乙方造成的损失。</w:t>
      </w:r>
    </w:p>
    <w:p w14:paraId="24B9A895">
      <w:pPr>
        <w:ind w:firstLine="480" w:firstLineChars="200"/>
        <w:rPr>
          <w:rFonts w:ascii="宋体"/>
          <w:szCs w:val="21"/>
        </w:rPr>
      </w:pPr>
      <w:r>
        <w:rPr>
          <w:rFonts w:ascii="宋体" w:hAnsi="宋体"/>
          <w:szCs w:val="21"/>
        </w:rPr>
        <w:t>2</w:t>
      </w:r>
      <w:r>
        <w:rPr>
          <w:rFonts w:hint="eastAsia" w:ascii="宋体" w:hAnsi="宋体"/>
          <w:szCs w:val="21"/>
        </w:rPr>
        <w:t>、甲方向乙方提出赔偿要求不能成立时，则应补偿由于该赔偿或其他要求所导致乙方的各种费用的支出。</w:t>
      </w:r>
    </w:p>
    <w:p w14:paraId="4356399F">
      <w:pPr>
        <w:ind w:firstLine="480" w:firstLineChars="200"/>
        <w:rPr>
          <w:rFonts w:ascii="宋体"/>
          <w:b/>
          <w:bCs/>
          <w:szCs w:val="21"/>
        </w:rPr>
      </w:pPr>
      <w:r>
        <w:rPr>
          <w:rFonts w:hint="eastAsia" w:ascii="宋体" w:hAnsi="宋体"/>
          <w:b/>
          <w:bCs/>
          <w:szCs w:val="21"/>
        </w:rPr>
        <w:t>第十一条乙方的责任</w:t>
      </w:r>
    </w:p>
    <w:p w14:paraId="6DA721E4">
      <w:pPr>
        <w:ind w:firstLine="480" w:firstLineChars="200"/>
        <w:rPr>
          <w:rFonts w:ascii="宋体"/>
          <w:szCs w:val="21"/>
        </w:rPr>
      </w:pPr>
      <w:r>
        <w:rPr>
          <w:rFonts w:ascii="宋体" w:hAnsi="宋体"/>
          <w:szCs w:val="21"/>
        </w:rPr>
        <w:t>1</w:t>
      </w:r>
      <w:r>
        <w:rPr>
          <w:rFonts w:hint="eastAsia" w:ascii="宋体" w:hAnsi="宋体"/>
          <w:szCs w:val="21"/>
        </w:rPr>
        <w:t>、乙方的责任期即本合同有效期。如因非乙方的责任造成进度的推迟或延误而超过约定的日期，双方应进一步约定相应延长合同有效期。</w:t>
      </w:r>
    </w:p>
    <w:p w14:paraId="54813E06">
      <w:pPr>
        <w:ind w:firstLine="480" w:firstLineChars="200"/>
        <w:rPr>
          <w:rFonts w:ascii="宋体"/>
          <w:szCs w:val="21"/>
        </w:rPr>
      </w:pPr>
      <w:r>
        <w:rPr>
          <w:rFonts w:ascii="宋体" w:hAnsi="宋体"/>
          <w:szCs w:val="21"/>
        </w:rPr>
        <w:t>2</w:t>
      </w:r>
      <w:r>
        <w:rPr>
          <w:rFonts w:hint="eastAsia" w:ascii="宋体" w:hAnsi="宋体"/>
          <w:szCs w:val="21"/>
        </w:rPr>
        <w:t>、乙方的责任期内，应当履行本合同中约定的义务，因乙方的单方过失造成的经济损失，应当向甲方进行赔偿。</w:t>
      </w:r>
    </w:p>
    <w:p w14:paraId="07ED57A8">
      <w:pPr>
        <w:ind w:firstLine="480" w:firstLineChars="200"/>
        <w:rPr>
          <w:rFonts w:ascii="宋体"/>
          <w:szCs w:val="21"/>
        </w:rPr>
      </w:pPr>
      <w:r>
        <w:rPr>
          <w:rFonts w:ascii="宋体" w:hAnsi="宋体"/>
          <w:szCs w:val="21"/>
        </w:rPr>
        <w:t>3</w:t>
      </w:r>
      <w:r>
        <w:rPr>
          <w:rFonts w:hint="eastAsia" w:ascii="宋体" w:hAnsi="宋体"/>
          <w:szCs w:val="21"/>
        </w:rPr>
        <w:t>、乙方对甲方或第三方所提出的问题不能及时核对或答复，导致合同不能全部或部分履行，乙方应承担责任。</w:t>
      </w:r>
    </w:p>
    <w:p w14:paraId="0098A307">
      <w:pPr>
        <w:ind w:firstLine="480" w:firstLineChars="200"/>
        <w:rPr>
          <w:rFonts w:ascii="宋体"/>
          <w:szCs w:val="21"/>
        </w:rPr>
      </w:pPr>
      <w:r>
        <w:rPr>
          <w:rFonts w:ascii="宋体" w:hAnsi="宋体"/>
          <w:szCs w:val="21"/>
        </w:rPr>
        <w:t>4</w:t>
      </w:r>
      <w:r>
        <w:rPr>
          <w:rFonts w:hint="eastAsia" w:ascii="宋体" w:hAnsi="宋体"/>
          <w:szCs w:val="21"/>
        </w:rPr>
        <w:t>、乙方向甲方提出赔偿要求不能成立时，则应补偿由于该赔偿或其他要求所导致甲方的各种费用的支出。</w:t>
      </w:r>
    </w:p>
    <w:p w14:paraId="60888B97">
      <w:pPr>
        <w:ind w:firstLine="480" w:firstLineChars="200"/>
        <w:rPr>
          <w:rFonts w:ascii="宋体"/>
          <w:b/>
          <w:bCs/>
          <w:szCs w:val="21"/>
        </w:rPr>
      </w:pPr>
      <w:r>
        <w:rPr>
          <w:rFonts w:hint="eastAsia" w:ascii="宋体" w:hAnsi="宋体"/>
          <w:b/>
          <w:bCs/>
          <w:szCs w:val="21"/>
        </w:rPr>
        <w:t>第十二条人员要求</w:t>
      </w:r>
    </w:p>
    <w:p w14:paraId="58EACB39">
      <w:pPr>
        <w:ind w:firstLine="480" w:firstLineChars="200"/>
        <w:rPr>
          <w:rFonts w:ascii="宋体"/>
          <w:szCs w:val="21"/>
        </w:rPr>
      </w:pPr>
      <w:r>
        <w:rPr>
          <w:rFonts w:ascii="宋体" w:hAnsi="宋体"/>
          <w:szCs w:val="21"/>
        </w:rPr>
        <w:t>1</w:t>
      </w:r>
      <w:r>
        <w:rPr>
          <w:rFonts w:hint="eastAsia" w:ascii="宋体" w:hAnsi="宋体"/>
          <w:szCs w:val="21"/>
        </w:rPr>
        <w:t>、参加本项目试验的人员必须具有国家和有关部门规定的相应资质。</w:t>
      </w:r>
    </w:p>
    <w:p w14:paraId="51C7F6B7">
      <w:pPr>
        <w:ind w:firstLine="480" w:firstLineChars="200"/>
        <w:rPr>
          <w:rFonts w:ascii="宋体"/>
          <w:szCs w:val="21"/>
        </w:rPr>
      </w:pPr>
      <w:r>
        <w:rPr>
          <w:rFonts w:ascii="宋体" w:hAnsi="宋体"/>
          <w:szCs w:val="21"/>
        </w:rPr>
        <w:t>2</w:t>
      </w:r>
      <w:r>
        <w:rPr>
          <w:rFonts w:hint="eastAsia" w:ascii="宋体" w:hAnsi="宋体"/>
          <w:szCs w:val="21"/>
        </w:rPr>
        <w:t>、参加本项目的试验人员的配置必须与投标文件中的服务承诺书和试验服务组织实施方案一致。</w:t>
      </w:r>
    </w:p>
    <w:p w14:paraId="2F2F66E3">
      <w:pPr>
        <w:ind w:firstLine="480" w:firstLineChars="200"/>
        <w:rPr>
          <w:rFonts w:ascii="宋体"/>
          <w:szCs w:val="21"/>
        </w:rPr>
      </w:pPr>
      <w:r>
        <w:rPr>
          <w:rFonts w:ascii="宋体" w:hAnsi="宋体"/>
          <w:szCs w:val="21"/>
        </w:rPr>
        <w:t>3</w:t>
      </w:r>
      <w:r>
        <w:rPr>
          <w:rFonts w:hint="eastAsia" w:ascii="宋体" w:hAnsi="宋体"/>
          <w:szCs w:val="21"/>
        </w:rPr>
        <w:t>、必须以直属试验人员参与本项目服务，不得使用挂靠队伍。</w:t>
      </w:r>
    </w:p>
    <w:p w14:paraId="1F071724">
      <w:pPr>
        <w:ind w:firstLine="480" w:firstLineChars="200"/>
        <w:rPr>
          <w:rFonts w:ascii="宋体"/>
          <w:b/>
          <w:bCs/>
          <w:szCs w:val="21"/>
        </w:rPr>
      </w:pPr>
      <w:r>
        <w:rPr>
          <w:rFonts w:hint="eastAsia" w:ascii="宋体" w:hAnsi="宋体"/>
          <w:b/>
          <w:bCs/>
          <w:szCs w:val="21"/>
        </w:rPr>
        <w:t>第十三条乙方咨询服务工具要求</w:t>
      </w:r>
    </w:p>
    <w:p w14:paraId="31543828">
      <w:pPr>
        <w:ind w:firstLine="480" w:firstLineChars="200"/>
        <w:rPr>
          <w:rFonts w:ascii="宋体"/>
          <w:szCs w:val="21"/>
        </w:rPr>
      </w:pPr>
      <w:r>
        <w:rPr>
          <w:rFonts w:ascii="宋体" w:hAnsi="宋体"/>
          <w:szCs w:val="21"/>
        </w:rPr>
        <w:t>1</w:t>
      </w:r>
      <w:r>
        <w:rPr>
          <w:rFonts w:hint="eastAsia" w:ascii="宋体" w:hAnsi="宋体"/>
          <w:szCs w:val="21"/>
        </w:rPr>
        <w:t>、乙方应配备中标项目所需的足够数量的仪器、仪表以及工具等设备。用户不需向乙方提供施工工具和仪器、仪表。</w:t>
      </w:r>
    </w:p>
    <w:p w14:paraId="04F30FDF">
      <w:pPr>
        <w:ind w:firstLine="480" w:firstLineChars="200"/>
        <w:rPr>
          <w:rFonts w:ascii="宋体"/>
          <w:szCs w:val="21"/>
        </w:rPr>
      </w:pPr>
      <w:r>
        <w:rPr>
          <w:rFonts w:ascii="宋体" w:hAnsi="宋体"/>
          <w:szCs w:val="21"/>
        </w:rPr>
        <w:t>2</w:t>
      </w:r>
      <w:r>
        <w:rPr>
          <w:rFonts w:hint="eastAsia" w:ascii="宋体" w:hAnsi="宋体"/>
          <w:szCs w:val="21"/>
        </w:rPr>
        <w:t>、乙方在提供服务过程中应自备车辆。</w:t>
      </w:r>
    </w:p>
    <w:p w14:paraId="1848E1A9">
      <w:pPr>
        <w:ind w:firstLine="480" w:firstLineChars="200"/>
        <w:rPr>
          <w:rFonts w:ascii="宋体"/>
          <w:b/>
          <w:bCs/>
          <w:szCs w:val="21"/>
        </w:rPr>
      </w:pPr>
      <w:r>
        <w:rPr>
          <w:rFonts w:hint="eastAsia" w:ascii="宋体" w:hAnsi="宋体"/>
          <w:b/>
          <w:bCs/>
          <w:szCs w:val="21"/>
        </w:rPr>
        <w:t>第十四条保密要求</w:t>
      </w:r>
    </w:p>
    <w:p w14:paraId="5DE6D291">
      <w:pPr>
        <w:ind w:firstLine="480" w:firstLineChars="200"/>
        <w:rPr>
          <w:rFonts w:ascii="宋体"/>
          <w:szCs w:val="21"/>
        </w:rPr>
      </w:pPr>
      <w:r>
        <w:rPr>
          <w:rFonts w:ascii="宋体" w:hAnsi="宋体"/>
          <w:szCs w:val="21"/>
        </w:rPr>
        <w:t>1</w:t>
      </w:r>
      <w:r>
        <w:rPr>
          <w:rFonts w:hint="eastAsia" w:ascii="宋体" w:hAnsi="宋体"/>
          <w:szCs w:val="21"/>
        </w:rPr>
        <w:t>、由甲方收集的、开发的、整理的、复制的、研究的和准备的与本合同项下工作有关的所有资料在提供给乙方时，均被视为保密的，不得泄漏给除甲方或其指定的代表之外的任何人、企业或公司，不管本合同因何种原因终止，本条款一直约束乙方。</w:t>
      </w:r>
    </w:p>
    <w:p w14:paraId="701CE30E">
      <w:pPr>
        <w:ind w:firstLine="480" w:firstLineChars="200"/>
        <w:rPr>
          <w:rFonts w:ascii="宋体"/>
          <w:szCs w:val="21"/>
        </w:rPr>
      </w:pPr>
      <w:r>
        <w:rPr>
          <w:rFonts w:ascii="宋体" w:hAnsi="宋体"/>
          <w:szCs w:val="21"/>
        </w:rPr>
        <w:t>2</w:t>
      </w:r>
      <w:r>
        <w:rPr>
          <w:rFonts w:hint="eastAsia" w:ascii="宋体" w:hAnsi="宋体"/>
          <w:szCs w:val="21"/>
        </w:rPr>
        <w:t>、乙方在履行合同过程中所获得或接触到的任何内部数据资料，未经甲方同意，不得向第三方透露。</w:t>
      </w:r>
    </w:p>
    <w:p w14:paraId="07E5AF79">
      <w:pPr>
        <w:ind w:firstLine="480" w:firstLineChars="200"/>
        <w:rPr>
          <w:rFonts w:ascii="宋体"/>
          <w:szCs w:val="21"/>
        </w:rPr>
      </w:pPr>
      <w:r>
        <w:rPr>
          <w:rFonts w:ascii="宋体" w:hAnsi="宋体"/>
          <w:szCs w:val="21"/>
        </w:rPr>
        <w:t>3</w:t>
      </w:r>
      <w:r>
        <w:rPr>
          <w:rFonts w:hint="eastAsia" w:ascii="宋体" w:hAnsi="宋体"/>
          <w:szCs w:val="21"/>
        </w:rPr>
        <w:t>、乙方实施项目的一切程序都应符合国家安全、保密的有关规定和标准。</w:t>
      </w:r>
    </w:p>
    <w:p w14:paraId="13194FD0">
      <w:pPr>
        <w:ind w:firstLine="480" w:firstLineChars="200"/>
        <w:rPr>
          <w:rFonts w:ascii="宋体"/>
          <w:szCs w:val="21"/>
        </w:rPr>
      </w:pPr>
      <w:r>
        <w:rPr>
          <w:rFonts w:ascii="宋体" w:hAnsi="宋体"/>
          <w:szCs w:val="21"/>
        </w:rPr>
        <w:t>4</w:t>
      </w:r>
      <w:r>
        <w:rPr>
          <w:rFonts w:hint="eastAsia" w:ascii="宋体" w:hAnsi="宋体"/>
          <w:szCs w:val="21"/>
        </w:rPr>
        <w:t>、乙方参加项目的有关人员均需同甲方签订保密协议。</w:t>
      </w:r>
    </w:p>
    <w:p w14:paraId="3B929152">
      <w:pPr>
        <w:ind w:firstLine="480" w:firstLineChars="200"/>
        <w:rPr>
          <w:rFonts w:ascii="宋体"/>
          <w:b/>
          <w:bCs/>
          <w:szCs w:val="21"/>
        </w:rPr>
      </w:pPr>
      <w:r>
        <w:rPr>
          <w:rFonts w:hint="eastAsia" w:ascii="宋体" w:hAnsi="宋体"/>
          <w:b/>
          <w:bCs/>
          <w:szCs w:val="21"/>
        </w:rPr>
        <w:t>第十五条验收</w:t>
      </w:r>
    </w:p>
    <w:p w14:paraId="766AE294">
      <w:pPr>
        <w:ind w:firstLine="480" w:firstLineChars="200"/>
        <w:rPr>
          <w:rFonts w:ascii="宋体"/>
          <w:szCs w:val="21"/>
        </w:rPr>
      </w:pPr>
      <w:r>
        <w:rPr>
          <w:rFonts w:ascii="宋体" w:hAnsi="宋体"/>
          <w:szCs w:val="21"/>
        </w:rPr>
        <w:t>1</w:t>
      </w:r>
      <w:r>
        <w:rPr>
          <w:rFonts w:hint="eastAsia" w:ascii="宋体" w:hAnsi="宋体"/>
          <w:szCs w:val="21"/>
        </w:rPr>
        <w:t>、下列文件的验收分为</w:t>
      </w:r>
      <w:r>
        <w:rPr>
          <w:rFonts w:hint="eastAsia" w:ascii="宋体" w:hAnsi="宋体"/>
          <w:szCs w:val="21"/>
          <w:u w:val="single"/>
        </w:rPr>
        <w:t>三</w:t>
      </w:r>
      <w:r>
        <w:rPr>
          <w:rFonts w:hint="eastAsia" w:ascii="宋体" w:hAnsi="宋体"/>
          <w:szCs w:val="21"/>
        </w:rPr>
        <w:t>个阶段</w:t>
      </w:r>
      <w:r>
        <w:rPr>
          <w:rFonts w:ascii="宋体" w:hAnsi="宋体"/>
          <w:szCs w:val="21"/>
        </w:rPr>
        <w:t>:</w:t>
      </w:r>
    </w:p>
    <w:p w14:paraId="6D9A5AF5">
      <w:pPr>
        <w:ind w:firstLine="480" w:firstLineChars="200"/>
        <w:rPr>
          <w:rFonts w:ascii="宋体"/>
          <w:szCs w:val="21"/>
        </w:rPr>
      </w:pPr>
      <w:r>
        <w:rPr>
          <w:rFonts w:ascii="宋体" w:hAnsi="宋体"/>
          <w:szCs w:val="21"/>
        </w:rPr>
        <w:t>2</w:t>
      </w:r>
      <w:r>
        <w:rPr>
          <w:rFonts w:hint="eastAsia" w:ascii="宋体" w:hAnsi="宋体"/>
          <w:szCs w:val="21"/>
        </w:rPr>
        <w:t>、其余文件和工作由用户组织有关技术人员根据国家和行业有关规范、规程、标准和用户需求直接验收。</w:t>
      </w:r>
    </w:p>
    <w:p w14:paraId="7CFEE4D7">
      <w:pPr>
        <w:ind w:firstLine="480" w:firstLineChars="200"/>
        <w:rPr>
          <w:rFonts w:ascii="宋体"/>
          <w:szCs w:val="21"/>
        </w:rPr>
      </w:pPr>
      <w:r>
        <w:rPr>
          <w:rFonts w:ascii="宋体" w:hAnsi="宋体"/>
          <w:szCs w:val="21"/>
        </w:rPr>
        <w:t>3</w:t>
      </w:r>
      <w:r>
        <w:rPr>
          <w:rFonts w:hint="eastAsia" w:ascii="宋体" w:hAnsi="宋体"/>
          <w:szCs w:val="21"/>
        </w:rPr>
        <w:t>、验收依据为号招标文件、乙方投标文件，国家和行业有关规范、规程和标准。</w:t>
      </w:r>
    </w:p>
    <w:p w14:paraId="2FD4FA96">
      <w:pPr>
        <w:ind w:firstLine="480" w:firstLineChars="200"/>
        <w:rPr>
          <w:rFonts w:ascii="宋体"/>
          <w:b/>
          <w:bCs/>
          <w:szCs w:val="21"/>
        </w:rPr>
      </w:pPr>
      <w:r>
        <w:rPr>
          <w:rFonts w:hint="eastAsia" w:ascii="宋体" w:hAnsi="宋体"/>
          <w:b/>
          <w:bCs/>
          <w:szCs w:val="21"/>
        </w:rPr>
        <w:t>第十六条付款方式</w:t>
      </w:r>
    </w:p>
    <w:p w14:paraId="47AD941F">
      <w:pPr>
        <w:ind w:firstLine="480" w:firstLineChars="200"/>
        <w:rPr>
          <w:rFonts w:ascii="宋体"/>
          <w:szCs w:val="21"/>
        </w:rPr>
      </w:pPr>
      <w:r>
        <w:rPr>
          <w:rFonts w:ascii="宋体" w:hAnsi="宋体"/>
          <w:szCs w:val="21"/>
        </w:rPr>
        <w:t>1</w:t>
      </w:r>
      <w:r>
        <w:rPr>
          <w:rFonts w:hint="eastAsia" w:ascii="宋体" w:hAnsi="宋体"/>
          <w:szCs w:val="21"/>
        </w:rPr>
        <w:t>、合同签订后天内，甲方向乙方支付合同总价</w:t>
      </w:r>
      <w:r>
        <w:rPr>
          <w:rFonts w:ascii="宋体" w:hAnsi="宋体"/>
          <w:szCs w:val="21"/>
        </w:rPr>
        <w:t>%</w:t>
      </w:r>
      <w:r>
        <w:rPr>
          <w:rFonts w:hint="eastAsia" w:ascii="宋体" w:hAnsi="宋体"/>
          <w:szCs w:val="21"/>
        </w:rPr>
        <w:t>的款项。</w:t>
      </w:r>
    </w:p>
    <w:p w14:paraId="10E9E335">
      <w:pPr>
        <w:ind w:firstLine="480" w:firstLineChars="200"/>
        <w:rPr>
          <w:rFonts w:ascii="宋体"/>
          <w:szCs w:val="21"/>
        </w:rPr>
      </w:pPr>
      <w:r>
        <w:rPr>
          <w:rFonts w:ascii="宋体" w:hAnsi="宋体"/>
          <w:szCs w:val="21"/>
        </w:rPr>
        <w:t>2</w:t>
      </w:r>
      <w:r>
        <w:rPr>
          <w:rFonts w:hint="eastAsia" w:ascii="宋体" w:hAnsi="宋体"/>
          <w:szCs w:val="21"/>
        </w:rPr>
        <w:t>、检测完成并提交评估报告后，甲方向乙方支付合同总价</w:t>
      </w:r>
      <w:r>
        <w:rPr>
          <w:rFonts w:ascii="宋体" w:hAnsi="宋体"/>
          <w:szCs w:val="21"/>
        </w:rPr>
        <w:t>%</w:t>
      </w:r>
      <w:r>
        <w:rPr>
          <w:rFonts w:hint="eastAsia" w:ascii="宋体" w:hAnsi="宋体"/>
          <w:szCs w:val="21"/>
        </w:rPr>
        <w:t>的款项。</w:t>
      </w:r>
    </w:p>
    <w:p w14:paraId="232D5B1B">
      <w:pPr>
        <w:ind w:firstLine="480" w:firstLineChars="200"/>
        <w:rPr>
          <w:rFonts w:ascii="宋体"/>
          <w:szCs w:val="21"/>
        </w:rPr>
      </w:pPr>
      <w:r>
        <w:rPr>
          <w:rFonts w:ascii="宋体" w:hAnsi="宋体"/>
          <w:szCs w:val="21"/>
        </w:rPr>
        <w:t>3</w:t>
      </w:r>
      <w:r>
        <w:rPr>
          <w:rFonts w:hint="eastAsia" w:ascii="宋体" w:hAnsi="宋体"/>
          <w:szCs w:val="21"/>
        </w:rPr>
        <w:t>、报告通过专家评审后，甲方向乙方支付合同总价</w:t>
      </w:r>
      <w:r>
        <w:rPr>
          <w:rFonts w:ascii="宋体" w:hAnsi="宋体"/>
          <w:szCs w:val="21"/>
        </w:rPr>
        <w:t>%</w:t>
      </w:r>
      <w:r>
        <w:rPr>
          <w:rFonts w:hint="eastAsia" w:ascii="宋体" w:hAnsi="宋体"/>
          <w:szCs w:val="21"/>
        </w:rPr>
        <w:t>的款项。</w:t>
      </w:r>
    </w:p>
    <w:p w14:paraId="7BC447E0">
      <w:pPr>
        <w:ind w:firstLine="480" w:firstLineChars="200"/>
        <w:rPr>
          <w:rFonts w:ascii="宋体"/>
          <w:b/>
          <w:bCs/>
          <w:szCs w:val="21"/>
        </w:rPr>
      </w:pPr>
      <w:r>
        <w:rPr>
          <w:rFonts w:hint="eastAsia" w:ascii="宋体" w:hAnsi="宋体"/>
          <w:b/>
          <w:bCs/>
          <w:szCs w:val="21"/>
        </w:rPr>
        <w:t>第十七条争议解决办法</w:t>
      </w:r>
    </w:p>
    <w:p w14:paraId="08344105">
      <w:pPr>
        <w:ind w:firstLine="480" w:firstLineChars="200"/>
        <w:rPr>
          <w:rFonts w:ascii="宋体"/>
          <w:szCs w:val="21"/>
        </w:rPr>
      </w:pPr>
      <w:r>
        <w:rPr>
          <w:rFonts w:hint="eastAsia" w:ascii="宋体" w:hAnsi="宋体"/>
          <w:szCs w:val="21"/>
        </w:rPr>
        <w:t>执行本合同发生的争议，由甲乙双方协商解决。</w:t>
      </w:r>
    </w:p>
    <w:p w14:paraId="01C8E41E">
      <w:pPr>
        <w:ind w:firstLine="480" w:firstLineChars="200"/>
        <w:rPr>
          <w:rFonts w:ascii="宋体"/>
          <w:b/>
          <w:bCs/>
          <w:szCs w:val="21"/>
        </w:rPr>
      </w:pPr>
      <w:r>
        <w:rPr>
          <w:rFonts w:hint="eastAsia" w:ascii="宋体" w:hAnsi="宋体"/>
          <w:b/>
          <w:bCs/>
          <w:szCs w:val="21"/>
        </w:rPr>
        <w:t>第十八条风险责任</w:t>
      </w:r>
    </w:p>
    <w:p w14:paraId="11A74722">
      <w:pPr>
        <w:ind w:firstLine="480" w:firstLineChars="200"/>
        <w:rPr>
          <w:rFonts w:ascii="宋体"/>
          <w:szCs w:val="21"/>
        </w:rPr>
      </w:pPr>
      <w:r>
        <w:rPr>
          <w:rFonts w:hint="eastAsia" w:ascii="宋体" w:hAnsi="宋体"/>
          <w:szCs w:val="21"/>
        </w:rPr>
        <w:t>１、乙方应完全地按照号招标文件的要求和乙方投标文件的承诺完成本项目，出于自身财务、技术、人力等原因导致项目失败的，应承担全部责任。</w:t>
      </w:r>
    </w:p>
    <w:p w14:paraId="720C9C85">
      <w:pPr>
        <w:ind w:firstLine="480" w:firstLineChars="200"/>
        <w:rPr>
          <w:rFonts w:ascii="宋体"/>
          <w:szCs w:val="21"/>
        </w:rPr>
      </w:pPr>
      <w:r>
        <w:rPr>
          <w:rFonts w:ascii="宋体" w:hAnsi="宋体"/>
          <w:szCs w:val="21"/>
        </w:rPr>
        <w:t>2</w:t>
      </w:r>
      <w:r>
        <w:rPr>
          <w:rFonts w:hint="eastAsia" w:ascii="宋体" w:hAnsi="宋体"/>
          <w:szCs w:val="21"/>
        </w:rPr>
        <w:t>、乙方在实施荷载试验过程中应对自身的安全生产负责，若由乙方原因发生的各种事故甲方不承担任何责任。</w:t>
      </w:r>
    </w:p>
    <w:p w14:paraId="7DDA4507">
      <w:pPr>
        <w:ind w:firstLine="480" w:firstLineChars="200"/>
        <w:rPr>
          <w:rFonts w:ascii="宋体"/>
          <w:b/>
          <w:bCs/>
          <w:szCs w:val="21"/>
        </w:rPr>
      </w:pPr>
      <w:r>
        <w:rPr>
          <w:rFonts w:hint="eastAsia" w:ascii="宋体" w:hAnsi="宋体"/>
          <w:b/>
          <w:bCs/>
          <w:szCs w:val="21"/>
        </w:rPr>
        <w:t>第十九条违约责任</w:t>
      </w:r>
    </w:p>
    <w:p w14:paraId="057BA2B8">
      <w:pPr>
        <w:pStyle w:val="10"/>
        <w:spacing w:line="240" w:lineRule="auto"/>
        <w:ind w:firstLine="480"/>
        <w:rPr>
          <w:rFonts w:ascii="宋体"/>
          <w:szCs w:val="21"/>
        </w:rPr>
      </w:pPr>
      <w:r>
        <w:rPr>
          <w:rFonts w:hint="eastAsia" w:ascii="宋体" w:hAnsi="宋体"/>
          <w:szCs w:val="21"/>
        </w:rPr>
        <w:t>１、因乙方原因，未能按规定时间完成有关工作的，每延误一天，甲方可在支付合同余款中扣除合同价款千分之一。</w:t>
      </w:r>
    </w:p>
    <w:p w14:paraId="7F5E7762">
      <w:pPr>
        <w:ind w:firstLine="480" w:firstLineChars="200"/>
        <w:rPr>
          <w:rFonts w:ascii="宋体"/>
          <w:szCs w:val="21"/>
        </w:rPr>
      </w:pPr>
      <w:r>
        <w:rPr>
          <w:rFonts w:ascii="宋体" w:hAnsi="宋体"/>
          <w:szCs w:val="21"/>
        </w:rPr>
        <w:t>2</w:t>
      </w:r>
      <w:r>
        <w:rPr>
          <w:rFonts w:hint="eastAsia" w:ascii="宋体" w:hAnsi="宋体"/>
          <w:szCs w:val="21"/>
        </w:rPr>
        <w:t>、由于乙方原因造成试验成果质量低劣，不能满足大纲要求时，应继续完善试验工作，其费用由乙方承担。</w:t>
      </w:r>
    </w:p>
    <w:p w14:paraId="0FEC6D40">
      <w:pPr>
        <w:ind w:firstLine="480" w:firstLineChars="200"/>
        <w:rPr>
          <w:rFonts w:ascii="宋体"/>
          <w:szCs w:val="21"/>
        </w:rPr>
      </w:pPr>
      <w:r>
        <w:rPr>
          <w:rFonts w:ascii="宋体" w:hAnsi="宋体"/>
          <w:szCs w:val="21"/>
        </w:rPr>
        <w:t>3</w:t>
      </w:r>
      <w:r>
        <w:rPr>
          <w:rFonts w:hint="eastAsia" w:ascii="宋体" w:hAnsi="宋体"/>
          <w:szCs w:val="21"/>
        </w:rPr>
        <w:t>、如乙方提供的咨询服务文件不符合质量要求，必须在甲方提出要求后</w:t>
      </w:r>
      <w:r>
        <w:rPr>
          <w:rFonts w:ascii="宋体" w:hAnsi="宋体"/>
          <w:szCs w:val="21"/>
        </w:rPr>
        <w:t>7</w:t>
      </w:r>
      <w:r>
        <w:rPr>
          <w:rFonts w:hint="eastAsia" w:ascii="宋体" w:hAnsi="宋体"/>
          <w:szCs w:val="21"/>
        </w:rPr>
        <w:t>天内无条件修改，其费用由乙方承担。</w:t>
      </w:r>
    </w:p>
    <w:p w14:paraId="0F346EFA">
      <w:pPr>
        <w:ind w:firstLine="480" w:firstLineChars="200"/>
        <w:rPr>
          <w:rFonts w:ascii="宋体"/>
          <w:szCs w:val="21"/>
        </w:rPr>
      </w:pPr>
      <w:r>
        <w:rPr>
          <w:rFonts w:ascii="宋体" w:hAnsi="宋体"/>
          <w:szCs w:val="21"/>
        </w:rPr>
        <w:t>4</w:t>
      </w:r>
      <w:r>
        <w:rPr>
          <w:rFonts w:hint="eastAsia" w:ascii="宋体" w:hAnsi="宋体"/>
          <w:szCs w:val="21"/>
        </w:rPr>
        <w:t>、若甲方发现乙方派出的试验服务人员或提供的试验仪器设备不符合合同要求，乙方应在</w:t>
      </w:r>
      <w:r>
        <w:rPr>
          <w:rFonts w:ascii="宋体" w:hAnsi="宋体"/>
          <w:szCs w:val="21"/>
        </w:rPr>
        <w:t>3</w:t>
      </w:r>
      <w:r>
        <w:rPr>
          <w:rFonts w:hint="eastAsia" w:ascii="宋体" w:hAnsi="宋体"/>
          <w:szCs w:val="21"/>
        </w:rPr>
        <w:t>天之内按要求派出人员或提供满足投标文件承诺的仪器设备，否则甲方有权终止合同，并保留追究乙方责任及要求赔偿损失的权利。</w:t>
      </w:r>
    </w:p>
    <w:p w14:paraId="51BA3D31">
      <w:pPr>
        <w:ind w:firstLine="480" w:firstLineChars="200"/>
        <w:rPr>
          <w:rFonts w:ascii="宋体"/>
          <w:b/>
          <w:bCs/>
          <w:szCs w:val="21"/>
        </w:rPr>
      </w:pPr>
      <w:r>
        <w:rPr>
          <w:rFonts w:hint="eastAsia" w:ascii="宋体" w:hAnsi="宋体"/>
          <w:b/>
          <w:bCs/>
          <w:szCs w:val="21"/>
        </w:rPr>
        <w:t>第二十条其他</w:t>
      </w:r>
    </w:p>
    <w:p w14:paraId="13635189">
      <w:pPr>
        <w:ind w:firstLine="480" w:firstLineChars="200"/>
        <w:rPr>
          <w:rFonts w:ascii="宋体"/>
          <w:szCs w:val="21"/>
        </w:rPr>
      </w:pPr>
      <w:r>
        <w:rPr>
          <w:rFonts w:ascii="宋体" w:hAnsi="宋体"/>
          <w:szCs w:val="21"/>
        </w:rPr>
        <w:t>1</w:t>
      </w:r>
      <w:r>
        <w:rPr>
          <w:rFonts w:hint="eastAsia" w:ascii="宋体" w:hAnsi="宋体"/>
          <w:szCs w:val="21"/>
        </w:rPr>
        <w:t>、本合同与号招标文件、乙方投标文件如有抵触之处，以本合同条款为准。</w:t>
      </w:r>
    </w:p>
    <w:p w14:paraId="32B64988">
      <w:pPr>
        <w:ind w:firstLine="480" w:firstLineChars="200"/>
        <w:rPr>
          <w:rFonts w:ascii="宋体"/>
          <w:szCs w:val="21"/>
        </w:rPr>
      </w:pPr>
      <w:r>
        <w:rPr>
          <w:rFonts w:ascii="宋体" w:hAnsi="宋体"/>
          <w:szCs w:val="21"/>
        </w:rPr>
        <w:t>2</w:t>
      </w:r>
      <w:r>
        <w:rPr>
          <w:rFonts w:hint="eastAsia" w:ascii="宋体" w:hAnsi="宋体"/>
          <w:szCs w:val="21"/>
        </w:rPr>
        <w:t>、下列文件均为本合同的组成部分：</w:t>
      </w:r>
    </w:p>
    <w:p w14:paraId="1702622D">
      <w:pPr>
        <w:ind w:firstLine="480" w:firstLineChars="200"/>
        <w:rPr>
          <w:rFonts w:ascii="宋体"/>
          <w:szCs w:val="21"/>
        </w:rPr>
      </w:pPr>
      <w:r>
        <w:rPr>
          <w:rFonts w:hint="eastAsia" w:ascii="宋体" w:hAnsi="宋体"/>
          <w:szCs w:val="21"/>
        </w:rPr>
        <w:t>（</w:t>
      </w:r>
      <w:r>
        <w:rPr>
          <w:rFonts w:ascii="宋体" w:hAnsi="宋体"/>
          <w:szCs w:val="21"/>
        </w:rPr>
        <w:t>1</w:t>
      </w:r>
      <w:r>
        <w:rPr>
          <w:rFonts w:hint="eastAsia" w:ascii="宋体" w:hAnsi="宋体"/>
          <w:szCs w:val="21"/>
        </w:rPr>
        <w:t>）号招标文件、答疑及补充通知；</w:t>
      </w:r>
    </w:p>
    <w:p w14:paraId="43FAACC7">
      <w:pPr>
        <w:ind w:firstLine="480" w:firstLineChars="200"/>
        <w:rPr>
          <w:rFonts w:ascii="宋体"/>
          <w:szCs w:val="21"/>
        </w:rPr>
      </w:pPr>
      <w:r>
        <w:rPr>
          <w:rFonts w:hint="eastAsia" w:ascii="宋体" w:hAnsi="宋体"/>
          <w:szCs w:val="21"/>
        </w:rPr>
        <w:t>（</w:t>
      </w:r>
      <w:r>
        <w:rPr>
          <w:rFonts w:ascii="宋体" w:hAnsi="宋体"/>
          <w:szCs w:val="21"/>
        </w:rPr>
        <w:t>2</w:t>
      </w:r>
      <w:r>
        <w:rPr>
          <w:rFonts w:hint="eastAsia" w:ascii="宋体" w:hAnsi="宋体"/>
          <w:szCs w:val="21"/>
        </w:rPr>
        <w:t>）投标文件；</w:t>
      </w:r>
    </w:p>
    <w:p w14:paraId="381B21C5">
      <w:pPr>
        <w:ind w:firstLine="480" w:firstLineChars="200"/>
        <w:rPr>
          <w:rFonts w:ascii="宋体"/>
          <w:szCs w:val="21"/>
        </w:rPr>
      </w:pPr>
      <w:r>
        <w:rPr>
          <w:rFonts w:hint="eastAsia" w:ascii="宋体" w:hAnsi="宋体"/>
          <w:szCs w:val="21"/>
        </w:rPr>
        <w:t>（</w:t>
      </w:r>
      <w:r>
        <w:rPr>
          <w:rFonts w:ascii="宋体" w:hAnsi="宋体"/>
          <w:szCs w:val="21"/>
        </w:rPr>
        <w:t>3</w:t>
      </w:r>
      <w:r>
        <w:rPr>
          <w:rFonts w:hint="eastAsia" w:ascii="宋体" w:hAnsi="宋体"/>
          <w:szCs w:val="21"/>
        </w:rPr>
        <w:t>）本合同执行中共同签署的补充与修正文件。</w:t>
      </w:r>
    </w:p>
    <w:p w14:paraId="0072ACF9">
      <w:pPr>
        <w:ind w:firstLine="480" w:firstLineChars="200"/>
        <w:rPr>
          <w:rFonts w:ascii="宋体"/>
          <w:szCs w:val="21"/>
        </w:rPr>
      </w:pPr>
      <w:r>
        <w:rPr>
          <w:rFonts w:hint="eastAsia" w:ascii="宋体" w:hAnsi="宋体"/>
          <w:szCs w:val="21"/>
        </w:rPr>
        <w:t>本合同一式份，甲、乙方双方各执份，具有同等法律效力。本合同自双方法人代表签字（盖章）认可之日起生效。</w:t>
      </w:r>
    </w:p>
    <w:p w14:paraId="06AF8FCD">
      <w:pPr>
        <w:ind w:firstLine="480" w:firstLineChars="200"/>
        <w:rPr>
          <w:rFonts w:ascii="宋体"/>
          <w:szCs w:val="21"/>
        </w:rPr>
      </w:pPr>
      <w:r>
        <w:rPr>
          <w:rFonts w:hint="eastAsia" w:ascii="宋体" w:hAnsi="宋体"/>
          <w:szCs w:val="21"/>
        </w:rPr>
        <w:t>本合同未尽事宜，双方友好协商，达成解决方案，经双方签字后，可作为本合同的有效附件。</w:t>
      </w:r>
    </w:p>
    <w:p w14:paraId="0A88B653">
      <w:pPr>
        <w:ind w:firstLine="480" w:firstLineChars="200"/>
        <w:rPr>
          <w:rFonts w:ascii="宋体"/>
          <w:szCs w:val="21"/>
        </w:rPr>
      </w:pPr>
    </w:p>
    <w:p w14:paraId="794E2BEB">
      <w:pPr>
        <w:ind w:firstLine="480" w:firstLineChars="200"/>
        <w:rPr>
          <w:rFonts w:ascii="宋体"/>
          <w:szCs w:val="21"/>
        </w:rPr>
      </w:pPr>
    </w:p>
    <w:p w14:paraId="05D7F431">
      <w:pPr>
        <w:rPr>
          <w:rFonts w:ascii="宋体"/>
          <w:szCs w:val="21"/>
          <w:u w:val="single"/>
        </w:rPr>
      </w:pPr>
      <w:r>
        <w:rPr>
          <w:rFonts w:hint="eastAsia" w:ascii="宋体" w:hAnsi="宋体"/>
          <w:szCs w:val="21"/>
        </w:rPr>
        <w:t>甲方：乙方：</w:t>
      </w:r>
    </w:p>
    <w:p w14:paraId="48D1B0F5">
      <w:pPr>
        <w:ind w:firstLine="2160" w:firstLineChars="900"/>
        <w:rPr>
          <w:rFonts w:ascii="宋体"/>
          <w:szCs w:val="21"/>
        </w:rPr>
      </w:pPr>
      <w:r>
        <w:rPr>
          <w:rFonts w:hint="eastAsia" w:ascii="宋体" w:hAnsi="宋体"/>
          <w:szCs w:val="21"/>
        </w:rPr>
        <w:t>（签章）（签章）</w:t>
      </w:r>
    </w:p>
    <w:p w14:paraId="001A2B8D">
      <w:pPr>
        <w:ind w:firstLine="3120" w:firstLineChars="1300"/>
        <w:rPr>
          <w:rFonts w:ascii="宋体"/>
          <w:szCs w:val="21"/>
        </w:rPr>
      </w:pPr>
    </w:p>
    <w:p w14:paraId="27DBB3B8">
      <w:pPr>
        <w:ind w:firstLine="480" w:firstLineChars="200"/>
        <w:rPr>
          <w:rFonts w:ascii="宋体"/>
          <w:szCs w:val="21"/>
        </w:rPr>
      </w:pPr>
      <w:r>
        <w:rPr>
          <w:rFonts w:hint="eastAsia" w:ascii="宋体" w:hAnsi="宋体"/>
          <w:szCs w:val="21"/>
        </w:rPr>
        <w:t>地址：地址：</w:t>
      </w:r>
    </w:p>
    <w:p w14:paraId="44ADB535">
      <w:pPr>
        <w:ind w:firstLine="480" w:firstLineChars="200"/>
        <w:rPr>
          <w:rFonts w:ascii="宋体"/>
          <w:szCs w:val="21"/>
        </w:rPr>
      </w:pPr>
      <w:r>
        <w:rPr>
          <w:rFonts w:hint="eastAsia" w:ascii="宋体" w:hAnsi="宋体"/>
          <w:szCs w:val="21"/>
        </w:rPr>
        <w:t>法定代表人：（签章）法定代表人：（签章）</w:t>
      </w:r>
    </w:p>
    <w:p w14:paraId="7119F7C7">
      <w:pPr>
        <w:ind w:firstLine="480" w:firstLineChars="200"/>
        <w:rPr>
          <w:rFonts w:ascii="宋体"/>
          <w:szCs w:val="21"/>
        </w:rPr>
      </w:pPr>
      <w:r>
        <w:rPr>
          <w:rFonts w:hint="eastAsia" w:ascii="宋体" w:hAnsi="宋体"/>
          <w:szCs w:val="21"/>
        </w:rPr>
        <w:t>开户行：开户行：</w:t>
      </w:r>
    </w:p>
    <w:p w14:paraId="2C9FE4AA">
      <w:pPr>
        <w:ind w:firstLine="480" w:firstLineChars="200"/>
        <w:rPr>
          <w:rFonts w:ascii="宋体"/>
          <w:szCs w:val="21"/>
        </w:rPr>
      </w:pPr>
      <w:r>
        <w:rPr>
          <w:rFonts w:hint="eastAsia" w:ascii="宋体" w:hAnsi="宋体"/>
          <w:szCs w:val="21"/>
        </w:rPr>
        <w:t>人民币帐号：人民币帐号：</w:t>
      </w:r>
    </w:p>
    <w:p w14:paraId="20FCA6F5">
      <w:pPr>
        <w:ind w:firstLine="480" w:firstLineChars="200"/>
        <w:rPr>
          <w:rFonts w:ascii="宋体"/>
          <w:szCs w:val="21"/>
        </w:rPr>
      </w:pPr>
      <w:r>
        <w:rPr>
          <w:rFonts w:hint="eastAsia" w:ascii="宋体" w:hAnsi="宋体"/>
          <w:szCs w:val="21"/>
        </w:rPr>
        <w:t>联系人：联系人：</w:t>
      </w:r>
    </w:p>
    <w:p w14:paraId="3056A494">
      <w:pPr>
        <w:ind w:firstLine="480" w:firstLineChars="200"/>
        <w:rPr>
          <w:rFonts w:ascii="宋体"/>
          <w:szCs w:val="21"/>
        </w:rPr>
      </w:pPr>
      <w:r>
        <w:rPr>
          <w:rFonts w:hint="eastAsia" w:ascii="宋体" w:hAnsi="宋体"/>
          <w:szCs w:val="21"/>
        </w:rPr>
        <w:t>电话：电话：</w:t>
      </w:r>
    </w:p>
    <w:p w14:paraId="2FD2DB6F">
      <w:pPr>
        <w:ind w:firstLine="480" w:firstLineChars="200"/>
        <w:rPr>
          <w:rFonts w:ascii="宋体"/>
          <w:szCs w:val="21"/>
        </w:rPr>
      </w:pPr>
      <w:r>
        <w:rPr>
          <w:rFonts w:hint="eastAsia" w:ascii="宋体" w:hAnsi="宋体"/>
          <w:szCs w:val="21"/>
        </w:rPr>
        <w:t>日期：日期：</w:t>
      </w:r>
    </w:p>
    <w:p w14:paraId="35D6464D">
      <w:pPr>
        <w:ind w:firstLine="480" w:firstLineChars="200"/>
        <w:rPr>
          <w:rFonts w:ascii="宋体"/>
          <w:szCs w:val="21"/>
        </w:rPr>
      </w:pPr>
    </w:p>
    <w:p w14:paraId="4AC0F18C">
      <w:pPr>
        <w:ind w:firstLine="480" w:firstLineChars="200"/>
        <w:rPr>
          <w:rFonts w:ascii="宋体"/>
          <w:szCs w:val="21"/>
        </w:rPr>
      </w:pPr>
    </w:p>
    <w:p w14:paraId="120A387E">
      <w:pPr>
        <w:ind w:firstLine="480" w:firstLineChars="200"/>
        <w:rPr>
          <w:rFonts w:ascii="宋体"/>
          <w:szCs w:val="21"/>
        </w:rPr>
      </w:pPr>
    </w:p>
    <w:p w14:paraId="06857A46">
      <w:pPr>
        <w:ind w:firstLine="480" w:firstLineChars="200"/>
        <w:rPr>
          <w:rFonts w:ascii="宋体"/>
          <w:szCs w:val="21"/>
        </w:rPr>
      </w:pPr>
    </w:p>
    <w:p w14:paraId="586A49C0">
      <w:pPr>
        <w:ind w:firstLine="480" w:firstLineChars="200"/>
        <w:rPr>
          <w:rFonts w:ascii="宋体"/>
          <w:szCs w:val="21"/>
        </w:rPr>
      </w:pPr>
    </w:p>
    <w:p w14:paraId="43F03B26">
      <w:pPr>
        <w:ind w:firstLine="480" w:firstLineChars="200"/>
        <w:rPr>
          <w:rFonts w:ascii="宋体"/>
          <w:szCs w:val="21"/>
        </w:rPr>
      </w:pPr>
    </w:p>
    <w:p w14:paraId="02BF89F8">
      <w:pPr>
        <w:pStyle w:val="6"/>
        <w:jc w:val="center"/>
        <w:rPr>
          <w:rFonts w:ascii="黑体" w:eastAsia="黑体"/>
          <w:b w:val="0"/>
          <w:sz w:val="24"/>
          <w:szCs w:val="24"/>
        </w:rPr>
      </w:pPr>
      <w:r>
        <w:rPr>
          <w:rFonts w:hint="eastAsia" w:ascii="黑体" w:eastAsia="黑体"/>
          <w:b w:val="0"/>
          <w:sz w:val="24"/>
          <w:szCs w:val="24"/>
        </w:rPr>
        <w:br w:type="page"/>
      </w:r>
      <w:r>
        <w:rPr>
          <w:rFonts w:hint="eastAsia" w:ascii="黑体" w:eastAsia="黑体"/>
          <w:b w:val="0"/>
          <w:sz w:val="24"/>
          <w:szCs w:val="24"/>
        </w:rPr>
        <w:t>二、政府采购履约情况反馈表</w:t>
      </w:r>
    </w:p>
    <w:p w14:paraId="33398808">
      <w:pPr>
        <w:spacing w:line="240" w:lineRule="atLeast"/>
        <w:rPr>
          <w:rFonts w:ascii="宋体"/>
          <w:b/>
          <w:szCs w:val="21"/>
        </w:rPr>
      </w:pPr>
      <w:r>
        <w:rPr>
          <w:rFonts w:hint="eastAsia" w:ascii="宋体" w:hAnsi="宋体"/>
          <w:b/>
          <w:szCs w:val="21"/>
        </w:rPr>
        <w:t>采购人名称：联系人及电话：</w:t>
      </w:r>
    </w:p>
    <w:p w14:paraId="39D04708">
      <w:pPr>
        <w:spacing w:line="60" w:lineRule="exact"/>
        <w:rPr>
          <w:rFonts w:ascii="宋体"/>
          <w:b/>
          <w:szCs w:val="21"/>
        </w:rPr>
      </w:pPr>
    </w:p>
    <w:tbl>
      <w:tblPr>
        <w:tblStyle w:val="20"/>
        <w:tblW w:w="8917"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842"/>
        <w:gridCol w:w="720"/>
        <w:gridCol w:w="720"/>
        <w:gridCol w:w="2520"/>
        <w:gridCol w:w="1980"/>
        <w:gridCol w:w="2135"/>
      </w:tblGrid>
      <w:tr w14:paraId="1DBADB1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0" w:hRule="atLeast"/>
          <w:jc w:val="center"/>
        </w:trPr>
        <w:tc>
          <w:tcPr>
            <w:tcW w:w="2282" w:type="dxa"/>
            <w:gridSpan w:val="3"/>
            <w:tcBorders>
              <w:top w:val="single" w:color="auto" w:sz="8" w:space="0"/>
            </w:tcBorders>
            <w:vAlign w:val="center"/>
          </w:tcPr>
          <w:p w14:paraId="5C3E25E8">
            <w:pPr>
              <w:spacing w:line="240" w:lineRule="atLeast"/>
              <w:jc w:val="center"/>
              <w:rPr>
                <w:rFonts w:ascii="宋体"/>
                <w:szCs w:val="21"/>
              </w:rPr>
            </w:pPr>
            <w:r>
              <w:rPr>
                <w:rFonts w:hint="eastAsia" w:ascii="宋体" w:hAnsi="宋体"/>
                <w:szCs w:val="21"/>
              </w:rPr>
              <w:t>采购项目名称</w:t>
            </w:r>
          </w:p>
        </w:tc>
        <w:tc>
          <w:tcPr>
            <w:tcW w:w="2520" w:type="dxa"/>
            <w:tcBorders>
              <w:top w:val="single" w:color="auto" w:sz="8" w:space="0"/>
            </w:tcBorders>
            <w:vAlign w:val="center"/>
          </w:tcPr>
          <w:p w14:paraId="33CFE862">
            <w:pPr>
              <w:spacing w:line="240" w:lineRule="atLeast"/>
              <w:jc w:val="center"/>
              <w:rPr>
                <w:rFonts w:ascii="宋体"/>
                <w:szCs w:val="21"/>
              </w:rPr>
            </w:pPr>
          </w:p>
        </w:tc>
        <w:tc>
          <w:tcPr>
            <w:tcW w:w="1980" w:type="dxa"/>
            <w:tcBorders>
              <w:top w:val="single" w:color="auto" w:sz="8" w:space="0"/>
            </w:tcBorders>
            <w:vAlign w:val="center"/>
          </w:tcPr>
          <w:p w14:paraId="7712DF3C">
            <w:pPr>
              <w:spacing w:line="240" w:lineRule="atLeast"/>
              <w:jc w:val="center"/>
              <w:rPr>
                <w:rFonts w:ascii="宋体"/>
                <w:szCs w:val="21"/>
              </w:rPr>
            </w:pPr>
            <w:r>
              <w:rPr>
                <w:rFonts w:hint="eastAsia" w:ascii="宋体" w:hAnsi="宋体"/>
                <w:szCs w:val="21"/>
              </w:rPr>
              <w:t>项目编号</w:t>
            </w:r>
          </w:p>
        </w:tc>
        <w:tc>
          <w:tcPr>
            <w:tcW w:w="2135" w:type="dxa"/>
            <w:tcBorders>
              <w:top w:val="single" w:color="auto" w:sz="8" w:space="0"/>
            </w:tcBorders>
            <w:vAlign w:val="center"/>
          </w:tcPr>
          <w:p w14:paraId="191118E2">
            <w:pPr>
              <w:spacing w:line="240" w:lineRule="atLeast"/>
              <w:jc w:val="center"/>
              <w:rPr>
                <w:rFonts w:ascii="宋体"/>
                <w:szCs w:val="21"/>
              </w:rPr>
            </w:pPr>
          </w:p>
        </w:tc>
      </w:tr>
      <w:tr w14:paraId="7CEE610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61" w:hRule="atLeast"/>
          <w:jc w:val="center"/>
        </w:trPr>
        <w:tc>
          <w:tcPr>
            <w:tcW w:w="2282" w:type="dxa"/>
            <w:gridSpan w:val="3"/>
            <w:vAlign w:val="center"/>
          </w:tcPr>
          <w:p w14:paraId="200C4E0E">
            <w:pPr>
              <w:spacing w:line="240" w:lineRule="atLeast"/>
              <w:jc w:val="center"/>
              <w:rPr>
                <w:rFonts w:ascii="宋体"/>
                <w:szCs w:val="21"/>
              </w:rPr>
            </w:pPr>
            <w:r>
              <w:rPr>
                <w:rFonts w:hint="eastAsia" w:ascii="宋体" w:hAnsi="宋体"/>
                <w:szCs w:val="21"/>
              </w:rPr>
              <w:t>中标供应商名称</w:t>
            </w:r>
          </w:p>
        </w:tc>
        <w:tc>
          <w:tcPr>
            <w:tcW w:w="2520" w:type="dxa"/>
            <w:vAlign w:val="center"/>
          </w:tcPr>
          <w:p w14:paraId="439D1B06">
            <w:pPr>
              <w:spacing w:line="240" w:lineRule="atLeast"/>
              <w:jc w:val="center"/>
              <w:rPr>
                <w:rFonts w:ascii="宋体"/>
                <w:szCs w:val="21"/>
              </w:rPr>
            </w:pPr>
          </w:p>
        </w:tc>
        <w:tc>
          <w:tcPr>
            <w:tcW w:w="1980" w:type="dxa"/>
            <w:vAlign w:val="center"/>
          </w:tcPr>
          <w:p w14:paraId="2AF1B6B8">
            <w:pPr>
              <w:spacing w:line="240" w:lineRule="atLeast"/>
              <w:jc w:val="center"/>
              <w:rPr>
                <w:rFonts w:ascii="宋体"/>
                <w:szCs w:val="21"/>
              </w:rPr>
            </w:pPr>
            <w:r>
              <w:rPr>
                <w:rFonts w:hint="eastAsia" w:ascii="宋体" w:hAnsi="宋体"/>
                <w:szCs w:val="21"/>
              </w:rPr>
              <w:t>供应商</w:t>
            </w:r>
          </w:p>
          <w:p w14:paraId="1D3C6153">
            <w:pPr>
              <w:spacing w:line="240" w:lineRule="atLeast"/>
              <w:jc w:val="center"/>
              <w:rPr>
                <w:rFonts w:ascii="宋体"/>
                <w:szCs w:val="21"/>
              </w:rPr>
            </w:pPr>
            <w:r>
              <w:rPr>
                <w:rFonts w:hint="eastAsia" w:ascii="宋体" w:hAnsi="宋体"/>
                <w:szCs w:val="21"/>
              </w:rPr>
              <w:t>联系人及电话</w:t>
            </w:r>
          </w:p>
        </w:tc>
        <w:tc>
          <w:tcPr>
            <w:tcW w:w="2135" w:type="dxa"/>
            <w:vAlign w:val="center"/>
          </w:tcPr>
          <w:p w14:paraId="1BB7F0EA">
            <w:pPr>
              <w:spacing w:line="240" w:lineRule="atLeast"/>
              <w:jc w:val="center"/>
              <w:rPr>
                <w:rFonts w:ascii="宋体"/>
                <w:szCs w:val="21"/>
              </w:rPr>
            </w:pPr>
          </w:p>
        </w:tc>
      </w:tr>
      <w:tr w14:paraId="6AB0560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38" w:hRule="atLeast"/>
          <w:jc w:val="center"/>
        </w:trPr>
        <w:tc>
          <w:tcPr>
            <w:tcW w:w="2282" w:type="dxa"/>
            <w:gridSpan w:val="3"/>
            <w:vAlign w:val="center"/>
          </w:tcPr>
          <w:p w14:paraId="79F3BEF8">
            <w:pPr>
              <w:spacing w:line="240" w:lineRule="atLeast"/>
              <w:jc w:val="center"/>
              <w:rPr>
                <w:rFonts w:ascii="宋体"/>
                <w:szCs w:val="21"/>
              </w:rPr>
            </w:pPr>
            <w:r>
              <w:rPr>
                <w:rFonts w:hint="eastAsia" w:ascii="宋体" w:hAnsi="宋体"/>
                <w:szCs w:val="21"/>
              </w:rPr>
              <w:t>中标金额</w:t>
            </w:r>
          </w:p>
        </w:tc>
        <w:tc>
          <w:tcPr>
            <w:tcW w:w="2520" w:type="dxa"/>
            <w:vAlign w:val="center"/>
          </w:tcPr>
          <w:p w14:paraId="00D88918">
            <w:pPr>
              <w:spacing w:line="240" w:lineRule="atLeast"/>
              <w:jc w:val="center"/>
              <w:rPr>
                <w:rFonts w:ascii="宋体"/>
                <w:szCs w:val="21"/>
              </w:rPr>
            </w:pPr>
          </w:p>
        </w:tc>
        <w:tc>
          <w:tcPr>
            <w:tcW w:w="1980" w:type="dxa"/>
            <w:vAlign w:val="center"/>
          </w:tcPr>
          <w:p w14:paraId="7D503238">
            <w:pPr>
              <w:spacing w:line="240" w:lineRule="atLeast"/>
              <w:jc w:val="center"/>
              <w:rPr>
                <w:rFonts w:ascii="宋体"/>
                <w:szCs w:val="21"/>
              </w:rPr>
            </w:pPr>
            <w:r>
              <w:rPr>
                <w:rFonts w:hint="eastAsia" w:ascii="宋体" w:hAnsi="宋体"/>
                <w:szCs w:val="21"/>
              </w:rPr>
              <w:t>合同履约时间</w:t>
            </w:r>
          </w:p>
        </w:tc>
        <w:tc>
          <w:tcPr>
            <w:tcW w:w="2135" w:type="dxa"/>
            <w:vAlign w:val="center"/>
          </w:tcPr>
          <w:p w14:paraId="10FC7E13">
            <w:pPr>
              <w:spacing w:line="240" w:lineRule="atLeast"/>
              <w:rPr>
                <w:rFonts w:ascii="宋体"/>
                <w:szCs w:val="21"/>
              </w:rPr>
            </w:pPr>
            <w:r>
              <w:rPr>
                <w:rFonts w:hint="eastAsia" w:ascii="宋体" w:hAnsi="宋体"/>
                <w:szCs w:val="21"/>
              </w:rPr>
              <w:t>自至</w:t>
            </w:r>
          </w:p>
        </w:tc>
      </w:tr>
      <w:tr w14:paraId="7518BEB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44" w:hRule="atLeast"/>
          <w:jc w:val="center"/>
        </w:trPr>
        <w:tc>
          <w:tcPr>
            <w:tcW w:w="842" w:type="dxa"/>
            <w:vMerge w:val="restart"/>
            <w:vAlign w:val="center"/>
          </w:tcPr>
          <w:p w14:paraId="4D0AFFD4">
            <w:pPr>
              <w:spacing w:line="240" w:lineRule="atLeast"/>
              <w:jc w:val="center"/>
              <w:rPr>
                <w:rFonts w:ascii="宋体"/>
                <w:b/>
                <w:szCs w:val="21"/>
              </w:rPr>
            </w:pPr>
            <w:r>
              <w:rPr>
                <w:rFonts w:hint="eastAsia" w:ascii="宋体" w:hAnsi="宋体"/>
                <w:b/>
                <w:szCs w:val="21"/>
              </w:rPr>
              <w:t>履约情况评价</w:t>
            </w:r>
          </w:p>
        </w:tc>
        <w:tc>
          <w:tcPr>
            <w:tcW w:w="1440" w:type="dxa"/>
            <w:gridSpan w:val="2"/>
            <w:tcBorders>
              <w:right w:val="single" w:color="auto" w:sz="4" w:space="0"/>
            </w:tcBorders>
            <w:vAlign w:val="center"/>
          </w:tcPr>
          <w:p w14:paraId="14E070D5">
            <w:pPr>
              <w:spacing w:line="240" w:lineRule="atLeast"/>
              <w:jc w:val="center"/>
              <w:rPr>
                <w:rFonts w:ascii="宋体"/>
                <w:szCs w:val="21"/>
              </w:rPr>
            </w:pPr>
            <w:r>
              <w:rPr>
                <w:rFonts w:hint="eastAsia" w:ascii="宋体" w:hAnsi="宋体"/>
                <w:szCs w:val="21"/>
              </w:rPr>
              <w:t>总体评价</w:t>
            </w:r>
          </w:p>
        </w:tc>
        <w:tc>
          <w:tcPr>
            <w:tcW w:w="6635" w:type="dxa"/>
            <w:gridSpan w:val="3"/>
            <w:tcBorders>
              <w:left w:val="single" w:color="auto" w:sz="4" w:space="0"/>
            </w:tcBorders>
            <w:vAlign w:val="center"/>
          </w:tcPr>
          <w:p w14:paraId="47AC134F">
            <w:pPr>
              <w:spacing w:line="240" w:lineRule="atLeast"/>
              <w:ind w:firstLine="120" w:firstLineChars="50"/>
              <w:jc w:val="center"/>
              <w:rPr>
                <w:rFonts w:ascii="宋体"/>
                <w:szCs w:val="21"/>
              </w:rPr>
            </w:pPr>
            <w:r>
              <w:rPr>
                <w:rFonts w:hint="eastAsia" w:ascii="宋体" w:hAnsi="宋体"/>
                <w:szCs w:val="21"/>
              </w:rPr>
              <w:t>□优□良□中□差</w:t>
            </w:r>
          </w:p>
        </w:tc>
      </w:tr>
      <w:tr w14:paraId="56FF5E9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8" w:hRule="atLeast"/>
          <w:jc w:val="center"/>
        </w:trPr>
        <w:tc>
          <w:tcPr>
            <w:tcW w:w="842" w:type="dxa"/>
            <w:vMerge w:val="continue"/>
            <w:vAlign w:val="center"/>
          </w:tcPr>
          <w:p w14:paraId="1343757F">
            <w:pPr>
              <w:spacing w:line="240" w:lineRule="atLeast"/>
              <w:jc w:val="center"/>
              <w:rPr>
                <w:rFonts w:ascii="宋体"/>
                <w:szCs w:val="21"/>
              </w:rPr>
            </w:pPr>
          </w:p>
        </w:tc>
        <w:tc>
          <w:tcPr>
            <w:tcW w:w="720" w:type="dxa"/>
            <w:vMerge w:val="restart"/>
            <w:tcBorders>
              <w:right w:val="single" w:color="auto" w:sz="4" w:space="0"/>
            </w:tcBorders>
            <w:vAlign w:val="center"/>
          </w:tcPr>
          <w:p w14:paraId="4BD3DD42">
            <w:pPr>
              <w:spacing w:line="240" w:lineRule="atLeast"/>
              <w:jc w:val="center"/>
              <w:rPr>
                <w:rFonts w:ascii="宋体"/>
                <w:szCs w:val="21"/>
              </w:rPr>
            </w:pPr>
            <w:r>
              <w:rPr>
                <w:rFonts w:hint="eastAsia" w:ascii="宋体" w:hAnsi="宋体"/>
                <w:szCs w:val="21"/>
              </w:rPr>
              <w:t>分项评价</w:t>
            </w:r>
          </w:p>
        </w:tc>
        <w:tc>
          <w:tcPr>
            <w:tcW w:w="720" w:type="dxa"/>
            <w:tcBorders>
              <w:left w:val="single" w:color="auto" w:sz="4" w:space="0"/>
              <w:right w:val="single" w:color="auto" w:sz="4" w:space="0"/>
            </w:tcBorders>
            <w:vAlign w:val="center"/>
          </w:tcPr>
          <w:p w14:paraId="73363CC5">
            <w:pPr>
              <w:spacing w:line="240" w:lineRule="atLeast"/>
              <w:jc w:val="center"/>
              <w:rPr>
                <w:rFonts w:ascii="宋体"/>
                <w:szCs w:val="21"/>
              </w:rPr>
            </w:pPr>
            <w:r>
              <w:rPr>
                <w:rFonts w:hint="eastAsia" w:ascii="宋体" w:hAnsi="宋体"/>
                <w:szCs w:val="21"/>
              </w:rPr>
              <w:t>质量方面</w:t>
            </w:r>
          </w:p>
        </w:tc>
        <w:tc>
          <w:tcPr>
            <w:tcW w:w="6635" w:type="dxa"/>
            <w:gridSpan w:val="3"/>
            <w:tcBorders>
              <w:left w:val="single" w:color="auto" w:sz="4" w:space="0"/>
            </w:tcBorders>
            <w:vAlign w:val="center"/>
          </w:tcPr>
          <w:p w14:paraId="0155B8BC">
            <w:pPr>
              <w:spacing w:line="240" w:lineRule="atLeast"/>
              <w:jc w:val="center"/>
              <w:rPr>
                <w:rFonts w:ascii="宋体"/>
                <w:szCs w:val="21"/>
              </w:rPr>
            </w:pPr>
            <w:r>
              <w:rPr>
                <w:rFonts w:hint="eastAsia" w:ascii="宋体" w:hAnsi="宋体"/>
                <w:szCs w:val="21"/>
              </w:rPr>
              <w:t>□优□良□中□差</w:t>
            </w:r>
          </w:p>
        </w:tc>
      </w:tr>
      <w:tr w14:paraId="5FA4ED0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8" w:hRule="atLeast"/>
          <w:jc w:val="center"/>
        </w:trPr>
        <w:tc>
          <w:tcPr>
            <w:tcW w:w="842" w:type="dxa"/>
            <w:vMerge w:val="continue"/>
            <w:vAlign w:val="center"/>
          </w:tcPr>
          <w:p w14:paraId="5FFE7209">
            <w:pPr>
              <w:spacing w:line="240" w:lineRule="atLeast"/>
              <w:jc w:val="center"/>
              <w:rPr>
                <w:rFonts w:ascii="宋体"/>
                <w:szCs w:val="21"/>
              </w:rPr>
            </w:pPr>
          </w:p>
        </w:tc>
        <w:tc>
          <w:tcPr>
            <w:tcW w:w="720" w:type="dxa"/>
            <w:vMerge w:val="continue"/>
            <w:tcBorders>
              <w:right w:val="single" w:color="auto" w:sz="4" w:space="0"/>
            </w:tcBorders>
            <w:vAlign w:val="center"/>
          </w:tcPr>
          <w:p w14:paraId="5521168D">
            <w:pPr>
              <w:spacing w:line="240" w:lineRule="atLeast"/>
              <w:jc w:val="center"/>
              <w:rPr>
                <w:rFonts w:ascii="宋体"/>
                <w:szCs w:val="21"/>
              </w:rPr>
            </w:pPr>
          </w:p>
        </w:tc>
        <w:tc>
          <w:tcPr>
            <w:tcW w:w="720" w:type="dxa"/>
            <w:tcBorders>
              <w:left w:val="single" w:color="auto" w:sz="4" w:space="0"/>
              <w:right w:val="single" w:color="auto" w:sz="4" w:space="0"/>
            </w:tcBorders>
            <w:vAlign w:val="center"/>
          </w:tcPr>
          <w:p w14:paraId="2ACAE3CE">
            <w:pPr>
              <w:spacing w:line="240" w:lineRule="atLeast"/>
              <w:jc w:val="center"/>
              <w:rPr>
                <w:rFonts w:ascii="宋体"/>
                <w:szCs w:val="21"/>
              </w:rPr>
            </w:pPr>
            <w:r>
              <w:rPr>
                <w:rFonts w:hint="eastAsia" w:ascii="宋体" w:hAnsi="宋体"/>
                <w:szCs w:val="21"/>
              </w:rPr>
              <w:t>价格方面</w:t>
            </w:r>
          </w:p>
        </w:tc>
        <w:tc>
          <w:tcPr>
            <w:tcW w:w="6635" w:type="dxa"/>
            <w:gridSpan w:val="3"/>
            <w:tcBorders>
              <w:left w:val="single" w:color="auto" w:sz="4" w:space="0"/>
            </w:tcBorders>
            <w:vAlign w:val="center"/>
          </w:tcPr>
          <w:p w14:paraId="662B68D3">
            <w:pPr>
              <w:spacing w:line="240" w:lineRule="atLeast"/>
              <w:jc w:val="center"/>
              <w:rPr>
                <w:rFonts w:ascii="宋体"/>
                <w:szCs w:val="21"/>
              </w:rPr>
            </w:pPr>
            <w:r>
              <w:rPr>
                <w:rFonts w:hint="eastAsia" w:ascii="宋体" w:hAnsi="宋体"/>
                <w:szCs w:val="21"/>
              </w:rPr>
              <w:t>□优□良□中□差</w:t>
            </w:r>
          </w:p>
        </w:tc>
      </w:tr>
      <w:tr w14:paraId="6BC2674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8" w:hRule="atLeast"/>
          <w:jc w:val="center"/>
        </w:trPr>
        <w:tc>
          <w:tcPr>
            <w:tcW w:w="842" w:type="dxa"/>
            <w:vMerge w:val="continue"/>
            <w:vAlign w:val="center"/>
          </w:tcPr>
          <w:p w14:paraId="20AD80BD">
            <w:pPr>
              <w:spacing w:line="240" w:lineRule="atLeast"/>
              <w:jc w:val="center"/>
              <w:rPr>
                <w:rFonts w:ascii="宋体"/>
                <w:szCs w:val="21"/>
              </w:rPr>
            </w:pPr>
          </w:p>
        </w:tc>
        <w:tc>
          <w:tcPr>
            <w:tcW w:w="720" w:type="dxa"/>
            <w:vMerge w:val="continue"/>
            <w:tcBorders>
              <w:right w:val="single" w:color="auto" w:sz="4" w:space="0"/>
            </w:tcBorders>
            <w:vAlign w:val="center"/>
          </w:tcPr>
          <w:p w14:paraId="610515ED">
            <w:pPr>
              <w:spacing w:line="240" w:lineRule="atLeast"/>
              <w:jc w:val="center"/>
              <w:rPr>
                <w:rFonts w:ascii="宋体"/>
                <w:szCs w:val="21"/>
              </w:rPr>
            </w:pPr>
          </w:p>
        </w:tc>
        <w:tc>
          <w:tcPr>
            <w:tcW w:w="720" w:type="dxa"/>
            <w:tcBorders>
              <w:left w:val="single" w:color="auto" w:sz="4" w:space="0"/>
              <w:right w:val="single" w:color="auto" w:sz="4" w:space="0"/>
            </w:tcBorders>
            <w:vAlign w:val="center"/>
          </w:tcPr>
          <w:p w14:paraId="1EFE7281">
            <w:pPr>
              <w:spacing w:line="240" w:lineRule="atLeast"/>
              <w:jc w:val="center"/>
              <w:rPr>
                <w:rFonts w:ascii="宋体"/>
                <w:szCs w:val="21"/>
              </w:rPr>
            </w:pPr>
            <w:r>
              <w:rPr>
                <w:rFonts w:hint="eastAsia" w:ascii="宋体" w:hAnsi="宋体"/>
                <w:szCs w:val="21"/>
              </w:rPr>
              <w:t>服务方面</w:t>
            </w:r>
          </w:p>
        </w:tc>
        <w:tc>
          <w:tcPr>
            <w:tcW w:w="6635" w:type="dxa"/>
            <w:gridSpan w:val="3"/>
            <w:tcBorders>
              <w:left w:val="single" w:color="auto" w:sz="4" w:space="0"/>
            </w:tcBorders>
            <w:vAlign w:val="center"/>
          </w:tcPr>
          <w:p w14:paraId="76F5FC07">
            <w:pPr>
              <w:spacing w:line="240" w:lineRule="atLeast"/>
              <w:jc w:val="center"/>
              <w:rPr>
                <w:rFonts w:ascii="宋体"/>
                <w:szCs w:val="21"/>
              </w:rPr>
            </w:pPr>
            <w:r>
              <w:rPr>
                <w:rFonts w:hint="eastAsia" w:ascii="宋体" w:hAnsi="宋体"/>
                <w:szCs w:val="21"/>
              </w:rPr>
              <w:t>□优□良□中□差</w:t>
            </w:r>
          </w:p>
        </w:tc>
      </w:tr>
      <w:tr w14:paraId="76C4026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8" w:hRule="atLeast"/>
          <w:jc w:val="center"/>
        </w:trPr>
        <w:tc>
          <w:tcPr>
            <w:tcW w:w="842" w:type="dxa"/>
            <w:vMerge w:val="continue"/>
            <w:vAlign w:val="center"/>
          </w:tcPr>
          <w:p w14:paraId="09FD1898">
            <w:pPr>
              <w:spacing w:line="240" w:lineRule="atLeast"/>
              <w:jc w:val="center"/>
              <w:rPr>
                <w:rFonts w:ascii="宋体"/>
                <w:szCs w:val="21"/>
              </w:rPr>
            </w:pPr>
          </w:p>
        </w:tc>
        <w:tc>
          <w:tcPr>
            <w:tcW w:w="720" w:type="dxa"/>
            <w:vMerge w:val="continue"/>
            <w:tcBorders>
              <w:right w:val="single" w:color="auto" w:sz="4" w:space="0"/>
            </w:tcBorders>
            <w:vAlign w:val="center"/>
          </w:tcPr>
          <w:p w14:paraId="0743C285">
            <w:pPr>
              <w:spacing w:line="240" w:lineRule="atLeast"/>
              <w:jc w:val="center"/>
              <w:rPr>
                <w:rFonts w:ascii="宋体"/>
                <w:szCs w:val="21"/>
              </w:rPr>
            </w:pPr>
          </w:p>
        </w:tc>
        <w:tc>
          <w:tcPr>
            <w:tcW w:w="720" w:type="dxa"/>
            <w:tcBorders>
              <w:left w:val="single" w:color="auto" w:sz="4" w:space="0"/>
              <w:right w:val="single" w:color="auto" w:sz="4" w:space="0"/>
            </w:tcBorders>
            <w:vAlign w:val="center"/>
          </w:tcPr>
          <w:p w14:paraId="29048372">
            <w:pPr>
              <w:spacing w:line="240" w:lineRule="atLeast"/>
              <w:jc w:val="center"/>
              <w:rPr>
                <w:rFonts w:ascii="宋体"/>
                <w:szCs w:val="21"/>
              </w:rPr>
            </w:pPr>
            <w:r>
              <w:rPr>
                <w:rFonts w:hint="eastAsia" w:ascii="宋体" w:hAnsi="宋体"/>
                <w:szCs w:val="21"/>
              </w:rPr>
              <w:t>时间方面</w:t>
            </w:r>
          </w:p>
        </w:tc>
        <w:tc>
          <w:tcPr>
            <w:tcW w:w="6635" w:type="dxa"/>
            <w:gridSpan w:val="3"/>
            <w:tcBorders>
              <w:left w:val="single" w:color="auto" w:sz="4" w:space="0"/>
            </w:tcBorders>
            <w:vAlign w:val="center"/>
          </w:tcPr>
          <w:p w14:paraId="16D5007D">
            <w:pPr>
              <w:spacing w:line="240" w:lineRule="atLeast"/>
              <w:jc w:val="center"/>
              <w:rPr>
                <w:rFonts w:ascii="宋体"/>
                <w:szCs w:val="21"/>
              </w:rPr>
            </w:pPr>
            <w:r>
              <w:rPr>
                <w:rFonts w:hint="eastAsia" w:ascii="宋体" w:hAnsi="宋体"/>
                <w:szCs w:val="21"/>
              </w:rPr>
              <w:t>□优□良□中□差</w:t>
            </w:r>
          </w:p>
        </w:tc>
      </w:tr>
      <w:tr w14:paraId="1CBB803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8" w:hRule="atLeast"/>
          <w:jc w:val="center"/>
        </w:trPr>
        <w:tc>
          <w:tcPr>
            <w:tcW w:w="842" w:type="dxa"/>
            <w:vMerge w:val="continue"/>
            <w:vAlign w:val="center"/>
          </w:tcPr>
          <w:p w14:paraId="313EF5B7">
            <w:pPr>
              <w:spacing w:line="240" w:lineRule="atLeast"/>
              <w:jc w:val="center"/>
              <w:rPr>
                <w:rFonts w:ascii="宋体"/>
                <w:szCs w:val="21"/>
              </w:rPr>
            </w:pPr>
          </w:p>
        </w:tc>
        <w:tc>
          <w:tcPr>
            <w:tcW w:w="720" w:type="dxa"/>
            <w:vMerge w:val="continue"/>
            <w:tcBorders>
              <w:right w:val="single" w:color="auto" w:sz="4" w:space="0"/>
            </w:tcBorders>
            <w:vAlign w:val="center"/>
          </w:tcPr>
          <w:p w14:paraId="4A3F74F2">
            <w:pPr>
              <w:spacing w:line="240" w:lineRule="atLeast"/>
              <w:jc w:val="center"/>
              <w:rPr>
                <w:rFonts w:ascii="宋体"/>
                <w:szCs w:val="21"/>
              </w:rPr>
            </w:pPr>
          </w:p>
        </w:tc>
        <w:tc>
          <w:tcPr>
            <w:tcW w:w="720" w:type="dxa"/>
            <w:tcBorders>
              <w:left w:val="single" w:color="auto" w:sz="4" w:space="0"/>
              <w:right w:val="single" w:color="auto" w:sz="4" w:space="0"/>
            </w:tcBorders>
            <w:vAlign w:val="center"/>
          </w:tcPr>
          <w:p w14:paraId="7586D8E2">
            <w:pPr>
              <w:spacing w:line="240" w:lineRule="atLeast"/>
              <w:jc w:val="center"/>
              <w:rPr>
                <w:rFonts w:ascii="宋体"/>
                <w:szCs w:val="21"/>
              </w:rPr>
            </w:pPr>
            <w:r>
              <w:rPr>
                <w:rFonts w:hint="eastAsia" w:ascii="宋体" w:hAnsi="宋体"/>
                <w:szCs w:val="21"/>
              </w:rPr>
              <w:t>环境保护</w:t>
            </w:r>
          </w:p>
        </w:tc>
        <w:tc>
          <w:tcPr>
            <w:tcW w:w="6635" w:type="dxa"/>
            <w:gridSpan w:val="3"/>
            <w:tcBorders>
              <w:left w:val="single" w:color="auto" w:sz="4" w:space="0"/>
            </w:tcBorders>
            <w:vAlign w:val="center"/>
          </w:tcPr>
          <w:p w14:paraId="69797493">
            <w:pPr>
              <w:spacing w:line="240" w:lineRule="atLeast"/>
              <w:jc w:val="center"/>
              <w:rPr>
                <w:rFonts w:ascii="宋体"/>
                <w:szCs w:val="21"/>
              </w:rPr>
            </w:pPr>
            <w:r>
              <w:rPr>
                <w:rFonts w:hint="eastAsia" w:ascii="宋体" w:hAnsi="宋体"/>
                <w:szCs w:val="21"/>
              </w:rPr>
              <w:t>□优□良□中□差</w:t>
            </w:r>
          </w:p>
        </w:tc>
      </w:tr>
      <w:tr w14:paraId="29018C4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8" w:hRule="atLeast"/>
          <w:jc w:val="center"/>
        </w:trPr>
        <w:tc>
          <w:tcPr>
            <w:tcW w:w="842" w:type="dxa"/>
            <w:vMerge w:val="continue"/>
            <w:vAlign w:val="center"/>
          </w:tcPr>
          <w:p w14:paraId="7EFBA9C1">
            <w:pPr>
              <w:spacing w:line="240" w:lineRule="atLeast"/>
              <w:jc w:val="center"/>
              <w:rPr>
                <w:rFonts w:ascii="宋体"/>
                <w:szCs w:val="21"/>
              </w:rPr>
            </w:pPr>
          </w:p>
        </w:tc>
        <w:tc>
          <w:tcPr>
            <w:tcW w:w="720" w:type="dxa"/>
            <w:vMerge w:val="continue"/>
            <w:tcBorders>
              <w:right w:val="single" w:color="auto" w:sz="4" w:space="0"/>
            </w:tcBorders>
            <w:vAlign w:val="center"/>
          </w:tcPr>
          <w:p w14:paraId="103E38AF">
            <w:pPr>
              <w:spacing w:line="240" w:lineRule="atLeast"/>
              <w:jc w:val="center"/>
              <w:rPr>
                <w:rFonts w:ascii="宋体"/>
                <w:szCs w:val="21"/>
              </w:rPr>
            </w:pPr>
          </w:p>
        </w:tc>
        <w:tc>
          <w:tcPr>
            <w:tcW w:w="720" w:type="dxa"/>
            <w:tcBorders>
              <w:left w:val="single" w:color="auto" w:sz="4" w:space="0"/>
              <w:right w:val="single" w:color="auto" w:sz="4" w:space="0"/>
            </w:tcBorders>
            <w:vAlign w:val="center"/>
          </w:tcPr>
          <w:p w14:paraId="4BFBC6A3">
            <w:pPr>
              <w:spacing w:line="240" w:lineRule="atLeast"/>
              <w:jc w:val="center"/>
              <w:rPr>
                <w:rFonts w:ascii="宋体"/>
                <w:szCs w:val="21"/>
              </w:rPr>
            </w:pPr>
            <w:r>
              <w:rPr>
                <w:rFonts w:hint="eastAsia" w:ascii="宋体" w:hAnsi="宋体"/>
                <w:szCs w:val="21"/>
              </w:rPr>
              <w:t>其他</w:t>
            </w:r>
          </w:p>
        </w:tc>
        <w:tc>
          <w:tcPr>
            <w:tcW w:w="6635" w:type="dxa"/>
            <w:gridSpan w:val="3"/>
            <w:tcBorders>
              <w:left w:val="single" w:color="auto" w:sz="4" w:space="0"/>
            </w:tcBorders>
            <w:vAlign w:val="center"/>
          </w:tcPr>
          <w:p w14:paraId="3D603721">
            <w:pPr>
              <w:spacing w:before="120" w:beforeLines="50" w:after="120" w:afterLines="50" w:line="240" w:lineRule="atLeast"/>
              <w:rPr>
                <w:rFonts w:ascii="宋体"/>
                <w:szCs w:val="21"/>
                <w:u w:val="single"/>
              </w:rPr>
            </w:pPr>
            <w:r>
              <w:rPr>
                <w:rFonts w:hint="eastAsia" w:ascii="宋体" w:hAnsi="宋体"/>
                <w:szCs w:val="21"/>
              </w:rPr>
              <w:t>评价内容为：</w:t>
            </w:r>
          </w:p>
          <w:p w14:paraId="2E7174EF">
            <w:pPr>
              <w:spacing w:before="120" w:beforeLines="50" w:after="120" w:afterLines="50" w:line="240" w:lineRule="atLeast"/>
              <w:rPr>
                <w:rFonts w:ascii="宋体"/>
                <w:szCs w:val="21"/>
              </w:rPr>
            </w:pPr>
            <w:r>
              <w:rPr>
                <w:rFonts w:hint="eastAsia" w:ascii="宋体" w:hAnsi="宋体"/>
                <w:szCs w:val="21"/>
              </w:rPr>
              <w:t>评价等级为：□优□良□中□差</w:t>
            </w:r>
          </w:p>
        </w:tc>
      </w:tr>
      <w:tr w14:paraId="0E9923F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617" w:hRule="atLeast"/>
          <w:jc w:val="center"/>
        </w:trPr>
        <w:tc>
          <w:tcPr>
            <w:tcW w:w="1562" w:type="dxa"/>
            <w:gridSpan w:val="2"/>
            <w:vAlign w:val="center"/>
          </w:tcPr>
          <w:p w14:paraId="7DD7CEC6">
            <w:pPr>
              <w:spacing w:line="240" w:lineRule="atLeast"/>
              <w:jc w:val="center"/>
              <w:rPr>
                <w:rFonts w:ascii="宋体"/>
                <w:szCs w:val="21"/>
              </w:rPr>
            </w:pPr>
            <w:r>
              <w:rPr>
                <w:rFonts w:hint="eastAsia" w:ascii="宋体" w:hAnsi="宋体"/>
                <w:szCs w:val="21"/>
              </w:rPr>
              <w:t>具体情况说明</w:t>
            </w:r>
          </w:p>
        </w:tc>
        <w:tc>
          <w:tcPr>
            <w:tcW w:w="7355" w:type="dxa"/>
            <w:gridSpan w:val="4"/>
          </w:tcPr>
          <w:p w14:paraId="76B06E29">
            <w:pPr>
              <w:spacing w:line="240" w:lineRule="atLeast"/>
              <w:rPr>
                <w:rFonts w:ascii="宋体"/>
                <w:szCs w:val="21"/>
              </w:rPr>
            </w:pPr>
          </w:p>
          <w:p w14:paraId="7480870E">
            <w:pPr>
              <w:spacing w:line="240" w:lineRule="atLeast"/>
              <w:rPr>
                <w:rFonts w:ascii="宋体"/>
                <w:szCs w:val="21"/>
              </w:rPr>
            </w:pPr>
          </w:p>
          <w:p w14:paraId="2C2C8A03">
            <w:pPr>
              <w:spacing w:line="240" w:lineRule="atLeast"/>
              <w:rPr>
                <w:rFonts w:ascii="宋体"/>
                <w:szCs w:val="21"/>
              </w:rPr>
            </w:pPr>
          </w:p>
          <w:p w14:paraId="3146AFC2">
            <w:pPr>
              <w:spacing w:line="240" w:lineRule="atLeast"/>
              <w:rPr>
                <w:rFonts w:ascii="宋体"/>
                <w:szCs w:val="21"/>
              </w:rPr>
            </w:pPr>
          </w:p>
          <w:p w14:paraId="2452B3B4">
            <w:pPr>
              <w:spacing w:line="240" w:lineRule="atLeast"/>
              <w:rPr>
                <w:rFonts w:ascii="宋体"/>
                <w:szCs w:val="21"/>
              </w:rPr>
            </w:pPr>
          </w:p>
        </w:tc>
      </w:tr>
      <w:tr w14:paraId="442C252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510" w:hRule="atLeast"/>
          <w:jc w:val="center"/>
        </w:trPr>
        <w:tc>
          <w:tcPr>
            <w:tcW w:w="1562" w:type="dxa"/>
            <w:gridSpan w:val="2"/>
            <w:tcBorders>
              <w:bottom w:val="single" w:color="auto" w:sz="8" w:space="0"/>
            </w:tcBorders>
            <w:vAlign w:val="center"/>
          </w:tcPr>
          <w:p w14:paraId="7C814D62">
            <w:pPr>
              <w:spacing w:line="240" w:lineRule="atLeast"/>
              <w:jc w:val="center"/>
              <w:rPr>
                <w:rFonts w:ascii="宋体"/>
                <w:szCs w:val="21"/>
              </w:rPr>
            </w:pPr>
            <w:r>
              <w:rPr>
                <w:rFonts w:hint="eastAsia" w:ascii="宋体" w:hAnsi="宋体"/>
                <w:szCs w:val="21"/>
              </w:rPr>
              <w:t>采购人意见</w:t>
            </w:r>
          </w:p>
          <w:p w14:paraId="026C148E">
            <w:pPr>
              <w:spacing w:line="240" w:lineRule="atLeast"/>
              <w:jc w:val="center"/>
              <w:rPr>
                <w:rFonts w:ascii="宋体"/>
                <w:szCs w:val="21"/>
              </w:rPr>
            </w:pPr>
            <w:r>
              <w:rPr>
                <w:rFonts w:hint="eastAsia" w:ascii="宋体" w:hAnsi="宋体"/>
                <w:szCs w:val="21"/>
              </w:rPr>
              <w:t>（公章）</w:t>
            </w:r>
          </w:p>
        </w:tc>
        <w:tc>
          <w:tcPr>
            <w:tcW w:w="7355" w:type="dxa"/>
            <w:gridSpan w:val="4"/>
            <w:tcBorders>
              <w:bottom w:val="single" w:color="auto" w:sz="8" w:space="0"/>
            </w:tcBorders>
            <w:vAlign w:val="center"/>
          </w:tcPr>
          <w:p w14:paraId="3F0F84B6">
            <w:pPr>
              <w:spacing w:line="240" w:lineRule="atLeast"/>
              <w:rPr>
                <w:rFonts w:ascii="宋体"/>
                <w:szCs w:val="21"/>
              </w:rPr>
            </w:pPr>
          </w:p>
          <w:p w14:paraId="3C9C9D87">
            <w:pPr>
              <w:spacing w:line="240" w:lineRule="atLeast"/>
              <w:rPr>
                <w:rFonts w:ascii="宋体"/>
                <w:szCs w:val="21"/>
              </w:rPr>
            </w:pPr>
          </w:p>
          <w:p w14:paraId="27D4E730">
            <w:pPr>
              <w:spacing w:line="240" w:lineRule="atLeast"/>
              <w:rPr>
                <w:rFonts w:ascii="宋体"/>
                <w:szCs w:val="21"/>
              </w:rPr>
            </w:pPr>
          </w:p>
          <w:p w14:paraId="5ECE7477">
            <w:pPr>
              <w:spacing w:line="240" w:lineRule="atLeast"/>
              <w:rPr>
                <w:rFonts w:ascii="宋体"/>
                <w:szCs w:val="21"/>
              </w:rPr>
            </w:pPr>
          </w:p>
          <w:p w14:paraId="755E4FF6">
            <w:pPr>
              <w:spacing w:line="240" w:lineRule="atLeast"/>
              <w:ind w:firstLine="4320" w:firstLineChars="1800"/>
              <w:rPr>
                <w:rFonts w:ascii="宋体"/>
                <w:szCs w:val="21"/>
              </w:rPr>
            </w:pPr>
          </w:p>
          <w:p w14:paraId="2D86FE78">
            <w:pPr>
              <w:spacing w:line="240" w:lineRule="atLeast"/>
              <w:ind w:firstLine="4320" w:firstLineChars="1800"/>
              <w:rPr>
                <w:rFonts w:ascii="宋体"/>
                <w:szCs w:val="21"/>
              </w:rPr>
            </w:pPr>
            <w:r>
              <w:rPr>
                <w:rFonts w:hint="eastAsia" w:ascii="宋体" w:hAnsi="宋体"/>
                <w:szCs w:val="21"/>
              </w:rPr>
              <w:t>日期：年月日</w:t>
            </w:r>
          </w:p>
        </w:tc>
      </w:tr>
    </w:tbl>
    <w:p w14:paraId="66B0D11F">
      <w:pPr>
        <w:spacing w:line="240" w:lineRule="atLeast"/>
        <w:rPr>
          <w:rFonts w:ascii="宋体"/>
          <w:szCs w:val="21"/>
        </w:rPr>
      </w:pPr>
      <w:r>
        <w:rPr>
          <w:rFonts w:hint="eastAsia" w:ascii="宋体" w:hAnsi="宋体"/>
          <w:szCs w:val="21"/>
        </w:rPr>
        <w:t>说明：</w:t>
      </w:r>
    </w:p>
    <w:p w14:paraId="77D2836E">
      <w:pPr>
        <w:spacing w:line="240" w:lineRule="atLeast"/>
        <w:rPr>
          <w:rFonts w:ascii="宋体"/>
          <w:szCs w:val="21"/>
        </w:rPr>
      </w:pPr>
      <w:r>
        <w:rPr>
          <w:rFonts w:ascii="宋体" w:hAnsi="宋体"/>
          <w:szCs w:val="21"/>
        </w:rPr>
        <w:t>1</w:t>
      </w:r>
      <w:r>
        <w:rPr>
          <w:rFonts w:hint="eastAsia" w:ascii="宋体" w:hAnsi="宋体"/>
          <w:szCs w:val="21"/>
        </w:rPr>
        <w:t>、履约情况评价分为优、良、中、差四个等级，请在对应的框前打“√”，然后在“具体情况说明”一栏详细说明有关情况。</w:t>
      </w:r>
    </w:p>
    <w:p w14:paraId="502C8FC2">
      <w:pPr>
        <w:pStyle w:val="5"/>
        <w:spacing w:line="360" w:lineRule="exact"/>
        <w:rPr>
          <w:rFonts w:eastAsia="宋体"/>
          <w:sz w:val="28"/>
          <w:szCs w:val="28"/>
        </w:rPr>
      </w:pPr>
      <w:r>
        <w:br w:type="page"/>
      </w:r>
      <w:bookmarkStart w:id="56" w:name="_Hlk72439706"/>
      <w:bookmarkStart w:id="57" w:name="_Hlk156404914"/>
      <w:r>
        <w:rPr>
          <w:rFonts w:hint="eastAsia" w:eastAsia="宋体"/>
          <w:sz w:val="28"/>
          <w:szCs w:val="28"/>
        </w:rPr>
        <w:t>第二册  通用条款（公开招标）</w:t>
      </w:r>
    </w:p>
    <w:p w14:paraId="3833C8B4">
      <w:pPr>
        <w:pStyle w:val="5"/>
        <w:keepNext/>
        <w:keepLines/>
        <w:widowControl w:val="0"/>
        <w:numPr>
          <w:ilvl w:val="0"/>
          <w:numId w:val="10"/>
        </w:numPr>
        <w:spacing w:line="360" w:lineRule="exact"/>
        <w:ind w:left="0" w:hanging="562"/>
        <w:rPr>
          <w:rFonts w:eastAsia="宋体"/>
          <w:sz w:val="28"/>
          <w:szCs w:val="28"/>
        </w:rPr>
      </w:pPr>
      <w:bookmarkStart w:id="58" w:name="_Hlk72399513"/>
      <w:r>
        <w:rPr>
          <w:rFonts w:hint="eastAsia" w:eastAsia="宋体"/>
          <w:sz w:val="28"/>
          <w:szCs w:val="28"/>
        </w:rPr>
        <w:t>总则</w:t>
      </w:r>
    </w:p>
    <w:bookmarkEnd w:id="58"/>
    <w:p w14:paraId="096CC6FA">
      <w:pPr>
        <w:spacing w:line="360" w:lineRule="exact"/>
        <w:outlineLvl w:val="1"/>
        <w:rPr>
          <w:rFonts w:ascii="宋体" w:hAnsi="宋体" w:eastAsia="宋体"/>
        </w:rPr>
      </w:pPr>
      <w:r>
        <w:rPr>
          <w:rFonts w:hint="eastAsia" w:ascii="宋体" w:hAnsi="宋体" w:eastAsia="宋体"/>
        </w:rPr>
        <w:t>1. 通用条款说明</w:t>
      </w:r>
    </w:p>
    <w:p w14:paraId="61706467">
      <w:pPr>
        <w:spacing w:line="360" w:lineRule="exact"/>
        <w:ind w:firstLine="470" w:firstLineChars="196"/>
        <w:rPr>
          <w:rFonts w:ascii="宋体" w:hAnsi="宋体" w:eastAsia="宋体"/>
          <w:szCs w:val="21"/>
        </w:rPr>
      </w:pPr>
      <w:r>
        <w:rPr>
          <w:rFonts w:hint="eastAsia" w:ascii="宋体" w:hAnsi="宋体" w:eastAsia="宋体"/>
          <w:szCs w:val="21"/>
        </w:rPr>
        <w:t>1.1政府采购机构发出招标文件通用条款版本，列出深圳市政府采购项目进行招标采购所适用的通用条款内容。</w:t>
      </w:r>
      <w:bookmarkStart w:id="59" w:name="_Hlk72399729"/>
      <w:r>
        <w:rPr>
          <w:rFonts w:hint="eastAsia" w:ascii="宋体" w:hAnsi="宋体" w:eastAsia="宋体"/>
          <w:szCs w:val="21"/>
        </w:rPr>
        <w:t>如有需要，政府采购机构可以对通用条款的内容进行补充。</w:t>
      </w:r>
      <w:bookmarkEnd w:id="59"/>
    </w:p>
    <w:p w14:paraId="2E79936F">
      <w:pPr>
        <w:spacing w:line="360" w:lineRule="exact"/>
        <w:ind w:firstLine="470" w:firstLineChars="196"/>
        <w:rPr>
          <w:rFonts w:ascii="宋体" w:hAnsi="宋体" w:eastAsia="宋体"/>
          <w:szCs w:val="21"/>
        </w:rPr>
      </w:pPr>
      <w:r>
        <w:rPr>
          <w:rFonts w:hint="eastAsia" w:ascii="宋体" w:hAnsi="宋体" w:eastAsia="宋体"/>
          <w:szCs w:val="21"/>
        </w:rPr>
        <w:t>1.2招标文件分为第一册“专用条款”和第二册“通用条款”。</w:t>
      </w:r>
    </w:p>
    <w:p w14:paraId="3F17EF3F">
      <w:pPr>
        <w:spacing w:line="360" w:lineRule="exact"/>
        <w:ind w:firstLine="470" w:firstLineChars="196"/>
        <w:rPr>
          <w:rFonts w:ascii="宋体" w:hAnsi="宋体" w:eastAsia="宋体"/>
          <w:szCs w:val="21"/>
        </w:rPr>
      </w:pPr>
      <w:r>
        <w:rPr>
          <w:rFonts w:hint="eastAsia" w:ascii="宋体" w:hAnsi="宋体" w:eastAsia="宋体"/>
          <w:szCs w:val="21"/>
        </w:rPr>
        <w:t>1.3“专用条款”是对本次采购项目的具体要求，包含招标公告、对通用条款的补充内容及其他关键信息、用户需求书、投标文件格式及附件、合同条款及格式等内容。</w:t>
      </w:r>
    </w:p>
    <w:p w14:paraId="2B4B7630">
      <w:pPr>
        <w:spacing w:line="360" w:lineRule="exact"/>
        <w:ind w:firstLine="470" w:firstLineChars="196"/>
        <w:rPr>
          <w:rFonts w:ascii="宋体" w:hAnsi="宋体" w:eastAsia="宋体"/>
          <w:szCs w:val="21"/>
        </w:rPr>
      </w:pPr>
      <w:r>
        <w:rPr>
          <w:rFonts w:hint="eastAsia" w:ascii="宋体" w:hAnsi="宋体" w:eastAsia="宋体"/>
          <w:szCs w:val="21"/>
        </w:rPr>
        <w:t>1.4“通用条款”是适用于政府采购公开招标项目的基础性条款，具有普遍性和通用性。</w:t>
      </w:r>
    </w:p>
    <w:p w14:paraId="130041DC">
      <w:pPr>
        <w:spacing w:line="360" w:lineRule="exact"/>
        <w:ind w:firstLine="470" w:firstLineChars="196"/>
        <w:rPr>
          <w:rFonts w:ascii="宋体" w:hAnsi="宋体" w:eastAsia="宋体"/>
          <w:szCs w:val="21"/>
        </w:rPr>
      </w:pPr>
      <w:r>
        <w:rPr>
          <w:rFonts w:hint="eastAsia" w:ascii="宋体" w:hAnsi="宋体" w:eastAsia="宋体"/>
          <w:szCs w:val="21"/>
        </w:rPr>
        <w:t>1.5 “专用条款”和“通用条款”表述不一致或有冲突时，以“专用条款”为准。</w:t>
      </w:r>
    </w:p>
    <w:p w14:paraId="324E903D">
      <w:pPr>
        <w:spacing w:line="360" w:lineRule="exact"/>
        <w:outlineLvl w:val="1"/>
        <w:rPr>
          <w:rFonts w:ascii="宋体" w:hAnsi="宋体" w:eastAsia="宋体"/>
        </w:rPr>
      </w:pPr>
      <w:r>
        <w:rPr>
          <w:rFonts w:hint="eastAsia" w:ascii="宋体" w:hAnsi="宋体" w:eastAsia="宋体"/>
        </w:rPr>
        <w:t>2</w:t>
      </w:r>
      <w:r>
        <w:rPr>
          <w:rFonts w:ascii="宋体" w:hAnsi="宋体" w:eastAsia="宋体"/>
        </w:rPr>
        <w:t>．</w:t>
      </w:r>
      <w:r>
        <w:rPr>
          <w:rFonts w:hint="eastAsia" w:ascii="宋体" w:hAnsi="宋体" w:eastAsia="宋体"/>
        </w:rPr>
        <w:t>招标说明</w:t>
      </w:r>
    </w:p>
    <w:p w14:paraId="2110C4D0">
      <w:pPr>
        <w:spacing w:line="360" w:lineRule="exact"/>
        <w:ind w:firstLine="470" w:firstLineChars="196"/>
        <w:rPr>
          <w:rFonts w:ascii="宋体" w:hAnsi="宋体" w:eastAsia="宋体"/>
          <w:szCs w:val="21"/>
        </w:rPr>
      </w:pPr>
      <w:r>
        <w:rPr>
          <w:rFonts w:hint="eastAsia" w:ascii="宋体" w:hAnsi="宋体" w:eastAsia="宋体"/>
          <w:szCs w:val="21"/>
        </w:rPr>
        <w:t>本项目按照《深圳经济特区政府采购条例》、《深圳经济特区政府采购条例实施细则》及政府采购其他法律法规，通过公开招标方式确定中标供应商。</w:t>
      </w:r>
    </w:p>
    <w:p w14:paraId="2D59A565">
      <w:pPr>
        <w:spacing w:line="360" w:lineRule="exact"/>
        <w:outlineLvl w:val="1"/>
        <w:rPr>
          <w:rFonts w:ascii="宋体" w:hAnsi="宋体" w:eastAsia="宋体"/>
        </w:rPr>
      </w:pPr>
      <w:r>
        <w:rPr>
          <w:rFonts w:hint="eastAsia" w:ascii="宋体" w:hAnsi="宋体" w:eastAsia="宋体"/>
        </w:rPr>
        <w:t>3．定义</w:t>
      </w:r>
    </w:p>
    <w:p w14:paraId="288FFCF9">
      <w:pPr>
        <w:spacing w:line="360" w:lineRule="exact"/>
        <w:ind w:firstLine="480" w:firstLineChars="200"/>
        <w:rPr>
          <w:rFonts w:ascii="宋体" w:hAnsi="宋体" w:eastAsia="宋体"/>
          <w:szCs w:val="21"/>
        </w:rPr>
      </w:pPr>
      <w:r>
        <w:rPr>
          <w:rFonts w:ascii="宋体" w:hAnsi="宋体" w:eastAsia="宋体"/>
          <w:szCs w:val="21"/>
        </w:rPr>
        <w:t>招标文件中下列术语应解释为：</w:t>
      </w:r>
    </w:p>
    <w:p w14:paraId="500F5D63">
      <w:pPr>
        <w:spacing w:line="360" w:lineRule="exact"/>
        <w:ind w:firstLine="470" w:firstLineChars="196"/>
        <w:rPr>
          <w:rFonts w:ascii="宋体" w:hAnsi="宋体" w:eastAsia="宋体"/>
          <w:szCs w:val="21"/>
        </w:rPr>
      </w:pPr>
      <w:r>
        <w:rPr>
          <w:rFonts w:hint="eastAsia" w:ascii="宋体" w:hAnsi="宋体" w:eastAsia="宋体"/>
          <w:szCs w:val="21"/>
        </w:rPr>
        <w:t>3.</w:t>
      </w:r>
      <w:r>
        <w:rPr>
          <w:rFonts w:ascii="宋体" w:hAnsi="宋体" w:eastAsia="宋体"/>
          <w:szCs w:val="21"/>
        </w:rPr>
        <w:t>1</w:t>
      </w:r>
      <w:r>
        <w:rPr>
          <w:rFonts w:hint="eastAsia" w:ascii="宋体" w:hAnsi="宋体" w:eastAsia="宋体"/>
          <w:szCs w:val="21"/>
        </w:rPr>
        <w:t>“采购人”：指利用财政性资金依法进行政府采购的国家机关、事业单位、团体组织；</w:t>
      </w:r>
    </w:p>
    <w:p w14:paraId="6F2377B7">
      <w:pPr>
        <w:spacing w:line="360" w:lineRule="exact"/>
        <w:ind w:firstLine="470" w:firstLineChars="196"/>
        <w:rPr>
          <w:rFonts w:ascii="宋体" w:hAnsi="宋体" w:eastAsia="宋体"/>
          <w:szCs w:val="21"/>
        </w:rPr>
      </w:pPr>
      <w:r>
        <w:rPr>
          <w:rFonts w:hint="eastAsia" w:ascii="宋体" w:hAnsi="宋体" w:eastAsia="宋体"/>
          <w:szCs w:val="21"/>
        </w:rPr>
        <w:t>3.2 “政府采购机构”</w:t>
      </w:r>
      <w:r>
        <w:rPr>
          <w:rFonts w:hint="eastAsia" w:ascii="宋体" w:hAnsi="宋体" w:eastAsia="宋体" w:cs="Arial"/>
          <w:szCs w:val="21"/>
          <w:shd w:val="clear" w:color="auto" w:fill="FFFFFF"/>
        </w:rPr>
        <w:t>是指市政府设立的，组织实施政府采购项目，并对政府采购活动提供服务的专门机构；</w:t>
      </w:r>
      <w:r>
        <w:rPr>
          <w:rFonts w:hint="eastAsia" w:ascii="宋体" w:hAnsi="宋体" w:eastAsia="宋体"/>
          <w:szCs w:val="21"/>
        </w:rPr>
        <w:t>本文件所述的“政府采购机构”</w:t>
      </w:r>
      <w:r>
        <w:rPr>
          <w:rFonts w:ascii="宋体" w:hAnsi="宋体" w:eastAsia="宋体"/>
          <w:szCs w:val="21"/>
        </w:rPr>
        <w:t>指</w:t>
      </w:r>
      <w:r>
        <w:rPr>
          <w:rFonts w:hint="eastAsia" w:ascii="宋体" w:hAnsi="宋体" w:eastAsia="宋体"/>
          <w:b/>
          <w:bCs/>
          <w:szCs w:val="21"/>
        </w:rPr>
        <w:t>深圳市东海国际招标有限公司</w:t>
      </w:r>
      <w:r>
        <w:rPr>
          <w:rFonts w:hint="eastAsia" w:ascii="宋体" w:hAnsi="宋体" w:eastAsia="宋体"/>
          <w:szCs w:val="21"/>
        </w:rPr>
        <w:t>；</w:t>
      </w:r>
    </w:p>
    <w:p w14:paraId="6BC04B27">
      <w:pPr>
        <w:spacing w:line="360" w:lineRule="exact"/>
        <w:ind w:firstLine="470" w:firstLineChars="196"/>
        <w:rPr>
          <w:rFonts w:ascii="宋体" w:hAnsi="宋体" w:eastAsia="宋体"/>
          <w:szCs w:val="21"/>
        </w:rPr>
      </w:pPr>
      <w:r>
        <w:rPr>
          <w:rFonts w:hint="eastAsia" w:ascii="宋体" w:hAnsi="宋体" w:eastAsia="宋体"/>
          <w:szCs w:val="21"/>
        </w:rPr>
        <w:t>3.3“投标人”，即供应商，指参加投标竞争并愿意按照招标文件要求向采购人提供货物、工程或者服务的依法成立的法人、其他组织或者自然人；</w:t>
      </w:r>
    </w:p>
    <w:p w14:paraId="1E2AF21A">
      <w:pPr>
        <w:spacing w:line="360" w:lineRule="exact"/>
        <w:ind w:firstLine="470" w:firstLineChars="196"/>
        <w:rPr>
          <w:rFonts w:ascii="宋体" w:hAnsi="宋体" w:eastAsia="宋体"/>
          <w:szCs w:val="21"/>
        </w:rPr>
      </w:pPr>
      <w:r>
        <w:rPr>
          <w:rFonts w:hint="eastAsia" w:ascii="宋体" w:hAnsi="宋体" w:eastAsia="宋体"/>
          <w:szCs w:val="21"/>
        </w:rPr>
        <w:t>3.4“中标候选人”即“候选中标供应商”</w:t>
      </w:r>
    </w:p>
    <w:p w14:paraId="74CA9F97">
      <w:pPr>
        <w:spacing w:line="360" w:lineRule="exact"/>
        <w:ind w:firstLine="470" w:firstLineChars="196"/>
        <w:rPr>
          <w:rFonts w:ascii="宋体" w:hAnsi="宋体" w:eastAsia="宋体"/>
          <w:szCs w:val="21"/>
        </w:rPr>
      </w:pPr>
      <w:r>
        <w:rPr>
          <w:rFonts w:hint="eastAsia" w:ascii="宋体" w:hAnsi="宋体" w:eastAsia="宋体"/>
          <w:szCs w:val="21"/>
        </w:rPr>
        <w:t>3.5“评审委员会”是依据《深圳经济特区政府采购条例》、《深圳经济特区政府采购条例实施细则》等有关规定组建的专门负责本次招标其评审工作的临时性机构；</w:t>
      </w:r>
    </w:p>
    <w:p w14:paraId="1536FC5A">
      <w:pPr>
        <w:spacing w:line="360" w:lineRule="exact"/>
        <w:ind w:firstLine="470" w:firstLineChars="196"/>
        <w:rPr>
          <w:rFonts w:ascii="宋体" w:hAnsi="宋体" w:eastAsia="宋体"/>
          <w:szCs w:val="21"/>
        </w:rPr>
      </w:pPr>
      <w:r>
        <w:rPr>
          <w:rFonts w:hint="eastAsia" w:ascii="宋体" w:hAnsi="宋体" w:eastAsia="宋体"/>
          <w:szCs w:val="21"/>
        </w:rPr>
        <w:t>3.6“日期”</w:t>
      </w:r>
      <w:r>
        <w:rPr>
          <w:rFonts w:ascii="宋体" w:hAnsi="宋体" w:eastAsia="宋体"/>
          <w:szCs w:val="21"/>
        </w:rPr>
        <w:t>指</w:t>
      </w:r>
      <w:r>
        <w:rPr>
          <w:rFonts w:hint="eastAsia" w:ascii="宋体" w:hAnsi="宋体" w:eastAsia="宋体"/>
          <w:szCs w:val="21"/>
        </w:rPr>
        <w:t>公历日；</w:t>
      </w:r>
    </w:p>
    <w:p w14:paraId="3378CCFE">
      <w:pPr>
        <w:spacing w:line="360" w:lineRule="exact"/>
        <w:ind w:firstLine="470" w:firstLineChars="196"/>
        <w:rPr>
          <w:rFonts w:ascii="宋体" w:hAnsi="宋体" w:eastAsia="宋体"/>
          <w:szCs w:val="21"/>
        </w:rPr>
      </w:pPr>
      <w:r>
        <w:rPr>
          <w:rFonts w:hint="eastAsia" w:ascii="宋体" w:hAnsi="宋体" w:eastAsia="宋体"/>
          <w:szCs w:val="21"/>
        </w:rPr>
        <w:t>3.7“合同”指由本次招标所产生的合同或合约文件；</w:t>
      </w:r>
    </w:p>
    <w:p w14:paraId="6822519E">
      <w:pPr>
        <w:suppressAutoHyphens/>
        <w:spacing w:line="360" w:lineRule="exact"/>
        <w:ind w:firstLine="470" w:firstLineChars="196"/>
        <w:rPr>
          <w:rFonts w:ascii="宋体" w:hAnsi="宋体" w:eastAsia="宋体"/>
          <w:szCs w:val="21"/>
        </w:rPr>
      </w:pPr>
      <w:r>
        <w:rPr>
          <w:rFonts w:hint="eastAsia" w:ascii="宋体" w:hAnsi="宋体" w:eastAsia="宋体"/>
          <w:szCs w:val="21"/>
        </w:rPr>
        <w:t>3.8“电子投标文件”指利用</w:t>
      </w:r>
      <w:r>
        <w:rPr>
          <w:rFonts w:hint="eastAsia" w:ascii="宋体" w:hAnsi="宋体" w:eastAsia="宋体"/>
          <w:b/>
          <w:bCs/>
          <w:color w:val="FF0000"/>
          <w:szCs w:val="21"/>
        </w:rPr>
        <w:t>深圳公共资源交易中心（深圳交易集团有限公司政府采购业务分公司）</w:t>
      </w:r>
      <w:r>
        <w:rPr>
          <w:rFonts w:hint="eastAsia" w:ascii="宋体" w:hAnsi="宋体" w:eastAsia="宋体"/>
          <w:szCs w:val="21"/>
        </w:rPr>
        <w:t>网站提供的</w:t>
      </w:r>
      <w:r>
        <w:rPr>
          <w:rFonts w:hint="eastAsia" w:ascii="宋体" w:hAnsi="宋体" w:eastAsia="宋体"/>
        </w:rPr>
        <w:t>深圳智慧采购平台投标文件制作专用软件（以下简称：投标文件制作软件）制作并</w:t>
      </w:r>
      <w:r>
        <w:rPr>
          <w:rFonts w:hint="eastAsia" w:ascii="宋体" w:hAnsi="宋体" w:eastAsia="宋体"/>
          <w:szCs w:val="21"/>
        </w:rPr>
        <w:t>加密的投标文件,适用于网上投标；（投标文件制作软件可从</w:t>
      </w:r>
      <w:r>
        <w:rPr>
          <w:rFonts w:hint="eastAsia" w:ascii="宋体" w:hAnsi="宋体" w:eastAsia="宋体"/>
        </w:rPr>
        <w:t>“下载地址：http://zfcg.szggzy.com:8081/cgxy/013002/20210923/173e0b2c-7a4c-4246-a0c7-e0ea75d84dd6.html”</w:t>
      </w:r>
      <w:r>
        <w:rPr>
          <w:rFonts w:hint="eastAsia" w:ascii="宋体" w:hAnsi="宋体" w:eastAsia="宋体"/>
          <w:szCs w:val="21"/>
        </w:rPr>
        <w:t>下载）；</w:t>
      </w:r>
    </w:p>
    <w:p w14:paraId="5A8EFBA1">
      <w:pPr>
        <w:spacing w:line="360" w:lineRule="exact"/>
        <w:ind w:firstLine="470" w:firstLineChars="196"/>
        <w:rPr>
          <w:rFonts w:ascii="宋体" w:hAnsi="宋体" w:eastAsia="宋体"/>
          <w:szCs w:val="21"/>
        </w:rPr>
      </w:pPr>
      <w:r>
        <w:rPr>
          <w:rFonts w:hint="eastAsia" w:ascii="宋体" w:hAnsi="宋体" w:eastAsia="宋体"/>
          <w:szCs w:val="21"/>
        </w:rPr>
        <w:t>3.9“网上投标”指通过</w:t>
      </w:r>
      <w:r>
        <w:rPr>
          <w:rFonts w:hint="eastAsia" w:ascii="宋体" w:hAnsi="宋体" w:eastAsia="宋体"/>
          <w:b/>
          <w:bCs/>
          <w:color w:val="FF0000"/>
          <w:szCs w:val="21"/>
        </w:rPr>
        <w:t>深圳公共资源交易中心（深圳交易集团有限公司政府采购业务分公司）</w:t>
      </w:r>
      <w:r>
        <w:rPr>
          <w:rFonts w:hint="eastAsia" w:ascii="宋体" w:hAnsi="宋体" w:eastAsia="宋体"/>
          <w:szCs w:val="21"/>
        </w:rPr>
        <w:t>网站上传电子投标文件；</w:t>
      </w:r>
    </w:p>
    <w:p w14:paraId="5FAE297A">
      <w:pPr>
        <w:spacing w:line="360" w:lineRule="exact"/>
        <w:ind w:firstLine="470" w:firstLineChars="196"/>
        <w:rPr>
          <w:rFonts w:ascii="宋体" w:hAnsi="宋体" w:eastAsia="宋体"/>
          <w:szCs w:val="21"/>
        </w:rPr>
      </w:pPr>
      <w:r>
        <w:rPr>
          <w:rFonts w:hint="eastAsia" w:ascii="宋体" w:hAnsi="宋体" w:eastAsia="宋体"/>
          <w:szCs w:val="21"/>
        </w:rPr>
        <w:t>3.10招标文件中的标题或题名仅起引导作用，而不应视为对招标文件内容的理解和解释。</w:t>
      </w:r>
    </w:p>
    <w:p w14:paraId="40A54EBB">
      <w:pPr>
        <w:spacing w:line="360" w:lineRule="exact"/>
        <w:outlineLvl w:val="1"/>
        <w:rPr>
          <w:rFonts w:ascii="宋体" w:hAnsi="宋体" w:eastAsia="宋体"/>
        </w:rPr>
      </w:pPr>
      <w:r>
        <w:rPr>
          <w:rFonts w:hint="eastAsia" w:ascii="宋体" w:hAnsi="宋体" w:eastAsia="宋体"/>
        </w:rPr>
        <w:t xml:space="preserve">4. </w:t>
      </w:r>
      <w:bookmarkStart w:id="60" w:name="_Hlk72398643"/>
      <w:r>
        <w:rPr>
          <w:rFonts w:hint="eastAsia" w:ascii="宋体" w:hAnsi="宋体" w:eastAsia="宋体"/>
        </w:rPr>
        <w:t>政府采购供应商责任</w:t>
      </w:r>
    </w:p>
    <w:p w14:paraId="0453FAC7">
      <w:pPr>
        <w:spacing w:line="360" w:lineRule="exact"/>
        <w:ind w:firstLine="470" w:firstLineChars="196"/>
        <w:rPr>
          <w:rFonts w:ascii="宋体" w:hAnsi="宋体" w:eastAsia="宋体"/>
          <w:szCs w:val="21"/>
        </w:rPr>
      </w:pPr>
      <w:r>
        <w:rPr>
          <w:rFonts w:hint="eastAsia" w:ascii="宋体" w:hAnsi="宋体" w:eastAsia="宋体"/>
          <w:szCs w:val="21"/>
        </w:rPr>
        <w:t>4.1欢迎诚信、有实力和有社会责任心的供应商参与政府采购事业。</w:t>
      </w:r>
    </w:p>
    <w:p w14:paraId="4546BB34">
      <w:pPr>
        <w:spacing w:line="360" w:lineRule="exact"/>
        <w:ind w:firstLine="470" w:firstLineChars="196"/>
        <w:rPr>
          <w:rFonts w:ascii="宋体" w:hAnsi="宋体" w:eastAsia="宋体"/>
          <w:szCs w:val="21"/>
        </w:rPr>
      </w:pPr>
      <w:r>
        <w:rPr>
          <w:rFonts w:hint="eastAsia" w:ascii="宋体" w:hAnsi="宋体" w:eastAsia="宋体"/>
          <w:szCs w:val="21"/>
        </w:rPr>
        <w:t>4.2投标人应当遵循公平竞争的原则，不得恶意串通，不得妨碍其他投标人的竞争行为，不得损害采购人或者其他投标人的合法权益。如违反上述要求，经核实后，供应商的投标无效。</w:t>
      </w:r>
    </w:p>
    <w:p w14:paraId="37A2D632">
      <w:pPr>
        <w:spacing w:line="360" w:lineRule="exact"/>
        <w:outlineLvl w:val="1"/>
        <w:rPr>
          <w:rFonts w:ascii="宋体" w:hAnsi="宋体" w:eastAsia="宋体"/>
        </w:rPr>
      </w:pPr>
      <w:r>
        <w:rPr>
          <w:rFonts w:hint="eastAsia" w:ascii="宋体" w:hAnsi="宋体" w:eastAsia="宋体"/>
        </w:rPr>
        <w:t>5．投标人参加政府采购的条件</w:t>
      </w:r>
    </w:p>
    <w:p w14:paraId="412AB345">
      <w:pPr>
        <w:spacing w:line="360" w:lineRule="exact"/>
        <w:ind w:firstLine="470" w:firstLineChars="196"/>
        <w:rPr>
          <w:rFonts w:ascii="宋体" w:hAnsi="宋体" w:eastAsia="宋体"/>
          <w:szCs w:val="21"/>
        </w:rPr>
      </w:pPr>
      <w:r>
        <w:rPr>
          <w:rFonts w:hint="eastAsia" w:ascii="宋体" w:hAnsi="宋体" w:eastAsia="宋体"/>
          <w:szCs w:val="21"/>
        </w:rPr>
        <w:t>5.1投标人应在投标前到</w:t>
      </w:r>
      <w:r>
        <w:rPr>
          <w:rFonts w:hint="eastAsia" w:ascii="宋体" w:hAnsi="宋体" w:eastAsia="宋体"/>
          <w:b/>
          <w:bCs/>
          <w:szCs w:val="21"/>
        </w:rPr>
        <w:t>深圳公共资源交易中心（具体在深圳交易集团有限公司政府采购业务分公司进行办理）</w:t>
      </w:r>
      <w:r>
        <w:rPr>
          <w:rFonts w:hint="eastAsia" w:ascii="宋体" w:hAnsi="宋体" w:eastAsia="宋体"/>
          <w:szCs w:val="21"/>
        </w:rPr>
        <w:t>进行注册并办理电子密钥。《</w:t>
      </w:r>
      <w:r>
        <w:fldChar w:fldCharType="begin"/>
      </w:r>
      <w:r>
        <w:instrText xml:space="preserve"> HYPERLINK "file:///C:\\Users\\xiuziwong\\Desktop\\模板\\供应商注册及信息变更指引" </w:instrText>
      </w:r>
      <w:r>
        <w:fldChar w:fldCharType="separate"/>
      </w:r>
      <w:r>
        <w:rPr>
          <w:rStyle w:val="29"/>
          <w:rFonts w:ascii="宋体" w:hAnsi="宋体" w:eastAsia="宋体"/>
          <w:szCs w:val="21"/>
        </w:rPr>
        <w:t>供应商注册及信息变更指引</w:t>
      </w:r>
      <w:r>
        <w:rPr>
          <w:rStyle w:val="29"/>
          <w:rFonts w:ascii="宋体" w:hAnsi="宋体" w:eastAsia="宋体"/>
          <w:szCs w:val="21"/>
        </w:rPr>
        <w:fldChar w:fldCharType="end"/>
      </w:r>
      <w:r>
        <w:rPr>
          <w:rFonts w:hint="eastAsia" w:ascii="宋体" w:hAnsi="宋体" w:eastAsia="宋体"/>
          <w:szCs w:val="21"/>
        </w:rPr>
        <w:t>》详见</w:t>
      </w:r>
      <w:r>
        <w:rPr>
          <w:rFonts w:hint="eastAsia" w:ascii="宋体" w:hAnsi="宋体" w:eastAsia="宋体"/>
        </w:rPr>
        <w:t>http://zfcg.szggzy.com:8081/</w:t>
      </w:r>
      <w:r>
        <w:rPr>
          <w:rFonts w:hint="eastAsia" w:ascii="宋体" w:hAnsi="宋体" w:eastAsia="宋体"/>
          <w:szCs w:val="21"/>
        </w:rPr>
        <w:t>。</w:t>
      </w:r>
    </w:p>
    <w:p w14:paraId="6E54E59A">
      <w:pPr>
        <w:spacing w:line="360" w:lineRule="exact"/>
        <w:ind w:firstLine="470" w:firstLineChars="196"/>
        <w:rPr>
          <w:rFonts w:ascii="宋体" w:hAnsi="宋体" w:eastAsia="宋体"/>
          <w:szCs w:val="21"/>
        </w:rPr>
      </w:pPr>
      <w:r>
        <w:rPr>
          <w:rFonts w:hint="eastAsia" w:ascii="宋体" w:hAnsi="宋体" w:eastAsia="宋体"/>
          <w:szCs w:val="21"/>
        </w:rPr>
        <w:t>5.2投标人资格要求</w:t>
      </w:r>
    </w:p>
    <w:p w14:paraId="7318220E">
      <w:pPr>
        <w:spacing w:line="360" w:lineRule="exact"/>
        <w:ind w:firstLine="470" w:firstLineChars="196"/>
        <w:rPr>
          <w:rFonts w:ascii="宋体" w:hAnsi="宋体" w:eastAsia="宋体"/>
          <w:szCs w:val="21"/>
        </w:rPr>
      </w:pPr>
      <w:r>
        <w:rPr>
          <w:rFonts w:hint="eastAsia" w:ascii="宋体" w:hAnsi="宋体" w:eastAsia="宋体"/>
          <w:szCs w:val="21"/>
        </w:rPr>
        <w:t>参加本项目的投标人应具备的资格条件详见本项目招标公告中 “投标人资格要求”（即申请人的资格要求）的内容。</w:t>
      </w:r>
    </w:p>
    <w:p w14:paraId="2F3963AB">
      <w:pPr>
        <w:spacing w:line="360" w:lineRule="exact"/>
        <w:ind w:firstLine="470" w:firstLineChars="196"/>
        <w:rPr>
          <w:rFonts w:ascii="宋体" w:hAnsi="宋体" w:eastAsia="宋体"/>
          <w:szCs w:val="21"/>
        </w:rPr>
      </w:pPr>
      <w:r>
        <w:rPr>
          <w:rFonts w:hint="eastAsia" w:ascii="宋体" w:hAnsi="宋体" w:eastAsia="宋体"/>
          <w:szCs w:val="21"/>
        </w:rPr>
        <w:t>5.3联合体投标</w:t>
      </w:r>
    </w:p>
    <w:p w14:paraId="51AF5A7E">
      <w:pPr>
        <w:spacing w:line="360" w:lineRule="exact"/>
        <w:ind w:firstLine="470" w:firstLineChars="196"/>
        <w:rPr>
          <w:rFonts w:ascii="宋体" w:hAnsi="宋体" w:eastAsia="宋体"/>
          <w:szCs w:val="21"/>
        </w:rPr>
      </w:pPr>
      <w:r>
        <w:rPr>
          <w:rFonts w:hint="eastAsia" w:ascii="宋体" w:hAnsi="宋体" w:eastAsia="宋体"/>
          <w:szCs w:val="21"/>
        </w:rPr>
        <w:t>5.3.1　以下有关联合体投标的条款仅适用于允许投标人组成联合体投标的项目。</w:t>
      </w:r>
    </w:p>
    <w:p w14:paraId="17AC8EBE">
      <w:pPr>
        <w:spacing w:line="360" w:lineRule="exact"/>
        <w:ind w:firstLine="470" w:firstLineChars="196"/>
        <w:rPr>
          <w:rFonts w:ascii="宋体" w:hAnsi="宋体" w:eastAsia="宋体"/>
          <w:szCs w:val="21"/>
        </w:rPr>
      </w:pPr>
      <w:r>
        <w:rPr>
          <w:rFonts w:hint="eastAsia" w:ascii="宋体" w:hAnsi="宋体" w:eastAsia="宋体"/>
          <w:szCs w:val="21"/>
        </w:rPr>
        <w:t>5.3.2  由两个或两个以上的自然人、法人或者其他组织可以组成一个联合体，以一个供应商的身份共同投标时，应符合以下原则：</w:t>
      </w:r>
    </w:p>
    <w:p w14:paraId="3F64622E">
      <w:pPr>
        <w:spacing w:line="360" w:lineRule="exact"/>
        <w:ind w:firstLine="470" w:firstLineChars="196"/>
        <w:rPr>
          <w:rFonts w:ascii="宋体" w:hAnsi="宋体" w:eastAsia="宋体"/>
        </w:rPr>
      </w:pPr>
      <w:r>
        <w:rPr>
          <w:rFonts w:hint="eastAsia" w:ascii="宋体" w:hAnsi="宋体" w:eastAsia="宋体"/>
        </w:rPr>
        <w:t>（1）投标联合体各方参加政府采购活动应当具备下列条件：</w:t>
      </w:r>
    </w:p>
    <w:p w14:paraId="1B395F96">
      <w:pPr>
        <w:spacing w:line="360" w:lineRule="exact"/>
        <w:ind w:firstLine="470" w:firstLineChars="196"/>
        <w:rPr>
          <w:rFonts w:ascii="宋体" w:hAnsi="宋体" w:eastAsia="宋体"/>
        </w:rPr>
      </w:pPr>
      <w:r>
        <w:rPr>
          <w:rFonts w:hint="eastAsia" w:ascii="宋体" w:hAnsi="宋体" w:eastAsia="宋体"/>
        </w:rPr>
        <w:t>1、具有独立承担民事责任的能力；</w:t>
      </w:r>
    </w:p>
    <w:p w14:paraId="4F7A5849">
      <w:pPr>
        <w:spacing w:line="360" w:lineRule="exact"/>
        <w:ind w:firstLine="470" w:firstLineChars="196"/>
        <w:rPr>
          <w:rFonts w:ascii="宋体" w:hAnsi="宋体" w:eastAsia="宋体"/>
        </w:rPr>
      </w:pPr>
      <w:r>
        <w:rPr>
          <w:rFonts w:hint="eastAsia" w:ascii="宋体" w:hAnsi="宋体" w:eastAsia="宋体"/>
        </w:rPr>
        <w:t>2、有良好的商业信誉和健全的财务会计制度；</w:t>
      </w:r>
    </w:p>
    <w:p w14:paraId="74DA8B8B">
      <w:pPr>
        <w:spacing w:line="360" w:lineRule="exact"/>
        <w:ind w:firstLine="470" w:firstLineChars="196"/>
        <w:rPr>
          <w:rFonts w:ascii="宋体" w:hAnsi="宋体" w:eastAsia="宋体"/>
        </w:rPr>
      </w:pPr>
      <w:r>
        <w:rPr>
          <w:rFonts w:hint="eastAsia" w:ascii="宋体" w:hAnsi="宋体" w:eastAsia="宋体"/>
        </w:rPr>
        <w:t>3、具有履行合同所必需的设备和专业技术能力；</w:t>
      </w:r>
    </w:p>
    <w:p w14:paraId="7D80049A">
      <w:pPr>
        <w:spacing w:line="360" w:lineRule="exact"/>
        <w:ind w:firstLine="470" w:firstLineChars="196"/>
        <w:rPr>
          <w:rFonts w:ascii="宋体" w:hAnsi="宋体" w:eastAsia="宋体"/>
        </w:rPr>
      </w:pPr>
      <w:r>
        <w:rPr>
          <w:rFonts w:hint="eastAsia" w:ascii="宋体" w:hAnsi="宋体" w:eastAsia="宋体"/>
        </w:rPr>
        <w:t>4、有依法缴纳税收和社会保障资金的良好记录；</w:t>
      </w:r>
    </w:p>
    <w:p w14:paraId="2C60CA87">
      <w:pPr>
        <w:spacing w:line="360" w:lineRule="exact"/>
        <w:ind w:firstLine="470" w:firstLineChars="196"/>
        <w:rPr>
          <w:rFonts w:ascii="宋体" w:hAnsi="宋体" w:eastAsia="宋体"/>
        </w:rPr>
      </w:pPr>
      <w:r>
        <w:rPr>
          <w:rFonts w:hint="eastAsia" w:ascii="宋体" w:hAnsi="宋体" w:eastAsia="宋体"/>
        </w:rPr>
        <w:t>5、参加政府采购活动前三年内，在经营活动中没有重大违法记录；</w:t>
      </w:r>
    </w:p>
    <w:p w14:paraId="7B2DC69A">
      <w:pPr>
        <w:spacing w:line="360" w:lineRule="exact"/>
        <w:ind w:firstLine="470" w:firstLineChars="196"/>
        <w:rPr>
          <w:rFonts w:ascii="宋体" w:hAnsi="宋体" w:eastAsia="宋体"/>
        </w:rPr>
      </w:pPr>
      <w:r>
        <w:rPr>
          <w:rFonts w:hint="eastAsia" w:ascii="宋体" w:hAnsi="宋体" w:eastAsia="宋体"/>
        </w:rPr>
        <w:t>6、法律、行政法规规定的其他条件。</w:t>
      </w:r>
    </w:p>
    <w:p w14:paraId="7D057F67">
      <w:pPr>
        <w:spacing w:line="360" w:lineRule="exact"/>
        <w:ind w:firstLine="470" w:firstLineChars="196"/>
        <w:rPr>
          <w:rFonts w:ascii="宋体" w:hAnsi="宋体" w:eastAsia="宋体"/>
        </w:rPr>
      </w:pPr>
      <w:r>
        <w:rPr>
          <w:rFonts w:hint="eastAsia" w:ascii="宋体" w:hAnsi="宋体" w:eastAsia="宋体"/>
        </w:rPr>
        <w:t>（2）在投标截止前，投标联合体各方均应注册成政府采购机构供应商；</w:t>
      </w:r>
    </w:p>
    <w:p w14:paraId="47E0D72A">
      <w:pPr>
        <w:spacing w:line="360" w:lineRule="exact"/>
        <w:ind w:firstLine="470" w:firstLineChars="196"/>
        <w:rPr>
          <w:rFonts w:ascii="宋体" w:hAnsi="宋体" w:eastAsia="宋体"/>
        </w:rPr>
      </w:pPr>
      <w:r>
        <w:rPr>
          <w:rFonts w:hint="eastAsia" w:ascii="宋体" w:hAnsi="宋体" w:eastAsia="宋体"/>
        </w:rPr>
        <w:t>（3）联合体中有同类资质的供应商按照联合体分工承担相同工作的，应当按照资质等级较低的供应商确定资质等级；</w:t>
      </w:r>
    </w:p>
    <w:p w14:paraId="199CF56D">
      <w:pPr>
        <w:spacing w:line="360" w:lineRule="exact"/>
        <w:ind w:firstLine="470" w:firstLineChars="196"/>
        <w:rPr>
          <w:rFonts w:ascii="宋体" w:hAnsi="宋体" w:eastAsia="宋体"/>
        </w:rPr>
      </w:pPr>
      <w:r>
        <w:rPr>
          <w:rFonts w:hint="eastAsia" w:ascii="宋体" w:hAnsi="宋体" w:eastAsia="宋体"/>
        </w:rPr>
        <w:t>（4）是否允许联合体参加投标，应当由采购人和采购代理机构根据项目的实际情况和潜在供应商的数量自主决定，如果决定接受联合体投标则应当在招标公告中明示；</w:t>
      </w:r>
    </w:p>
    <w:p w14:paraId="239384A2">
      <w:pPr>
        <w:spacing w:line="360" w:lineRule="exact"/>
        <w:ind w:firstLine="470" w:firstLineChars="196"/>
        <w:rPr>
          <w:rFonts w:ascii="宋体" w:hAnsi="宋体" w:eastAsia="宋体"/>
        </w:rPr>
      </w:pPr>
      <w:r>
        <w:rPr>
          <w:rFonts w:hint="eastAsia" w:ascii="宋体" w:hAnsi="宋体" w:eastAsia="宋体"/>
        </w:rPr>
        <w:t>（5）投标人的投标文件及中标后签署的合同协议对联合体各方均具法律约束力；</w:t>
      </w:r>
    </w:p>
    <w:p w14:paraId="4659EA55">
      <w:pPr>
        <w:spacing w:line="360" w:lineRule="exact"/>
        <w:ind w:firstLine="470" w:firstLineChars="196"/>
        <w:rPr>
          <w:rFonts w:ascii="宋体" w:hAnsi="宋体" w:eastAsia="宋体"/>
        </w:rPr>
      </w:pPr>
      <w:r>
        <w:rPr>
          <w:rFonts w:hint="eastAsia" w:ascii="宋体" w:hAnsi="宋体" w:eastAsia="宋体"/>
        </w:rPr>
        <w:t>（6）联合体各方应当签订联合体投标协议，明确约定各方拟承担的工作和责任，并将该协议随投标文件一并递交给政府采购机构；</w:t>
      </w:r>
    </w:p>
    <w:p w14:paraId="5EBC8A04">
      <w:pPr>
        <w:spacing w:line="360" w:lineRule="exact"/>
        <w:ind w:firstLine="470" w:firstLineChars="196"/>
        <w:rPr>
          <w:rFonts w:ascii="宋体" w:hAnsi="宋体" w:eastAsia="宋体"/>
        </w:rPr>
      </w:pPr>
      <w:r>
        <w:rPr>
          <w:rFonts w:hint="eastAsia" w:ascii="宋体" w:hAnsi="宋体" w:eastAsia="宋体"/>
        </w:rPr>
        <w:t>（7）联合体中标后，联合体各方应当共同与采购人签订合同，就中标项目向采购人承担连带责任；</w:t>
      </w:r>
    </w:p>
    <w:p w14:paraId="1486337A">
      <w:pPr>
        <w:spacing w:line="360" w:lineRule="exact"/>
        <w:ind w:firstLine="470" w:firstLineChars="196"/>
        <w:rPr>
          <w:rFonts w:ascii="宋体" w:hAnsi="宋体" w:eastAsia="宋体"/>
        </w:rPr>
      </w:pPr>
      <w:r>
        <w:rPr>
          <w:rFonts w:hint="eastAsia" w:ascii="宋体" w:hAnsi="宋体" w:eastAsia="宋体"/>
        </w:rPr>
        <w:t>（8）以联合体形式参加政府采购活动的，联合体各方不得再单独参加或者与其他供应商另外组成联合体参加同一合同项下的政府采购活动，出现上述情况者，其投标和与此有关联合体、总包单位的投标将被拒绝；</w:t>
      </w:r>
    </w:p>
    <w:p w14:paraId="75E2AEBE">
      <w:pPr>
        <w:spacing w:line="360" w:lineRule="exact"/>
        <w:ind w:firstLine="470" w:firstLineChars="196"/>
        <w:rPr>
          <w:rFonts w:ascii="宋体" w:hAnsi="宋体" w:eastAsia="宋体"/>
          <w:szCs w:val="21"/>
        </w:rPr>
      </w:pPr>
      <w:r>
        <w:rPr>
          <w:rFonts w:hint="eastAsia" w:ascii="宋体" w:hAnsi="宋体" w:eastAsia="宋体"/>
        </w:rPr>
        <w:t>（9）本通用条款中“投标人”一词亦指联合体各方，专用条款另有规定或说明的除外。</w:t>
      </w:r>
    </w:p>
    <w:p w14:paraId="51308961">
      <w:pPr>
        <w:spacing w:line="360" w:lineRule="exact"/>
        <w:outlineLvl w:val="1"/>
        <w:rPr>
          <w:rFonts w:ascii="宋体" w:hAnsi="宋体" w:eastAsia="宋体"/>
        </w:rPr>
      </w:pPr>
      <w:r>
        <w:rPr>
          <w:rFonts w:hint="eastAsia" w:ascii="宋体" w:hAnsi="宋体" w:eastAsia="宋体"/>
        </w:rPr>
        <w:t>6．政策导向</w:t>
      </w:r>
    </w:p>
    <w:p w14:paraId="3B7E054E">
      <w:pPr>
        <w:spacing w:line="360" w:lineRule="exact"/>
        <w:ind w:firstLine="470" w:firstLineChars="196"/>
        <w:rPr>
          <w:rFonts w:ascii="宋体" w:hAnsi="宋体" w:eastAsia="宋体"/>
        </w:rPr>
      </w:pPr>
      <w:r>
        <w:rPr>
          <w:rFonts w:hint="eastAsia" w:ascii="宋体" w:hAnsi="宋体" w:eastAsia="宋体"/>
        </w:rPr>
        <w:t>6.1政府采购扶持贫困地区、中小企业、监狱企业和残疾人福利性单位发展，支持节能减排、环境保护。</w:t>
      </w:r>
    </w:p>
    <w:p w14:paraId="0D3C91C0">
      <w:pPr>
        <w:spacing w:line="360" w:lineRule="exact"/>
        <w:ind w:firstLine="405"/>
        <w:rPr>
          <w:rFonts w:ascii="宋体" w:hAnsi="宋体" w:eastAsia="宋体"/>
          <w:shd w:val="clear" w:color="auto" w:fill="FFFFFF"/>
        </w:rPr>
      </w:pPr>
      <w:r>
        <w:rPr>
          <w:rFonts w:hint="eastAsia" w:ascii="宋体" w:hAnsi="宋体" w:eastAsia="宋体"/>
        </w:rPr>
        <w:t>6.2本项目落实深圳市政府采购供应商诚信管理政策要求。</w:t>
      </w:r>
    </w:p>
    <w:p w14:paraId="60A8FB44">
      <w:pPr>
        <w:spacing w:line="360" w:lineRule="exact"/>
        <w:outlineLvl w:val="1"/>
        <w:rPr>
          <w:rFonts w:ascii="宋体" w:hAnsi="宋体" w:eastAsia="宋体"/>
        </w:rPr>
      </w:pPr>
      <w:r>
        <w:rPr>
          <w:rFonts w:hint="eastAsia" w:ascii="宋体" w:hAnsi="宋体" w:eastAsia="宋体"/>
        </w:rPr>
        <w:t>7. 本项目若涉及采购货物，则合格的货物及相应服务应满足以下要求：</w:t>
      </w:r>
    </w:p>
    <w:p w14:paraId="41EF7A4E">
      <w:pPr>
        <w:spacing w:line="360" w:lineRule="exact"/>
        <w:ind w:firstLine="470" w:firstLineChars="196"/>
        <w:rPr>
          <w:rFonts w:ascii="宋体" w:hAnsi="宋体" w:eastAsia="宋体"/>
        </w:rPr>
      </w:pPr>
      <w:r>
        <w:rPr>
          <w:rFonts w:hint="eastAsia" w:ascii="宋体" w:hAnsi="宋体" w:eastAsia="宋体"/>
        </w:rPr>
        <w:t>7</w:t>
      </w:r>
      <w:r>
        <w:rPr>
          <w:rFonts w:ascii="宋体" w:hAnsi="宋体" w:eastAsia="宋体"/>
        </w:rPr>
        <w:t xml:space="preserve">.1  </w:t>
      </w:r>
      <w:r>
        <w:rPr>
          <w:rFonts w:hint="eastAsia" w:ascii="宋体" w:hAnsi="宋体" w:eastAsia="宋体"/>
        </w:rPr>
        <w:t>必须是全新、未使用过的原装合格正品（包括零部件），如安装或配置了软件的，须为正版软件。</w:t>
      </w:r>
    </w:p>
    <w:p w14:paraId="34934D29">
      <w:pPr>
        <w:spacing w:line="360" w:lineRule="exact"/>
        <w:ind w:firstLine="470" w:firstLineChars="196"/>
        <w:rPr>
          <w:rFonts w:ascii="宋体" w:hAnsi="宋体" w:eastAsia="宋体"/>
        </w:rPr>
      </w:pPr>
      <w:r>
        <w:rPr>
          <w:rFonts w:hint="eastAsia" w:ascii="宋体" w:hAnsi="宋体" w:eastAsia="宋体"/>
        </w:rPr>
        <w:t>7.2  国产的货物及其有关服务必须符合中华人民共和国的设计、制造生产标准及行业标准。招标公告有其他要求的，亦应符合其要求。</w:t>
      </w:r>
    </w:p>
    <w:p w14:paraId="1CFC5D88">
      <w:pPr>
        <w:spacing w:line="360" w:lineRule="exact"/>
        <w:ind w:firstLine="470" w:firstLineChars="196"/>
        <w:rPr>
          <w:rFonts w:ascii="宋体" w:hAnsi="宋体" w:eastAsia="宋体"/>
        </w:rPr>
      </w:pPr>
      <w:r>
        <w:rPr>
          <w:rFonts w:hint="eastAsia" w:ascii="宋体" w:hAnsi="宋体" w:eastAsia="宋体"/>
        </w:rPr>
        <w:t>7</w:t>
      </w:r>
      <w:r>
        <w:rPr>
          <w:rFonts w:ascii="宋体" w:hAnsi="宋体" w:eastAsia="宋体"/>
        </w:rPr>
        <w:t>.</w:t>
      </w:r>
      <w:r>
        <w:rPr>
          <w:rFonts w:hint="eastAsia" w:ascii="宋体" w:hAnsi="宋体" w:eastAsia="宋体"/>
        </w:rPr>
        <w:t>3进口货物及其有关服务必须符合原产地和中华人民共和国的设计、制造生产标准及行业标准。进口的货物必须具有合法的进口手续和途径，并通过中华人民共和国商检部门检验。招标公告有其他要求的，亦应符合其要求。</w:t>
      </w:r>
    </w:p>
    <w:p w14:paraId="210B720D">
      <w:pPr>
        <w:spacing w:line="360" w:lineRule="exact"/>
        <w:ind w:firstLine="470" w:firstLineChars="196"/>
        <w:rPr>
          <w:rFonts w:ascii="宋体" w:hAnsi="宋体" w:eastAsia="宋体"/>
        </w:rPr>
      </w:pPr>
      <w:r>
        <w:rPr>
          <w:rFonts w:hint="eastAsia" w:ascii="宋体" w:hAnsi="宋体" w:eastAsia="宋体"/>
        </w:rPr>
        <w:t>7</w:t>
      </w:r>
      <w:r>
        <w:rPr>
          <w:rFonts w:ascii="宋体" w:hAnsi="宋体" w:eastAsia="宋体"/>
        </w:rPr>
        <w:t>.</w:t>
      </w:r>
      <w:r>
        <w:rPr>
          <w:rFonts w:hint="eastAsia" w:ascii="宋体" w:hAnsi="宋体" w:eastAsia="宋体"/>
        </w:rPr>
        <w:t>4投标人</w:t>
      </w:r>
      <w:bookmarkStart w:id="61" w:name="_Hlk72152753"/>
      <w:r>
        <w:rPr>
          <w:rFonts w:hint="eastAsia" w:ascii="宋体" w:hAnsi="宋体" w:eastAsia="宋体"/>
        </w:rPr>
        <w:t>应保证，其所提供的货物通过合法正规渠道供货，在提供给采购人前具有完全的所有权，采购人在中华人民共和国使用该货物或货物的任何一部分时，不会产生因第三方提出的包括但不限于侵犯其专利权、商标权、工业设计权等知识产权和侵犯其所有权、抵押权等物权及其他权利而引发的纠纷。如有纠纷，投标人应承担全部责任。</w:t>
      </w:r>
      <w:bookmarkEnd w:id="61"/>
    </w:p>
    <w:p w14:paraId="3531B23E">
      <w:pPr>
        <w:spacing w:line="360" w:lineRule="exact"/>
        <w:ind w:firstLine="470" w:firstLineChars="196"/>
        <w:rPr>
          <w:rFonts w:ascii="宋体" w:hAnsi="宋体" w:eastAsia="宋体"/>
        </w:rPr>
      </w:pPr>
      <w:r>
        <w:rPr>
          <w:rFonts w:hint="eastAsia" w:ascii="宋体" w:hAnsi="宋体" w:eastAsia="宋体"/>
        </w:rPr>
        <w:t>7.5  投标人应保证，其所提供的货物符合国家强制性标准要求；符合相关行业标准（如具备行政主管部门颁发的资质证书或国家质量监督部门的产品《检验报告》等）。设备到货验收时，还必须提供设备的产品合格证、质量保证文件。若中标后，除非另有约定，投标人必须按合同规定完成设备的安装，并达到验收标准。</w:t>
      </w:r>
    </w:p>
    <w:p w14:paraId="6B823711">
      <w:pPr>
        <w:spacing w:line="360" w:lineRule="exact"/>
        <w:ind w:firstLine="470" w:firstLineChars="196"/>
        <w:rPr>
          <w:rFonts w:ascii="宋体" w:hAnsi="宋体" w:eastAsia="宋体"/>
        </w:rPr>
      </w:pPr>
      <w:r>
        <w:rPr>
          <w:rFonts w:hint="eastAsia" w:ascii="宋体" w:hAnsi="宋体" w:eastAsia="宋体"/>
        </w:rPr>
        <w:t>7.6  工期要求：投标人在投标时对其所投项目应提交交货进度、交货计划等，在合同规定的时间内完成项目实施工作。</w:t>
      </w:r>
    </w:p>
    <w:p w14:paraId="1D27AFBA">
      <w:pPr>
        <w:spacing w:line="360" w:lineRule="exact"/>
        <w:ind w:firstLine="470" w:firstLineChars="196"/>
        <w:rPr>
          <w:rFonts w:ascii="宋体" w:hAnsi="宋体" w:eastAsia="宋体"/>
        </w:rPr>
      </w:pPr>
      <w:r>
        <w:rPr>
          <w:rFonts w:hint="eastAsia" w:ascii="宋体" w:hAnsi="宋体" w:eastAsia="宋体"/>
        </w:rPr>
        <w:t>7.7  投标人必须承担的设备运输、安装调试、验收检测和提供设备操作说明书、图纸等其他相关及类似的义务。</w:t>
      </w:r>
    </w:p>
    <w:p w14:paraId="144D29B9">
      <w:pPr>
        <w:spacing w:line="360" w:lineRule="exact"/>
        <w:outlineLvl w:val="1"/>
        <w:rPr>
          <w:rFonts w:ascii="宋体" w:hAnsi="宋体" w:eastAsia="宋体"/>
        </w:rPr>
      </w:pPr>
      <w:r>
        <w:rPr>
          <w:rFonts w:hint="eastAsia" w:ascii="宋体" w:hAnsi="宋体" w:eastAsia="宋体"/>
        </w:rPr>
        <w:t>8．投标费用</w:t>
      </w:r>
    </w:p>
    <w:p w14:paraId="23490756">
      <w:pPr>
        <w:spacing w:line="360" w:lineRule="exact"/>
        <w:ind w:firstLine="470" w:firstLineChars="196"/>
        <w:rPr>
          <w:rFonts w:ascii="宋体" w:hAnsi="宋体" w:eastAsia="宋体"/>
          <w:szCs w:val="21"/>
        </w:rPr>
      </w:pPr>
      <w:r>
        <w:rPr>
          <w:rFonts w:hint="eastAsia" w:ascii="宋体" w:hAnsi="宋体" w:eastAsia="宋体"/>
          <w:szCs w:val="21"/>
        </w:rPr>
        <w:t>不论投标结果如何，投标人应承担其编制投标文件与递交投标文件所涉及的一切费用。</w:t>
      </w:r>
    </w:p>
    <w:p w14:paraId="4832C4F8">
      <w:pPr>
        <w:spacing w:line="360" w:lineRule="exact"/>
        <w:outlineLvl w:val="1"/>
        <w:rPr>
          <w:rFonts w:ascii="宋体" w:hAnsi="宋体" w:eastAsia="宋体"/>
        </w:rPr>
      </w:pPr>
      <w:r>
        <w:rPr>
          <w:rFonts w:hint="eastAsia" w:ascii="宋体" w:hAnsi="宋体" w:eastAsia="宋体"/>
        </w:rPr>
        <w:t>9．踏勘现场</w:t>
      </w:r>
    </w:p>
    <w:p w14:paraId="4215533D">
      <w:pPr>
        <w:spacing w:line="360" w:lineRule="exact"/>
        <w:ind w:firstLine="470" w:firstLineChars="196"/>
        <w:rPr>
          <w:rFonts w:ascii="宋体" w:hAnsi="宋体" w:eastAsia="宋体"/>
          <w:szCs w:val="21"/>
        </w:rPr>
      </w:pPr>
      <w:r>
        <w:rPr>
          <w:rFonts w:hint="eastAsia" w:ascii="宋体" w:hAnsi="宋体" w:eastAsia="宋体"/>
          <w:szCs w:val="21"/>
        </w:rPr>
        <w:t>9.1如有需要（详见专用条款），采购人或政府采购机构将组织投标人对项目现场及周围环境进行踏勘，以便投标人获取有关编制投标文件和签署合同所需的资料。踏勘现场所发生的费用由投标人自行承担。投标人应按招标文件所约定的时间、地点踏勘现场。</w:t>
      </w:r>
    </w:p>
    <w:p w14:paraId="70417C68">
      <w:pPr>
        <w:spacing w:line="360" w:lineRule="exact"/>
        <w:ind w:firstLine="470" w:firstLineChars="196"/>
        <w:rPr>
          <w:rFonts w:ascii="宋体" w:hAnsi="宋体" w:eastAsia="宋体"/>
        </w:rPr>
      </w:pPr>
      <w:r>
        <w:rPr>
          <w:rFonts w:hint="eastAsia" w:ascii="宋体" w:hAnsi="宋体" w:eastAsia="宋体"/>
        </w:rPr>
        <w:t>9.2投标人及其人员经过采购人的允许，可以进入采购人的项目现场踏勘。若招标文件要求投标人于统一时间地点踏勘现场的，投标人应当按时前往。</w:t>
      </w:r>
    </w:p>
    <w:p w14:paraId="6C828AA9">
      <w:pPr>
        <w:spacing w:line="360" w:lineRule="exact"/>
        <w:ind w:firstLine="470" w:firstLineChars="196"/>
        <w:rPr>
          <w:rFonts w:ascii="宋体" w:hAnsi="宋体" w:eastAsia="宋体"/>
        </w:rPr>
      </w:pPr>
      <w:r>
        <w:rPr>
          <w:rFonts w:hint="eastAsia" w:ascii="宋体" w:hAnsi="宋体" w:eastAsia="宋体"/>
        </w:rPr>
        <w:t>9.3采购人应当通过政府采购机构向投标人提供有关现场的书面资料和数据。</w:t>
      </w:r>
    </w:p>
    <w:p w14:paraId="6C729353">
      <w:pPr>
        <w:spacing w:line="360" w:lineRule="exact"/>
        <w:ind w:firstLine="470" w:firstLineChars="196"/>
        <w:rPr>
          <w:rFonts w:ascii="宋体" w:hAnsi="宋体" w:eastAsia="宋体"/>
        </w:rPr>
      </w:pPr>
      <w:r>
        <w:rPr>
          <w:rFonts w:hint="eastAsia" w:ascii="宋体" w:hAnsi="宋体" w:eastAsia="宋体"/>
        </w:rPr>
        <w:t>9.4任何人或任何组织在踏勘现场时向投标人提供的任何书面资料或口头承诺，未经政府采购机构在网上发布或书面通知，均作无效处理。</w:t>
      </w:r>
    </w:p>
    <w:p w14:paraId="63D4DC3E">
      <w:pPr>
        <w:spacing w:line="360" w:lineRule="exact"/>
        <w:ind w:firstLine="470" w:firstLineChars="196"/>
        <w:rPr>
          <w:rFonts w:ascii="宋体" w:hAnsi="宋体" w:eastAsia="宋体"/>
        </w:rPr>
      </w:pPr>
      <w:r>
        <w:rPr>
          <w:rFonts w:ascii="宋体" w:hAnsi="宋体" w:eastAsia="宋体"/>
          <w:szCs w:val="21"/>
        </w:rPr>
        <w:t>9</w:t>
      </w:r>
      <w:r>
        <w:rPr>
          <w:rFonts w:hint="eastAsia" w:ascii="宋体" w:hAnsi="宋体" w:eastAsia="宋体"/>
          <w:szCs w:val="21"/>
        </w:rPr>
        <w:t>.</w:t>
      </w:r>
      <w:r>
        <w:rPr>
          <w:rFonts w:ascii="宋体" w:hAnsi="宋体" w:eastAsia="宋体"/>
          <w:szCs w:val="21"/>
        </w:rPr>
        <w:t>5</w:t>
      </w:r>
      <w:r>
        <w:rPr>
          <w:rFonts w:hint="eastAsia" w:ascii="宋体" w:hAnsi="宋体" w:eastAsia="宋体"/>
          <w:szCs w:val="21"/>
        </w:rPr>
        <w:t>未参与踏勘现场不作为否定投标人资格的理由。</w:t>
      </w:r>
    </w:p>
    <w:p w14:paraId="52ABDE17">
      <w:pPr>
        <w:spacing w:line="360" w:lineRule="exact"/>
        <w:outlineLvl w:val="1"/>
        <w:rPr>
          <w:rFonts w:ascii="宋体" w:hAnsi="宋体" w:eastAsia="宋体"/>
          <w:szCs w:val="21"/>
        </w:rPr>
      </w:pPr>
      <w:r>
        <w:rPr>
          <w:rFonts w:hint="eastAsia" w:ascii="宋体" w:hAnsi="宋体" w:eastAsia="宋体"/>
        </w:rPr>
        <w:t>1</w:t>
      </w:r>
      <w:r>
        <w:rPr>
          <w:rFonts w:ascii="宋体" w:hAnsi="宋体" w:eastAsia="宋体"/>
        </w:rPr>
        <w:t>0</w:t>
      </w:r>
      <w:r>
        <w:rPr>
          <w:rFonts w:hint="eastAsia" w:ascii="宋体" w:hAnsi="宋体" w:eastAsia="宋体"/>
        </w:rPr>
        <w:t>．标前会议</w:t>
      </w:r>
    </w:p>
    <w:p w14:paraId="770B3367">
      <w:pPr>
        <w:spacing w:line="360" w:lineRule="exact"/>
        <w:ind w:firstLine="470" w:firstLineChars="196"/>
        <w:rPr>
          <w:rFonts w:ascii="宋体" w:hAnsi="宋体" w:eastAsia="宋体"/>
          <w:szCs w:val="21"/>
        </w:rPr>
      </w:pPr>
      <w:r>
        <w:rPr>
          <w:rFonts w:hint="eastAsia" w:ascii="宋体" w:hAnsi="宋体" w:eastAsia="宋体"/>
          <w:szCs w:val="21"/>
        </w:rPr>
        <w:t>1</w:t>
      </w:r>
      <w:r>
        <w:rPr>
          <w:rFonts w:ascii="宋体" w:hAnsi="宋体" w:eastAsia="宋体"/>
          <w:szCs w:val="21"/>
        </w:rPr>
        <w:t>0</w:t>
      </w:r>
      <w:r>
        <w:rPr>
          <w:rFonts w:hint="eastAsia" w:ascii="宋体" w:hAnsi="宋体" w:eastAsia="宋体"/>
          <w:szCs w:val="21"/>
        </w:rPr>
        <w:t>.</w:t>
      </w:r>
      <w:r>
        <w:rPr>
          <w:rFonts w:ascii="宋体" w:hAnsi="宋体" w:eastAsia="宋体"/>
          <w:szCs w:val="21"/>
        </w:rPr>
        <w:t>1</w:t>
      </w:r>
      <w:r>
        <w:rPr>
          <w:rFonts w:hint="eastAsia" w:ascii="宋体" w:hAnsi="宋体" w:eastAsia="宋体"/>
          <w:szCs w:val="21"/>
        </w:rPr>
        <w:t>如采购人或政府采购机构认为有必要组织标前会议，投标人应按照招标文件规定的时间或政府采购机构另行书面通知（包括政府采购机构网站发布方式，如更正公告等）的时间和地点，参与标前会议。</w:t>
      </w:r>
    </w:p>
    <w:p w14:paraId="4865D800">
      <w:pPr>
        <w:spacing w:line="360" w:lineRule="exact"/>
        <w:ind w:firstLine="470" w:firstLineChars="196"/>
        <w:rPr>
          <w:rFonts w:ascii="宋体" w:hAnsi="宋体" w:eastAsia="宋体"/>
          <w:szCs w:val="21"/>
        </w:rPr>
      </w:pPr>
      <w:r>
        <w:rPr>
          <w:rFonts w:ascii="宋体" w:hAnsi="宋体" w:eastAsia="宋体"/>
        </w:rPr>
        <w:t>10</w:t>
      </w:r>
      <w:r>
        <w:rPr>
          <w:rFonts w:hint="eastAsia" w:ascii="宋体" w:hAnsi="宋体" w:eastAsia="宋体"/>
        </w:rPr>
        <w:t>.</w:t>
      </w:r>
      <w:r>
        <w:rPr>
          <w:rFonts w:ascii="宋体" w:hAnsi="宋体" w:eastAsia="宋体"/>
        </w:rPr>
        <w:t>2</w:t>
      </w:r>
      <w:r>
        <w:rPr>
          <w:rFonts w:hint="eastAsia" w:ascii="宋体" w:hAnsi="宋体" w:eastAsia="宋体"/>
        </w:rPr>
        <w:t>任何人或任何组织在标前会议时向投标人提供的任何书面资料或口头承诺，未经政府采购机构在网上发布或书面通知，均作无效处理。</w:t>
      </w:r>
    </w:p>
    <w:p w14:paraId="61E1D447">
      <w:pPr>
        <w:spacing w:line="360" w:lineRule="exact"/>
        <w:ind w:firstLine="470" w:firstLineChars="196"/>
        <w:rPr>
          <w:rFonts w:ascii="宋体" w:hAnsi="宋体" w:eastAsia="宋体"/>
          <w:szCs w:val="21"/>
        </w:rPr>
      </w:pPr>
      <w:r>
        <w:rPr>
          <w:rFonts w:hint="eastAsia" w:ascii="宋体" w:hAnsi="宋体" w:eastAsia="宋体"/>
          <w:szCs w:val="21"/>
        </w:rPr>
        <w:t>1</w:t>
      </w:r>
      <w:r>
        <w:rPr>
          <w:rFonts w:ascii="宋体" w:hAnsi="宋体" w:eastAsia="宋体"/>
          <w:szCs w:val="21"/>
        </w:rPr>
        <w:t>0</w:t>
      </w:r>
      <w:r>
        <w:rPr>
          <w:rFonts w:hint="eastAsia" w:ascii="宋体" w:hAnsi="宋体" w:eastAsia="宋体"/>
          <w:szCs w:val="21"/>
        </w:rPr>
        <w:t>.</w:t>
      </w:r>
      <w:r>
        <w:rPr>
          <w:rFonts w:ascii="宋体" w:hAnsi="宋体" w:eastAsia="宋体"/>
          <w:szCs w:val="21"/>
        </w:rPr>
        <w:t>3</w:t>
      </w:r>
      <w:r>
        <w:rPr>
          <w:rFonts w:hint="eastAsia" w:ascii="宋体" w:hAnsi="宋体" w:eastAsia="宋体"/>
          <w:szCs w:val="21"/>
        </w:rPr>
        <w:t>未参与标前会议不作为否定投标人资格的理由。</w:t>
      </w:r>
    </w:p>
    <w:bookmarkEnd w:id="60"/>
    <w:p w14:paraId="4BE06455">
      <w:pPr>
        <w:pStyle w:val="5"/>
        <w:keepNext/>
        <w:keepLines/>
        <w:widowControl w:val="0"/>
        <w:numPr>
          <w:ilvl w:val="0"/>
          <w:numId w:val="10"/>
        </w:numPr>
        <w:spacing w:line="360" w:lineRule="exact"/>
        <w:ind w:left="0" w:hanging="562"/>
        <w:rPr>
          <w:rFonts w:eastAsia="宋体"/>
          <w:sz w:val="28"/>
          <w:szCs w:val="28"/>
        </w:rPr>
      </w:pPr>
      <w:r>
        <w:rPr>
          <w:rFonts w:hint="eastAsia" w:eastAsia="宋体"/>
          <w:sz w:val="28"/>
          <w:szCs w:val="28"/>
        </w:rPr>
        <w:t>招标文件</w:t>
      </w:r>
    </w:p>
    <w:p w14:paraId="09B13DB8">
      <w:pPr>
        <w:spacing w:line="360" w:lineRule="exact"/>
        <w:rPr>
          <w:rFonts w:ascii="宋体" w:hAnsi="宋体" w:eastAsia="宋体"/>
        </w:rPr>
      </w:pPr>
      <w:r>
        <w:rPr>
          <w:rFonts w:hint="eastAsia" w:ascii="宋体" w:hAnsi="宋体" w:eastAsia="宋体"/>
        </w:rPr>
        <w:t>1</w:t>
      </w:r>
      <w:r>
        <w:rPr>
          <w:rFonts w:ascii="宋体" w:hAnsi="宋体" w:eastAsia="宋体"/>
        </w:rPr>
        <w:t>1</w:t>
      </w:r>
      <w:r>
        <w:rPr>
          <w:rFonts w:hint="eastAsia" w:ascii="宋体" w:hAnsi="宋体" w:eastAsia="宋体"/>
        </w:rPr>
        <w:t>．</w:t>
      </w:r>
      <w:bookmarkStart w:id="62" w:name="_Hlk72399819"/>
      <w:r>
        <w:rPr>
          <w:rFonts w:hint="eastAsia" w:ascii="宋体" w:hAnsi="宋体" w:eastAsia="宋体"/>
        </w:rPr>
        <w:t>招标文件的编制与组成</w:t>
      </w:r>
    </w:p>
    <w:p w14:paraId="3D2F445F">
      <w:pPr>
        <w:snapToGrid w:val="0"/>
        <w:spacing w:line="360" w:lineRule="exact"/>
        <w:ind w:firstLine="480" w:firstLineChars="200"/>
        <w:rPr>
          <w:rFonts w:ascii="宋体" w:hAnsi="宋体" w:eastAsia="宋体"/>
          <w:szCs w:val="21"/>
        </w:rPr>
      </w:pPr>
      <w:r>
        <w:rPr>
          <w:rFonts w:hint="eastAsia" w:ascii="宋体" w:hAnsi="宋体" w:eastAsia="宋体"/>
          <w:szCs w:val="21"/>
        </w:rPr>
        <w:t>1</w:t>
      </w:r>
      <w:r>
        <w:rPr>
          <w:rFonts w:ascii="宋体" w:hAnsi="宋体" w:eastAsia="宋体"/>
          <w:szCs w:val="21"/>
        </w:rPr>
        <w:t>1</w:t>
      </w:r>
      <w:r>
        <w:rPr>
          <w:rFonts w:hint="eastAsia" w:ascii="宋体" w:hAnsi="宋体" w:eastAsia="宋体"/>
          <w:szCs w:val="21"/>
        </w:rPr>
        <w:t>.1招标文件除以下内容外，政府采购机构在招标期间发出的澄清或修改等相关公告或通知内容，均是招标文件的组成部分，对投标人起约束作用；</w:t>
      </w:r>
    </w:p>
    <w:p w14:paraId="67D53B2C">
      <w:pPr>
        <w:spacing w:line="360" w:lineRule="exact"/>
        <w:ind w:firstLine="470" w:firstLineChars="196"/>
        <w:rPr>
          <w:rFonts w:ascii="宋体" w:hAnsi="宋体" w:eastAsia="宋体"/>
          <w:szCs w:val="21"/>
        </w:rPr>
      </w:pPr>
      <w:r>
        <w:rPr>
          <w:rFonts w:hint="eastAsia" w:ascii="宋体" w:hAnsi="宋体" w:eastAsia="宋体"/>
          <w:szCs w:val="21"/>
        </w:rPr>
        <w:t>招标文件包括下列内容：</w:t>
      </w:r>
    </w:p>
    <w:p w14:paraId="6A0CDCBD">
      <w:pPr>
        <w:spacing w:line="360" w:lineRule="exact"/>
        <w:ind w:firstLine="472" w:firstLineChars="196"/>
        <w:rPr>
          <w:rFonts w:ascii="宋体" w:hAnsi="宋体" w:eastAsia="宋体"/>
          <w:b/>
          <w:szCs w:val="21"/>
        </w:rPr>
      </w:pPr>
      <w:r>
        <w:rPr>
          <w:rFonts w:hint="eastAsia" w:ascii="宋体" w:hAnsi="宋体" w:eastAsia="宋体"/>
          <w:b/>
          <w:szCs w:val="21"/>
        </w:rPr>
        <w:t>第一册  专用条款</w:t>
      </w:r>
    </w:p>
    <w:p w14:paraId="4008FF02">
      <w:pPr>
        <w:spacing w:line="360" w:lineRule="exact"/>
        <w:rPr>
          <w:rFonts w:ascii="宋体" w:hAnsi="宋体" w:eastAsia="宋体"/>
          <w:b/>
          <w:szCs w:val="21"/>
        </w:rPr>
      </w:pPr>
      <w:r>
        <w:rPr>
          <w:rFonts w:hint="eastAsia" w:ascii="宋体" w:hAnsi="宋体" w:eastAsia="宋体"/>
          <w:b/>
          <w:szCs w:val="21"/>
        </w:rPr>
        <w:t>关键信息</w:t>
      </w:r>
    </w:p>
    <w:p w14:paraId="330B1421">
      <w:pPr>
        <w:spacing w:line="360" w:lineRule="exact"/>
        <w:ind w:firstLine="470" w:firstLineChars="196"/>
        <w:outlineLvl w:val="0"/>
        <w:rPr>
          <w:rFonts w:ascii="宋体" w:hAnsi="宋体" w:eastAsia="宋体"/>
          <w:szCs w:val="21"/>
        </w:rPr>
      </w:pPr>
      <w:r>
        <w:rPr>
          <w:rFonts w:hint="eastAsia" w:ascii="宋体" w:hAnsi="宋体" w:eastAsia="宋体"/>
          <w:szCs w:val="21"/>
        </w:rPr>
        <w:t>第一章  招标公告</w:t>
      </w:r>
    </w:p>
    <w:p w14:paraId="1B1ABE0B">
      <w:pPr>
        <w:spacing w:line="360" w:lineRule="exact"/>
        <w:ind w:firstLine="470" w:firstLineChars="196"/>
        <w:outlineLvl w:val="0"/>
        <w:rPr>
          <w:rFonts w:ascii="宋体" w:hAnsi="宋体" w:eastAsia="宋体"/>
          <w:szCs w:val="21"/>
        </w:rPr>
      </w:pPr>
      <w:r>
        <w:rPr>
          <w:rFonts w:hint="eastAsia" w:ascii="宋体" w:hAnsi="宋体" w:eastAsia="宋体"/>
          <w:szCs w:val="21"/>
        </w:rPr>
        <w:t>第二章  对通用条款的补充内容及其他关键信息</w:t>
      </w:r>
    </w:p>
    <w:p w14:paraId="3AC9758B">
      <w:pPr>
        <w:spacing w:line="360" w:lineRule="exact"/>
        <w:ind w:firstLine="470" w:firstLineChars="196"/>
        <w:outlineLvl w:val="0"/>
        <w:rPr>
          <w:rFonts w:ascii="宋体" w:hAnsi="宋体" w:eastAsia="宋体"/>
          <w:szCs w:val="21"/>
        </w:rPr>
      </w:pPr>
      <w:r>
        <w:rPr>
          <w:rFonts w:hint="eastAsia" w:ascii="宋体" w:hAnsi="宋体" w:eastAsia="宋体"/>
          <w:szCs w:val="21"/>
        </w:rPr>
        <w:t>第三章  用户需求书</w:t>
      </w:r>
    </w:p>
    <w:p w14:paraId="008B0C97">
      <w:pPr>
        <w:spacing w:line="360" w:lineRule="exact"/>
        <w:ind w:firstLine="470" w:firstLineChars="196"/>
        <w:outlineLvl w:val="0"/>
        <w:rPr>
          <w:rFonts w:ascii="宋体" w:hAnsi="宋体" w:eastAsia="宋体"/>
          <w:szCs w:val="21"/>
        </w:rPr>
      </w:pPr>
      <w:r>
        <w:rPr>
          <w:rFonts w:hint="eastAsia" w:ascii="宋体" w:hAnsi="宋体" w:eastAsia="宋体"/>
        </w:rPr>
        <w:t>第四章 投标文件格式及附件</w:t>
      </w:r>
    </w:p>
    <w:p w14:paraId="319157E3">
      <w:pPr>
        <w:spacing w:line="360" w:lineRule="exact"/>
        <w:ind w:firstLine="470" w:firstLineChars="196"/>
        <w:outlineLvl w:val="0"/>
        <w:rPr>
          <w:rFonts w:ascii="宋体" w:hAnsi="宋体" w:eastAsia="宋体"/>
          <w:szCs w:val="21"/>
        </w:rPr>
      </w:pPr>
      <w:r>
        <w:rPr>
          <w:rFonts w:hint="eastAsia" w:ascii="宋体" w:hAnsi="宋体" w:eastAsia="宋体"/>
          <w:szCs w:val="21"/>
        </w:rPr>
        <w:t>第五章  合同条款及格式</w:t>
      </w:r>
    </w:p>
    <w:p w14:paraId="2459D4FA">
      <w:pPr>
        <w:spacing w:line="360" w:lineRule="exact"/>
        <w:ind w:firstLine="472" w:firstLineChars="196"/>
        <w:outlineLvl w:val="0"/>
        <w:rPr>
          <w:rFonts w:ascii="宋体" w:hAnsi="宋体" w:eastAsia="宋体"/>
          <w:b/>
          <w:szCs w:val="21"/>
        </w:rPr>
      </w:pPr>
      <w:r>
        <w:rPr>
          <w:rFonts w:hint="eastAsia" w:ascii="宋体" w:hAnsi="宋体" w:eastAsia="宋体"/>
          <w:b/>
          <w:szCs w:val="21"/>
        </w:rPr>
        <w:t>第二册  通用条款</w:t>
      </w:r>
    </w:p>
    <w:p w14:paraId="7CB73780">
      <w:pPr>
        <w:spacing w:line="360" w:lineRule="exact"/>
        <w:ind w:firstLine="470" w:firstLineChars="196"/>
        <w:outlineLvl w:val="0"/>
        <w:rPr>
          <w:rFonts w:ascii="宋体" w:hAnsi="宋体" w:eastAsia="宋体"/>
          <w:szCs w:val="21"/>
        </w:rPr>
      </w:pPr>
      <w:r>
        <w:rPr>
          <w:rFonts w:hint="eastAsia" w:ascii="宋体" w:hAnsi="宋体" w:eastAsia="宋体"/>
          <w:szCs w:val="21"/>
        </w:rPr>
        <w:t>第一章  总则</w:t>
      </w:r>
    </w:p>
    <w:p w14:paraId="432DF2C3">
      <w:pPr>
        <w:spacing w:line="360" w:lineRule="exact"/>
        <w:ind w:firstLine="470" w:firstLineChars="196"/>
        <w:outlineLvl w:val="0"/>
        <w:rPr>
          <w:rFonts w:ascii="宋体" w:hAnsi="宋体" w:eastAsia="宋体"/>
          <w:szCs w:val="21"/>
        </w:rPr>
      </w:pPr>
      <w:r>
        <w:rPr>
          <w:rFonts w:hint="eastAsia" w:ascii="宋体" w:hAnsi="宋体" w:eastAsia="宋体"/>
          <w:szCs w:val="21"/>
        </w:rPr>
        <w:t>第二章  招标文件</w:t>
      </w:r>
    </w:p>
    <w:p w14:paraId="4877BACC">
      <w:pPr>
        <w:spacing w:line="360" w:lineRule="exact"/>
        <w:ind w:firstLine="470" w:firstLineChars="196"/>
        <w:outlineLvl w:val="0"/>
        <w:rPr>
          <w:rFonts w:ascii="宋体" w:hAnsi="宋体" w:eastAsia="宋体"/>
          <w:szCs w:val="21"/>
        </w:rPr>
      </w:pPr>
      <w:r>
        <w:rPr>
          <w:rFonts w:hint="eastAsia" w:ascii="宋体" w:hAnsi="宋体" w:eastAsia="宋体"/>
          <w:szCs w:val="21"/>
        </w:rPr>
        <w:t>第三章  投标文件的编制</w:t>
      </w:r>
    </w:p>
    <w:p w14:paraId="7D9D874D">
      <w:pPr>
        <w:spacing w:line="360" w:lineRule="exact"/>
        <w:ind w:firstLine="470" w:firstLineChars="196"/>
        <w:outlineLvl w:val="0"/>
        <w:rPr>
          <w:rFonts w:ascii="宋体" w:hAnsi="宋体" w:eastAsia="宋体"/>
          <w:szCs w:val="21"/>
        </w:rPr>
      </w:pPr>
      <w:r>
        <w:rPr>
          <w:rFonts w:hint="eastAsia" w:ascii="宋体" w:hAnsi="宋体" w:eastAsia="宋体"/>
          <w:szCs w:val="21"/>
        </w:rPr>
        <w:t>第四章  投标文件的递交</w:t>
      </w:r>
    </w:p>
    <w:p w14:paraId="5BC5136F">
      <w:pPr>
        <w:spacing w:line="360" w:lineRule="exact"/>
        <w:ind w:firstLine="470" w:firstLineChars="196"/>
        <w:outlineLvl w:val="0"/>
        <w:rPr>
          <w:rFonts w:ascii="宋体" w:hAnsi="宋体" w:eastAsia="宋体"/>
          <w:szCs w:val="21"/>
        </w:rPr>
      </w:pPr>
      <w:r>
        <w:rPr>
          <w:rFonts w:hint="eastAsia" w:ascii="宋体" w:hAnsi="宋体" w:eastAsia="宋体"/>
          <w:szCs w:val="21"/>
        </w:rPr>
        <w:t>第五章  开标</w:t>
      </w:r>
    </w:p>
    <w:p w14:paraId="7852125F">
      <w:pPr>
        <w:spacing w:line="360" w:lineRule="exact"/>
        <w:ind w:firstLine="470" w:firstLineChars="196"/>
        <w:outlineLvl w:val="0"/>
        <w:rPr>
          <w:rFonts w:ascii="宋体" w:hAnsi="宋体" w:eastAsia="宋体"/>
          <w:szCs w:val="21"/>
        </w:rPr>
      </w:pPr>
      <w:r>
        <w:rPr>
          <w:rFonts w:hint="eastAsia" w:ascii="宋体" w:hAnsi="宋体" w:eastAsia="宋体"/>
          <w:szCs w:val="21"/>
        </w:rPr>
        <w:t>第六章  评审要求</w:t>
      </w:r>
    </w:p>
    <w:p w14:paraId="1E1A17F0">
      <w:pPr>
        <w:spacing w:line="360" w:lineRule="exact"/>
        <w:ind w:firstLine="470" w:firstLineChars="196"/>
        <w:outlineLvl w:val="0"/>
        <w:rPr>
          <w:rFonts w:ascii="宋体" w:hAnsi="宋体" w:eastAsia="宋体"/>
          <w:szCs w:val="21"/>
        </w:rPr>
      </w:pPr>
      <w:r>
        <w:rPr>
          <w:rFonts w:hint="eastAsia" w:ascii="宋体" w:hAnsi="宋体" w:eastAsia="宋体"/>
          <w:szCs w:val="21"/>
        </w:rPr>
        <w:t>第七章  评审程序及评审方法</w:t>
      </w:r>
    </w:p>
    <w:p w14:paraId="04D8D5D6">
      <w:pPr>
        <w:spacing w:line="360" w:lineRule="exact"/>
        <w:ind w:firstLine="470" w:firstLineChars="196"/>
        <w:outlineLvl w:val="0"/>
        <w:rPr>
          <w:rFonts w:ascii="宋体" w:hAnsi="宋体" w:eastAsia="宋体"/>
          <w:szCs w:val="21"/>
        </w:rPr>
      </w:pPr>
      <w:r>
        <w:rPr>
          <w:rFonts w:hint="eastAsia" w:ascii="宋体" w:hAnsi="宋体" w:eastAsia="宋体"/>
          <w:szCs w:val="21"/>
        </w:rPr>
        <w:t>第八章  定标及公示</w:t>
      </w:r>
    </w:p>
    <w:p w14:paraId="7E67B14E">
      <w:pPr>
        <w:spacing w:line="360" w:lineRule="exact"/>
        <w:ind w:firstLine="470" w:firstLineChars="196"/>
        <w:outlineLvl w:val="0"/>
        <w:rPr>
          <w:rFonts w:ascii="宋体" w:hAnsi="宋体" w:eastAsia="宋体"/>
          <w:szCs w:val="21"/>
        </w:rPr>
      </w:pPr>
      <w:r>
        <w:rPr>
          <w:rFonts w:hint="eastAsia" w:ascii="宋体" w:hAnsi="宋体" w:eastAsia="宋体"/>
          <w:szCs w:val="21"/>
        </w:rPr>
        <w:t>第九章  公开招标失败的后续处理</w:t>
      </w:r>
    </w:p>
    <w:p w14:paraId="2509B774">
      <w:pPr>
        <w:spacing w:line="360" w:lineRule="exact"/>
        <w:ind w:firstLine="470" w:firstLineChars="196"/>
        <w:outlineLvl w:val="0"/>
        <w:rPr>
          <w:rFonts w:ascii="宋体" w:hAnsi="宋体" w:eastAsia="宋体"/>
          <w:szCs w:val="21"/>
        </w:rPr>
      </w:pPr>
      <w:r>
        <w:rPr>
          <w:rFonts w:hint="eastAsia" w:ascii="宋体" w:hAnsi="宋体" w:eastAsia="宋体"/>
          <w:szCs w:val="21"/>
        </w:rPr>
        <w:t>第十章  合同的授予与备案</w:t>
      </w:r>
    </w:p>
    <w:p w14:paraId="2275613D">
      <w:pPr>
        <w:spacing w:line="360" w:lineRule="exact"/>
        <w:ind w:firstLine="470" w:firstLineChars="196"/>
        <w:outlineLvl w:val="0"/>
        <w:rPr>
          <w:rFonts w:ascii="宋体" w:hAnsi="宋体" w:eastAsia="宋体"/>
          <w:szCs w:val="21"/>
        </w:rPr>
      </w:pPr>
      <w:r>
        <w:rPr>
          <w:rFonts w:hint="eastAsia" w:ascii="宋体" w:hAnsi="宋体" w:eastAsia="宋体"/>
          <w:szCs w:val="21"/>
        </w:rPr>
        <w:t>第十一章  质疑处理</w:t>
      </w:r>
    </w:p>
    <w:p w14:paraId="77FAE698">
      <w:pPr>
        <w:spacing w:line="360" w:lineRule="exact"/>
        <w:ind w:firstLine="470" w:firstLineChars="196"/>
        <w:rPr>
          <w:rFonts w:ascii="宋体" w:hAnsi="宋体" w:eastAsia="宋体"/>
          <w:szCs w:val="21"/>
        </w:rPr>
      </w:pPr>
      <w:r>
        <w:rPr>
          <w:rFonts w:hint="eastAsia" w:ascii="宋体" w:hAnsi="宋体" w:eastAsia="宋体"/>
          <w:szCs w:val="21"/>
        </w:rPr>
        <w:t>1</w:t>
      </w:r>
      <w:r>
        <w:rPr>
          <w:rFonts w:ascii="宋体" w:hAnsi="宋体" w:eastAsia="宋体"/>
          <w:szCs w:val="21"/>
        </w:rPr>
        <w:t>1</w:t>
      </w:r>
      <w:r>
        <w:rPr>
          <w:rFonts w:hint="eastAsia" w:ascii="宋体" w:hAnsi="宋体" w:eastAsia="宋体"/>
          <w:szCs w:val="21"/>
        </w:rPr>
        <w:t>.2 投标人下载招标文件后，应仔细检查招标文件的所有内容，如有疑问应在答疑截止时间之前向政府采购机构提出，否则，由此引起的投标损失自负；投标人同时应认真审阅招标文件所有的事项、格式、条款和规范要求等，如果投标人的投标文件未按招标文件要求提交全部资料或者投标文件未对招标文件做出实质性响应，其风险由投标人自行承担。</w:t>
      </w:r>
    </w:p>
    <w:p w14:paraId="10B82BA7">
      <w:pPr>
        <w:spacing w:line="360" w:lineRule="exact"/>
        <w:ind w:firstLine="470" w:firstLineChars="196"/>
        <w:rPr>
          <w:rFonts w:ascii="宋体" w:hAnsi="宋体" w:eastAsia="宋体"/>
          <w:szCs w:val="21"/>
        </w:rPr>
      </w:pPr>
      <w:r>
        <w:rPr>
          <w:rFonts w:hint="eastAsia" w:ascii="宋体" w:hAnsi="宋体" w:eastAsia="宋体"/>
          <w:szCs w:val="21"/>
        </w:rPr>
        <w:t>1</w:t>
      </w:r>
      <w:r>
        <w:rPr>
          <w:rFonts w:ascii="宋体" w:hAnsi="宋体" w:eastAsia="宋体"/>
          <w:szCs w:val="21"/>
        </w:rPr>
        <w:t>1</w:t>
      </w:r>
      <w:r>
        <w:rPr>
          <w:rFonts w:hint="eastAsia" w:ascii="宋体" w:hAnsi="宋体" w:eastAsia="宋体"/>
          <w:szCs w:val="21"/>
        </w:rPr>
        <w:t>.3</w:t>
      </w:r>
      <w:r>
        <w:rPr>
          <w:rFonts w:hint="eastAsia" w:ascii="宋体" w:hAnsi="宋体" w:eastAsia="宋体"/>
        </w:rPr>
        <w:t>任何人或任何组织向投标人提交的任何书面或口头资料，未经政府采购机构在网上发布或书面通知，均作无效处理，不得作为招标文件的组成部分。政府采购机构对投标人由此而做出的推论、理解和结论概不负责。</w:t>
      </w:r>
    </w:p>
    <w:p w14:paraId="0C58CE82">
      <w:pPr>
        <w:spacing w:line="360" w:lineRule="exact"/>
        <w:rPr>
          <w:rFonts w:ascii="宋体" w:hAnsi="宋体" w:eastAsia="宋体"/>
        </w:rPr>
      </w:pPr>
      <w:r>
        <w:rPr>
          <w:rFonts w:hint="eastAsia" w:ascii="宋体" w:hAnsi="宋体" w:eastAsia="宋体"/>
        </w:rPr>
        <w:t>1</w:t>
      </w:r>
      <w:r>
        <w:rPr>
          <w:rFonts w:ascii="宋体" w:hAnsi="宋体" w:eastAsia="宋体"/>
        </w:rPr>
        <w:t>2</w:t>
      </w:r>
      <w:r>
        <w:rPr>
          <w:rFonts w:hint="eastAsia" w:ascii="宋体" w:hAnsi="宋体" w:eastAsia="宋体"/>
        </w:rPr>
        <w:t>．招标文件的澄清</w:t>
      </w:r>
    </w:p>
    <w:p w14:paraId="21D213B2">
      <w:pPr>
        <w:spacing w:line="360" w:lineRule="exact"/>
        <w:ind w:firstLine="470" w:firstLineChars="196"/>
        <w:rPr>
          <w:rFonts w:ascii="宋体" w:hAnsi="宋体" w:eastAsia="宋体"/>
          <w:szCs w:val="21"/>
        </w:rPr>
      </w:pPr>
      <w:r>
        <w:rPr>
          <w:rFonts w:hint="eastAsia" w:ascii="宋体" w:hAnsi="宋体" w:eastAsia="宋体"/>
          <w:szCs w:val="21"/>
        </w:rPr>
        <w:t>1</w:t>
      </w:r>
      <w:r>
        <w:rPr>
          <w:rFonts w:ascii="宋体" w:hAnsi="宋体" w:eastAsia="宋体"/>
          <w:szCs w:val="21"/>
        </w:rPr>
        <w:t>2</w:t>
      </w:r>
      <w:r>
        <w:rPr>
          <w:rFonts w:hint="eastAsia" w:ascii="宋体" w:hAnsi="宋体" w:eastAsia="宋体"/>
          <w:szCs w:val="21"/>
        </w:rPr>
        <w:t>.1招标文件澄清的目的是澄清、解答投标人在查阅招标文件后或现场踏勘中可能提出的与投标有关的疑问或询问。</w:t>
      </w:r>
    </w:p>
    <w:p w14:paraId="15127B74">
      <w:pPr>
        <w:spacing w:line="360" w:lineRule="exact"/>
        <w:ind w:firstLine="470" w:firstLineChars="196"/>
        <w:rPr>
          <w:rFonts w:ascii="宋体" w:hAnsi="宋体" w:eastAsia="宋体"/>
          <w:szCs w:val="21"/>
        </w:rPr>
      </w:pPr>
      <w:r>
        <w:rPr>
          <w:rFonts w:hint="eastAsia" w:ascii="宋体" w:hAnsi="宋体" w:eastAsia="宋体"/>
          <w:szCs w:val="21"/>
        </w:rPr>
        <w:t>1</w:t>
      </w:r>
      <w:r>
        <w:rPr>
          <w:rFonts w:ascii="宋体" w:hAnsi="宋体" w:eastAsia="宋体"/>
          <w:szCs w:val="21"/>
        </w:rPr>
        <w:t>2</w:t>
      </w:r>
      <w:r>
        <w:rPr>
          <w:rFonts w:hint="eastAsia" w:ascii="宋体" w:hAnsi="宋体" w:eastAsia="宋体"/>
          <w:szCs w:val="21"/>
        </w:rPr>
        <w:t>.2投标人如对招标文件内容有疑问，应当在招标公告规定的澄清（提问）截止时间前以网上提问的形式通过网上政府采购系统提交政府采购机构。</w:t>
      </w:r>
    </w:p>
    <w:p w14:paraId="5444B96A">
      <w:pPr>
        <w:spacing w:line="360" w:lineRule="exact"/>
        <w:ind w:firstLine="470" w:firstLineChars="196"/>
        <w:rPr>
          <w:rFonts w:ascii="宋体" w:hAnsi="宋体" w:eastAsia="宋体"/>
          <w:szCs w:val="21"/>
        </w:rPr>
      </w:pPr>
      <w:r>
        <w:rPr>
          <w:rFonts w:hint="eastAsia" w:ascii="宋体" w:hAnsi="宋体" w:eastAsia="宋体"/>
          <w:szCs w:val="21"/>
        </w:rPr>
        <w:t>1</w:t>
      </w:r>
      <w:r>
        <w:rPr>
          <w:rFonts w:ascii="宋体" w:hAnsi="宋体" w:eastAsia="宋体"/>
          <w:szCs w:val="21"/>
        </w:rPr>
        <w:t>2</w:t>
      </w:r>
      <w:r>
        <w:rPr>
          <w:rFonts w:hint="eastAsia" w:ascii="宋体" w:hAnsi="宋体" w:eastAsia="宋体"/>
          <w:szCs w:val="21"/>
        </w:rPr>
        <w:t>.3不论是政府采购机构根据需要主动对招标文件进行必要的澄清或是根据投标人的要求对招标文件做出澄清，政府采购机构都将在投标截止日期前以书面形式（包括政府采购机构网站发布方式）答复或发送给所有投标人。答复内容是招标文件的组成部分，对投标人起约束作用，其有效性按照本通用条款第1</w:t>
      </w:r>
      <w:r>
        <w:rPr>
          <w:rFonts w:ascii="宋体" w:hAnsi="宋体" w:eastAsia="宋体"/>
          <w:szCs w:val="21"/>
        </w:rPr>
        <w:t>3.3</w:t>
      </w:r>
      <w:r>
        <w:rPr>
          <w:rFonts w:hint="eastAsia" w:ascii="宋体" w:hAnsi="宋体" w:eastAsia="宋体"/>
          <w:szCs w:val="21"/>
        </w:rPr>
        <w:t>、1</w:t>
      </w:r>
      <w:r>
        <w:rPr>
          <w:rFonts w:ascii="宋体" w:hAnsi="宋体" w:eastAsia="宋体"/>
          <w:szCs w:val="21"/>
        </w:rPr>
        <w:t>3.4</w:t>
      </w:r>
      <w:r>
        <w:rPr>
          <w:rFonts w:hint="eastAsia" w:ascii="宋体" w:hAnsi="宋体" w:eastAsia="宋体"/>
          <w:szCs w:val="21"/>
        </w:rPr>
        <w:t>款规定执行。</w:t>
      </w:r>
    </w:p>
    <w:p w14:paraId="45C1B155">
      <w:pPr>
        <w:spacing w:line="360" w:lineRule="exact"/>
        <w:rPr>
          <w:rFonts w:ascii="宋体" w:hAnsi="宋体" w:eastAsia="宋体"/>
        </w:rPr>
      </w:pPr>
      <w:r>
        <w:rPr>
          <w:rFonts w:ascii="宋体" w:hAnsi="宋体" w:eastAsia="宋体"/>
        </w:rPr>
        <w:t>1</w:t>
      </w:r>
      <w:r>
        <w:rPr>
          <w:rFonts w:hint="eastAsia" w:ascii="宋体" w:hAnsi="宋体" w:eastAsia="宋体"/>
        </w:rPr>
        <w:t>3．招标文件的修改</w:t>
      </w:r>
    </w:p>
    <w:p w14:paraId="23E5E152">
      <w:pPr>
        <w:spacing w:line="360" w:lineRule="exact"/>
        <w:ind w:firstLine="470" w:firstLineChars="196"/>
        <w:rPr>
          <w:rFonts w:ascii="宋体" w:hAnsi="宋体" w:eastAsia="宋体"/>
          <w:szCs w:val="21"/>
        </w:rPr>
      </w:pPr>
      <w:r>
        <w:rPr>
          <w:rFonts w:ascii="宋体" w:hAnsi="宋体" w:eastAsia="宋体"/>
          <w:szCs w:val="21"/>
        </w:rPr>
        <w:t>1</w:t>
      </w:r>
      <w:r>
        <w:rPr>
          <w:rFonts w:hint="eastAsia" w:ascii="宋体" w:hAnsi="宋体" w:eastAsia="宋体"/>
          <w:szCs w:val="21"/>
        </w:rPr>
        <w:t>3.1招标文件发出后，在投标截止日期前任何时候，确需要变更招标文件内容的，政府采购机构可主动或在解答投标人提出的澄清问题时对招标文件进行修改。</w:t>
      </w:r>
    </w:p>
    <w:p w14:paraId="3942C61F">
      <w:pPr>
        <w:spacing w:line="360" w:lineRule="exact"/>
        <w:ind w:firstLine="470" w:firstLineChars="196"/>
        <w:rPr>
          <w:rFonts w:ascii="宋体" w:hAnsi="宋体" w:eastAsia="宋体"/>
          <w:szCs w:val="21"/>
        </w:rPr>
      </w:pPr>
      <w:r>
        <w:rPr>
          <w:rFonts w:ascii="宋体" w:hAnsi="宋体" w:eastAsia="宋体"/>
          <w:szCs w:val="21"/>
        </w:rPr>
        <w:t>1</w:t>
      </w:r>
      <w:r>
        <w:rPr>
          <w:rFonts w:hint="eastAsia" w:ascii="宋体" w:hAnsi="宋体" w:eastAsia="宋体"/>
          <w:szCs w:val="21"/>
        </w:rPr>
        <w:t>3.2招标文件的修改以书面形式（包括政府采购机构网站发布方式，如更正公告等）发送给所有投标人，招标文件的修改内容作为招标文件的组成部分，并具有约束力。</w:t>
      </w:r>
    </w:p>
    <w:p w14:paraId="69ED4169">
      <w:pPr>
        <w:spacing w:line="360" w:lineRule="exact"/>
        <w:ind w:firstLine="470" w:firstLineChars="196"/>
        <w:rPr>
          <w:rFonts w:ascii="宋体" w:hAnsi="宋体" w:eastAsia="宋体"/>
          <w:szCs w:val="21"/>
        </w:rPr>
      </w:pPr>
      <w:r>
        <w:rPr>
          <w:rFonts w:ascii="宋体" w:hAnsi="宋体" w:eastAsia="宋体"/>
          <w:szCs w:val="21"/>
        </w:rPr>
        <w:t>1</w:t>
      </w:r>
      <w:r>
        <w:rPr>
          <w:rFonts w:hint="eastAsia" w:ascii="宋体" w:hAnsi="宋体" w:eastAsia="宋体"/>
          <w:szCs w:val="21"/>
        </w:rPr>
        <w:t>3.3招标文件、招标文件澄清答复内容、招标文件修改补充内容均以书面形式（包括政府采购机构网站公开发布方式，如更正公告等）明确的内容为准。当招标文件、修改补充通知、招标文件澄清答复内容相互矛盾时，以最后发出的内容为准。</w:t>
      </w:r>
    </w:p>
    <w:p w14:paraId="5F0D0D89">
      <w:pPr>
        <w:spacing w:line="360" w:lineRule="exact"/>
        <w:ind w:firstLine="470" w:firstLineChars="196"/>
        <w:rPr>
          <w:rFonts w:ascii="宋体" w:hAnsi="宋体" w:eastAsia="宋体"/>
          <w:szCs w:val="21"/>
        </w:rPr>
      </w:pPr>
      <w:r>
        <w:rPr>
          <w:rFonts w:ascii="宋体" w:hAnsi="宋体" w:eastAsia="宋体"/>
          <w:szCs w:val="21"/>
        </w:rPr>
        <w:t>1</w:t>
      </w:r>
      <w:r>
        <w:rPr>
          <w:rFonts w:hint="eastAsia" w:ascii="宋体" w:hAnsi="宋体" w:eastAsia="宋体"/>
          <w:szCs w:val="21"/>
        </w:rPr>
        <w:t>3.4政府采购机构保证招标文件澄清答复内容和招标文件修改补充内容在投标截止时间前以书面形式（包括政府采购机构网站发布方式，如更正公告等）发送给所有投标人。为使投标人在编制投标文件时有充分时间对招标文件的修改部分进行研究，政府采购机构可以酌情延长递交投标文件的截止日期。</w:t>
      </w:r>
      <w:bookmarkEnd w:id="62"/>
    </w:p>
    <w:p w14:paraId="1C983C39">
      <w:pPr>
        <w:pStyle w:val="5"/>
        <w:keepNext/>
        <w:keepLines/>
        <w:widowControl w:val="0"/>
        <w:numPr>
          <w:ilvl w:val="0"/>
          <w:numId w:val="10"/>
        </w:numPr>
        <w:spacing w:line="360" w:lineRule="exact"/>
        <w:ind w:left="0" w:hanging="562"/>
        <w:rPr>
          <w:rFonts w:eastAsia="宋体"/>
          <w:sz w:val="28"/>
          <w:szCs w:val="28"/>
        </w:rPr>
      </w:pPr>
      <w:r>
        <w:rPr>
          <w:rFonts w:hint="eastAsia" w:eastAsia="宋体"/>
          <w:sz w:val="28"/>
          <w:szCs w:val="28"/>
        </w:rPr>
        <w:t>投标文件的编制</w:t>
      </w:r>
    </w:p>
    <w:p w14:paraId="086CE3AB">
      <w:pPr>
        <w:spacing w:line="360" w:lineRule="exact"/>
        <w:rPr>
          <w:rFonts w:ascii="宋体" w:hAnsi="宋体" w:eastAsia="宋体"/>
        </w:rPr>
      </w:pPr>
      <w:r>
        <w:rPr>
          <w:rFonts w:hint="eastAsia" w:ascii="宋体" w:hAnsi="宋体" w:eastAsia="宋体"/>
        </w:rPr>
        <w:t>14．</w:t>
      </w:r>
      <w:bookmarkStart w:id="63" w:name="_Hlk72400236"/>
      <w:r>
        <w:rPr>
          <w:rFonts w:hint="eastAsia" w:ascii="宋体" w:hAnsi="宋体" w:eastAsia="宋体"/>
        </w:rPr>
        <w:t>投标文件的语言及度量单位</w:t>
      </w:r>
    </w:p>
    <w:p w14:paraId="4DAEFBDF">
      <w:pPr>
        <w:spacing w:line="360" w:lineRule="exact"/>
        <w:ind w:firstLine="470" w:firstLineChars="196"/>
        <w:rPr>
          <w:rFonts w:ascii="宋体" w:hAnsi="宋体" w:eastAsia="宋体"/>
          <w:szCs w:val="21"/>
        </w:rPr>
      </w:pPr>
      <w:r>
        <w:rPr>
          <w:rFonts w:hint="eastAsia" w:ascii="宋体" w:hAnsi="宋体" w:eastAsia="宋体"/>
          <w:szCs w:val="21"/>
        </w:rPr>
        <w:t>14.1 投标人与政府采购机构之间与投标有关的所有往来通知、函件和投标文件均用中文表述。投标人随投标文件提供的证明文件和资料可以为其它语言，但必须附中文译文。翻译的中文资料与外文资料如果出现差异时，以中文为准，但翻译错误的除外。</w:t>
      </w:r>
    </w:p>
    <w:p w14:paraId="5041096D">
      <w:pPr>
        <w:spacing w:line="360" w:lineRule="exact"/>
        <w:ind w:firstLine="470" w:firstLineChars="196"/>
        <w:rPr>
          <w:rFonts w:ascii="宋体" w:hAnsi="宋体" w:eastAsia="宋体"/>
          <w:szCs w:val="21"/>
        </w:rPr>
      </w:pPr>
      <w:r>
        <w:rPr>
          <w:rFonts w:hint="eastAsia" w:ascii="宋体" w:hAnsi="宋体" w:eastAsia="宋体"/>
          <w:szCs w:val="21"/>
        </w:rPr>
        <w:t>14.2 除技术规范另有规定外，投标文件使用的度量单位，均采用中华人民共和国法定计量单位。</w:t>
      </w:r>
    </w:p>
    <w:bookmarkEnd w:id="63"/>
    <w:p w14:paraId="5C95A733">
      <w:pPr>
        <w:spacing w:line="360" w:lineRule="exact"/>
        <w:rPr>
          <w:rFonts w:ascii="宋体" w:hAnsi="宋体" w:eastAsia="宋体"/>
        </w:rPr>
      </w:pPr>
      <w:r>
        <w:rPr>
          <w:rFonts w:hint="eastAsia" w:ascii="宋体" w:hAnsi="宋体" w:eastAsia="宋体"/>
        </w:rPr>
        <w:t>15．</w:t>
      </w:r>
      <w:bookmarkStart w:id="64" w:name="_Hlk72401567"/>
      <w:r>
        <w:rPr>
          <w:rFonts w:hint="eastAsia" w:ascii="宋体" w:hAnsi="宋体" w:eastAsia="宋体"/>
        </w:rPr>
        <w:t>投标文件的组成</w:t>
      </w:r>
    </w:p>
    <w:p w14:paraId="1D2B5F3D">
      <w:pPr>
        <w:spacing w:line="360" w:lineRule="exact"/>
        <w:ind w:firstLine="470" w:firstLineChars="196"/>
        <w:rPr>
          <w:rFonts w:ascii="宋体" w:hAnsi="宋体" w:eastAsia="宋体"/>
          <w:szCs w:val="21"/>
        </w:rPr>
      </w:pPr>
      <w:r>
        <w:rPr>
          <w:rFonts w:hint="eastAsia" w:ascii="宋体" w:hAnsi="宋体" w:eastAsia="宋体"/>
          <w:szCs w:val="21"/>
        </w:rPr>
        <w:t>具体内容在招标文件专用条款中进行规定。</w:t>
      </w:r>
    </w:p>
    <w:p w14:paraId="1AFEDD54">
      <w:pPr>
        <w:spacing w:line="360" w:lineRule="exact"/>
        <w:rPr>
          <w:rFonts w:ascii="宋体" w:hAnsi="宋体" w:eastAsia="宋体"/>
        </w:rPr>
      </w:pPr>
      <w:r>
        <w:rPr>
          <w:rFonts w:ascii="宋体" w:hAnsi="宋体" w:eastAsia="宋体"/>
        </w:rPr>
        <w:t>16．投标文件格式</w:t>
      </w:r>
    </w:p>
    <w:p w14:paraId="4AEB228C">
      <w:pPr>
        <w:spacing w:line="360" w:lineRule="exact"/>
        <w:ind w:firstLine="470" w:firstLineChars="196"/>
        <w:rPr>
          <w:rFonts w:ascii="宋体" w:hAnsi="宋体" w:eastAsia="宋体"/>
          <w:szCs w:val="21"/>
        </w:rPr>
      </w:pPr>
      <w:r>
        <w:rPr>
          <w:rFonts w:hint="eastAsia" w:ascii="宋体" w:hAnsi="宋体" w:eastAsia="宋体"/>
          <w:szCs w:val="21"/>
        </w:rPr>
        <w:t>投标文件包括本通用条款第</w:t>
      </w:r>
      <w:r>
        <w:rPr>
          <w:rFonts w:ascii="宋体" w:hAnsi="宋体" w:eastAsia="宋体"/>
          <w:szCs w:val="21"/>
        </w:rPr>
        <w:t>15条中规定的内容。如招标文件提供了投标文件格式，则</w:t>
      </w:r>
      <w:r>
        <w:rPr>
          <w:rFonts w:hint="eastAsia" w:ascii="宋体" w:hAnsi="宋体" w:eastAsia="宋体"/>
          <w:b/>
          <w:bCs/>
          <w:szCs w:val="21"/>
        </w:rPr>
        <w:t>投标人提交的投标文件应毫无例外地使用招标文件所提供的相应格式</w:t>
      </w:r>
      <w:r>
        <w:rPr>
          <w:rFonts w:hint="eastAsia" w:ascii="宋体" w:hAnsi="宋体" w:eastAsia="宋体"/>
          <w:szCs w:val="21"/>
        </w:rPr>
        <w:t>（表格均可按同样格式扩展）。</w:t>
      </w:r>
    </w:p>
    <w:p w14:paraId="5096532B">
      <w:pPr>
        <w:spacing w:line="360" w:lineRule="exact"/>
        <w:rPr>
          <w:rFonts w:ascii="宋体" w:hAnsi="宋体" w:eastAsia="宋体"/>
        </w:rPr>
      </w:pPr>
      <w:r>
        <w:rPr>
          <w:rFonts w:hint="eastAsia" w:ascii="宋体" w:hAnsi="宋体" w:eastAsia="宋体"/>
        </w:rPr>
        <w:t>17．投标货币</w:t>
      </w:r>
    </w:p>
    <w:p w14:paraId="6DDD71A7">
      <w:pPr>
        <w:spacing w:line="360" w:lineRule="exact"/>
        <w:ind w:firstLine="470" w:firstLineChars="196"/>
        <w:rPr>
          <w:rFonts w:ascii="宋体" w:hAnsi="宋体" w:eastAsia="宋体"/>
          <w:szCs w:val="21"/>
        </w:rPr>
      </w:pPr>
      <w:r>
        <w:rPr>
          <w:rFonts w:hint="eastAsia" w:ascii="宋体" w:hAnsi="宋体" w:eastAsia="宋体"/>
          <w:szCs w:val="21"/>
        </w:rPr>
        <w:t>本项目的投标报价应以人民币计。</w:t>
      </w:r>
    </w:p>
    <w:bookmarkEnd w:id="64"/>
    <w:p w14:paraId="31DB2353">
      <w:pPr>
        <w:spacing w:line="360" w:lineRule="exact"/>
        <w:rPr>
          <w:rFonts w:ascii="宋体" w:hAnsi="宋体" w:eastAsia="宋体"/>
        </w:rPr>
      </w:pPr>
      <w:r>
        <w:rPr>
          <w:rFonts w:hint="eastAsia" w:ascii="宋体" w:hAnsi="宋体" w:eastAsia="宋体"/>
        </w:rPr>
        <w:t>18．</w:t>
      </w:r>
      <w:bookmarkStart w:id="65" w:name="_Hlk72401735"/>
      <w:r>
        <w:rPr>
          <w:rFonts w:hint="eastAsia" w:ascii="宋体" w:hAnsi="宋体" w:eastAsia="宋体"/>
        </w:rPr>
        <w:t>证明投标文件投标技术方案的合格性和符合招标文件规定的文件要求</w:t>
      </w:r>
    </w:p>
    <w:p w14:paraId="184EB473">
      <w:pPr>
        <w:spacing w:line="360" w:lineRule="exact"/>
        <w:ind w:firstLine="470" w:firstLineChars="196"/>
        <w:rPr>
          <w:rFonts w:ascii="宋体" w:hAnsi="宋体" w:eastAsia="宋体"/>
          <w:szCs w:val="21"/>
        </w:rPr>
      </w:pPr>
      <w:r>
        <w:rPr>
          <w:rFonts w:hint="eastAsia" w:ascii="宋体" w:hAnsi="宋体" w:eastAsia="宋体"/>
          <w:szCs w:val="21"/>
        </w:rPr>
        <w:t>18</w:t>
      </w:r>
      <w:r>
        <w:rPr>
          <w:rFonts w:ascii="宋体" w:hAnsi="宋体" w:eastAsia="宋体"/>
          <w:szCs w:val="21"/>
        </w:rPr>
        <w:t xml:space="preserve">.1 </w:t>
      </w:r>
      <w:r>
        <w:rPr>
          <w:rFonts w:hint="eastAsia" w:ascii="宋体" w:hAnsi="宋体" w:eastAsia="宋体"/>
          <w:szCs w:val="21"/>
        </w:rPr>
        <w:t>投标人应提交证明文件，证明其投标技术方案项下的货物和服务的合格性符合招标文件规定。该投标技术方案及其证明文件均作为投标文件组成部分。</w:t>
      </w:r>
    </w:p>
    <w:p w14:paraId="13C2304C">
      <w:pPr>
        <w:spacing w:line="360" w:lineRule="exact"/>
        <w:ind w:firstLine="470" w:firstLineChars="196"/>
        <w:rPr>
          <w:rFonts w:ascii="宋体" w:hAnsi="宋体" w:eastAsia="宋体"/>
          <w:szCs w:val="21"/>
        </w:rPr>
      </w:pPr>
      <w:r>
        <w:rPr>
          <w:rFonts w:ascii="宋体" w:hAnsi="宋体" w:eastAsia="宋体"/>
          <w:szCs w:val="21"/>
        </w:rPr>
        <w:t>1</w:t>
      </w:r>
      <w:r>
        <w:rPr>
          <w:rFonts w:hint="eastAsia" w:ascii="宋体" w:hAnsi="宋体" w:eastAsia="宋体"/>
          <w:szCs w:val="21"/>
        </w:rPr>
        <w:t>8</w:t>
      </w:r>
      <w:r>
        <w:rPr>
          <w:rFonts w:ascii="宋体" w:hAnsi="宋体" w:eastAsia="宋体"/>
          <w:szCs w:val="21"/>
        </w:rPr>
        <w:t xml:space="preserve">.2 </w:t>
      </w:r>
      <w:r>
        <w:rPr>
          <w:rFonts w:hint="eastAsia" w:ascii="宋体" w:hAnsi="宋体" w:eastAsia="宋体"/>
          <w:szCs w:val="21"/>
        </w:rPr>
        <w:t>投标人提供证明投标技术方案与招标文件的要求相一致的文件，可以是文字资料、图纸、数据或数码照片、制造商公布的产品说明书、产品彩页和我国政府机构出具的产品检验和核准证件等，提供的文件应符合以下要求：</w:t>
      </w:r>
    </w:p>
    <w:p w14:paraId="0A379141">
      <w:pPr>
        <w:spacing w:line="360" w:lineRule="exact"/>
        <w:ind w:firstLine="470" w:firstLineChars="196"/>
        <w:rPr>
          <w:rFonts w:ascii="宋体" w:hAnsi="宋体" w:eastAsia="宋体"/>
          <w:szCs w:val="21"/>
        </w:rPr>
      </w:pPr>
      <w:r>
        <w:rPr>
          <w:rFonts w:hint="eastAsia" w:ascii="宋体" w:hAnsi="宋体" w:eastAsia="宋体"/>
          <w:szCs w:val="21"/>
        </w:rPr>
        <w:t>18.2.1主要技术指标和性能的详细说明。</w:t>
      </w:r>
    </w:p>
    <w:p w14:paraId="54CA413A">
      <w:pPr>
        <w:spacing w:line="360" w:lineRule="exact"/>
        <w:ind w:firstLine="470" w:firstLineChars="196"/>
        <w:rPr>
          <w:rFonts w:ascii="宋体" w:hAnsi="宋体" w:eastAsia="宋体"/>
          <w:szCs w:val="21"/>
        </w:rPr>
      </w:pPr>
      <w:r>
        <w:rPr>
          <w:rFonts w:hint="eastAsia" w:ascii="宋体" w:hAnsi="宋体" w:eastAsia="宋体"/>
          <w:szCs w:val="21"/>
        </w:rPr>
        <w:t>18.2.</w:t>
      </w:r>
      <w:r>
        <w:rPr>
          <w:rFonts w:ascii="宋体" w:hAnsi="宋体" w:eastAsia="宋体"/>
          <w:szCs w:val="21"/>
        </w:rPr>
        <w:t>2</w:t>
      </w:r>
      <w:r>
        <w:rPr>
          <w:rFonts w:hint="eastAsia" w:ascii="宋体" w:hAnsi="宋体" w:eastAsia="宋体"/>
          <w:szCs w:val="21"/>
        </w:rPr>
        <w:t>投标产品从采购人开始使用至招标文件中规定的周期内正常、连续地使用所必须的备件和专用工具清单，包括备件和专用工具的货源及现行价格。</w:t>
      </w:r>
    </w:p>
    <w:p w14:paraId="7A601EED">
      <w:pPr>
        <w:spacing w:line="360" w:lineRule="exact"/>
        <w:ind w:firstLine="470" w:firstLineChars="196"/>
        <w:rPr>
          <w:rFonts w:ascii="宋体" w:hAnsi="宋体" w:eastAsia="宋体"/>
          <w:szCs w:val="21"/>
        </w:rPr>
      </w:pPr>
      <w:r>
        <w:rPr>
          <w:rFonts w:hint="eastAsia" w:ascii="宋体" w:hAnsi="宋体" w:eastAsia="宋体"/>
          <w:szCs w:val="21"/>
        </w:rPr>
        <w:t>18.2.</w:t>
      </w:r>
      <w:r>
        <w:rPr>
          <w:rFonts w:ascii="宋体" w:hAnsi="宋体" w:eastAsia="宋体"/>
          <w:szCs w:val="21"/>
        </w:rPr>
        <w:t>3</w:t>
      </w:r>
      <w:r>
        <w:rPr>
          <w:rFonts w:hint="eastAsia" w:ascii="宋体" w:hAnsi="宋体" w:eastAsia="宋体"/>
          <w:szCs w:val="21"/>
        </w:rPr>
        <w:t>对照招标文件技术规格，逐条说明投标技术方案已对采购人的技术规格做出了实质性的响应，或申明与技术规格条文的偏差和例外。投标人应详细说明投标技术方案中产品的具体参数，不得不合理照搬照抄招标文件的技术要求。</w:t>
      </w:r>
    </w:p>
    <w:p w14:paraId="7D453D4F">
      <w:pPr>
        <w:spacing w:line="360" w:lineRule="exact"/>
        <w:ind w:firstLine="470" w:firstLineChars="196"/>
        <w:rPr>
          <w:rFonts w:ascii="宋体" w:hAnsi="宋体" w:eastAsia="宋体"/>
          <w:szCs w:val="21"/>
        </w:rPr>
      </w:pPr>
      <w:r>
        <w:rPr>
          <w:rFonts w:hint="eastAsia" w:ascii="宋体" w:hAnsi="宋体" w:eastAsia="宋体"/>
          <w:szCs w:val="21"/>
        </w:rPr>
        <w:t>18.2.4产品说明书或彩页应为制造商公布或出具的中文产品说明书或彩页；提供外文说明书或彩页的，必须同时提供加盖制造商公章的对应中文翻译说明，评标依据以中文翻译内容为准，外文说明书或彩页仅供参考；产品说明书或彩页的尺寸和</w:t>
      </w:r>
      <w:r>
        <w:rPr>
          <w:rFonts w:hint="eastAsia" w:ascii="宋体" w:hAnsi="宋体" w:eastAsia="宋体"/>
        </w:rPr>
        <w:t>清晰度要求能够使用电脑阅读、识别和判断</w:t>
      </w:r>
      <w:r>
        <w:rPr>
          <w:rFonts w:hint="eastAsia" w:ascii="宋体" w:hAnsi="宋体" w:eastAsia="宋体"/>
          <w:szCs w:val="21"/>
        </w:rPr>
        <w:t>；</w:t>
      </w:r>
    </w:p>
    <w:p w14:paraId="61FB3E75">
      <w:pPr>
        <w:spacing w:line="360" w:lineRule="exact"/>
        <w:ind w:firstLine="470" w:firstLineChars="196"/>
        <w:rPr>
          <w:rFonts w:ascii="宋体" w:hAnsi="宋体" w:eastAsia="宋体"/>
          <w:szCs w:val="21"/>
        </w:rPr>
      </w:pPr>
      <w:r>
        <w:rPr>
          <w:rFonts w:hint="eastAsia" w:ascii="宋体" w:hAnsi="宋体" w:eastAsia="宋体"/>
          <w:szCs w:val="21"/>
        </w:rPr>
        <w:t>18.2.5我国政府机构出具的产品检验和核准证件应为证件正面、背面和附件标注的全部具体内容；产品检验和核准证件的尺寸和清晰度应该能够在电脑上被阅读、识别和判断，提供原件扫描件。</w:t>
      </w:r>
    </w:p>
    <w:p w14:paraId="6951AB81">
      <w:pPr>
        <w:spacing w:line="360" w:lineRule="exact"/>
        <w:ind w:firstLine="470" w:firstLineChars="196"/>
        <w:rPr>
          <w:rFonts w:ascii="宋体" w:hAnsi="宋体" w:eastAsia="宋体"/>
          <w:szCs w:val="21"/>
        </w:rPr>
      </w:pPr>
      <w:r>
        <w:rPr>
          <w:rFonts w:hint="eastAsia" w:ascii="宋体" w:hAnsi="宋体" w:eastAsia="宋体"/>
          <w:szCs w:val="21"/>
        </w:rPr>
        <w:t>18.3相关资料不符合18.2款要求的，评审委员会有权认定为投标技术方案不合格响应，其相关分数予以扣减或作投标无效处理。</w:t>
      </w:r>
    </w:p>
    <w:p w14:paraId="116B23B8">
      <w:pPr>
        <w:spacing w:line="360" w:lineRule="exact"/>
        <w:ind w:firstLine="470" w:firstLineChars="196"/>
        <w:rPr>
          <w:rFonts w:ascii="宋体" w:hAnsi="宋体" w:eastAsia="宋体"/>
          <w:szCs w:val="21"/>
        </w:rPr>
      </w:pPr>
      <w:r>
        <w:rPr>
          <w:rFonts w:ascii="宋体" w:hAnsi="宋体" w:eastAsia="宋体"/>
          <w:szCs w:val="21"/>
        </w:rPr>
        <w:t>1</w:t>
      </w:r>
      <w:r>
        <w:rPr>
          <w:rFonts w:hint="eastAsia" w:ascii="宋体" w:hAnsi="宋体" w:eastAsia="宋体"/>
          <w:szCs w:val="21"/>
        </w:rPr>
        <w:t>8</w:t>
      </w:r>
      <w:r>
        <w:rPr>
          <w:rFonts w:ascii="宋体" w:hAnsi="宋体" w:eastAsia="宋体"/>
          <w:szCs w:val="21"/>
        </w:rPr>
        <w:t>.</w:t>
      </w:r>
      <w:r>
        <w:rPr>
          <w:rFonts w:hint="eastAsia" w:ascii="宋体" w:hAnsi="宋体" w:eastAsia="宋体"/>
          <w:szCs w:val="21"/>
        </w:rPr>
        <w:t>4投标人在阐述上述第18.2时应注意采购人在技术规格中指出的工艺、材料和设备的标准以及参照的牌号或分类号仅起说明作用，并没有任何限制性。投标人在投标中可以选用替代标准、牌号或分类号，但这些替代要实质上满足招标文件中技术规格的要求，是否</w:t>
      </w:r>
      <w:r>
        <w:rPr>
          <w:rFonts w:hint="eastAsia" w:ascii="宋体" w:hAnsi="宋体" w:eastAsia="宋体"/>
        </w:rPr>
        <w:t>满足要求</w:t>
      </w:r>
      <w:r>
        <w:rPr>
          <w:rFonts w:hint="eastAsia" w:ascii="宋体" w:hAnsi="宋体" w:eastAsia="宋体"/>
          <w:szCs w:val="21"/>
        </w:rPr>
        <w:t>，由评审委员会来评判。</w:t>
      </w:r>
    </w:p>
    <w:p w14:paraId="16E2B15A">
      <w:pPr>
        <w:spacing w:line="360" w:lineRule="exact"/>
        <w:ind w:firstLine="470" w:firstLineChars="196"/>
        <w:rPr>
          <w:rFonts w:ascii="宋体" w:hAnsi="宋体" w:eastAsia="宋体"/>
          <w:szCs w:val="21"/>
        </w:rPr>
      </w:pPr>
      <w:r>
        <w:rPr>
          <w:rFonts w:hint="eastAsia" w:ascii="宋体" w:hAnsi="宋体" w:eastAsia="宋体"/>
          <w:szCs w:val="21"/>
        </w:rPr>
        <w:t>18.5除非另有规定或说明，投标人对同一项目投标时，不得同时提供两套或两套以上的投标方案。</w:t>
      </w:r>
    </w:p>
    <w:bookmarkEnd w:id="65"/>
    <w:p w14:paraId="0DE9D75C">
      <w:pPr>
        <w:spacing w:line="360" w:lineRule="exact"/>
        <w:rPr>
          <w:rFonts w:ascii="宋体" w:hAnsi="宋体" w:eastAsia="宋体"/>
        </w:rPr>
      </w:pPr>
      <w:r>
        <w:rPr>
          <w:rFonts w:hint="eastAsia" w:ascii="宋体" w:hAnsi="宋体" w:eastAsia="宋体"/>
        </w:rPr>
        <w:t>19．</w:t>
      </w:r>
      <w:bookmarkStart w:id="66" w:name="_Hlk72402034"/>
      <w:r>
        <w:rPr>
          <w:rFonts w:hint="eastAsia" w:ascii="宋体" w:hAnsi="宋体" w:eastAsia="宋体"/>
        </w:rPr>
        <w:t>投标文件其他证明文件的要求</w:t>
      </w:r>
    </w:p>
    <w:p w14:paraId="0AB83F37">
      <w:pPr>
        <w:spacing w:line="360" w:lineRule="exact"/>
        <w:rPr>
          <w:rFonts w:ascii="宋体" w:hAnsi="宋体" w:eastAsia="宋体"/>
          <w:color w:val="FF0000"/>
          <w:szCs w:val="21"/>
        </w:rPr>
      </w:pPr>
      <w:r>
        <w:rPr>
          <w:rFonts w:hint="eastAsia" w:ascii="宋体" w:hAnsi="宋体" w:eastAsia="宋体"/>
          <w:szCs w:val="21"/>
        </w:rPr>
        <w:t>19.1采用综合评分法的项目，对项目招标文件《评标信息》评分项中涉及的相关业绩、社保情况等内容以及《资格性审查表》和《符合性审查表》中涉及的证明材料，投标人应提供相关部门出具的证明材料扫描件或照片，原件备查。有关扫描件（或照片）的尺寸和清晰度要求能够使用电脑阅读、识别和判断。若投标人未按要求提供证明材料或提供的是部分证明材料或提供不清晰的扫描件（或照片）的，评审委员会有权认定其投标文件未对招标文件有关需求进行响应，涉及资格性检查或符合性检查的予以投标无效处理，涉及《评标信息》打分项的则该项评分予以0分处理。评审委员会对供应商投标资料是否异常、是否有效问题进行核查和判定，如认为供应商投标资料有异常或无效的，若涉及资格性审查或符合性审查条款的，则应作投标无效处理；若涉及评分的，则作不得分处理。</w:t>
      </w:r>
      <w:bookmarkStart w:id="67" w:name="_Hlk71407299"/>
    </w:p>
    <w:bookmarkEnd w:id="67"/>
    <w:p w14:paraId="5122A9C0">
      <w:pPr>
        <w:spacing w:line="360" w:lineRule="exact"/>
        <w:ind w:firstLine="470" w:firstLineChars="196"/>
        <w:rPr>
          <w:rFonts w:ascii="宋体" w:hAnsi="宋体" w:eastAsia="宋体"/>
          <w:szCs w:val="21"/>
        </w:rPr>
      </w:pPr>
      <w:r>
        <w:rPr>
          <w:rFonts w:hint="eastAsia" w:ascii="宋体" w:hAnsi="宋体" w:eastAsia="宋体"/>
          <w:szCs w:val="21"/>
        </w:rPr>
        <w:t>19.2本项目涉及提供的有关资质（资格）证书，若原有资质（资格）证书处于年审期间，须提供证书颁发部门提供的回执，并且回执须证明该证书依然有效（若在法规范围不需提供的，供应商应做书面说明并提供证明文件，否则该证书无效），则该投标人提供年审证明的可按原资质（资格）投标；若投标人正在申报上一级别资质（资格），在未获批准之前，仍按原级别资质（资格）投标。</w:t>
      </w:r>
    </w:p>
    <w:p w14:paraId="2AC98404">
      <w:pPr>
        <w:spacing w:line="360" w:lineRule="exact"/>
        <w:rPr>
          <w:rFonts w:ascii="宋体" w:hAnsi="宋体" w:eastAsia="宋体"/>
        </w:rPr>
      </w:pPr>
      <w:r>
        <w:rPr>
          <w:rFonts w:hint="eastAsia" w:ascii="宋体" w:hAnsi="宋体" w:eastAsia="宋体"/>
        </w:rPr>
        <w:t>20．投标有效期</w:t>
      </w:r>
    </w:p>
    <w:bookmarkEnd w:id="66"/>
    <w:p w14:paraId="1031E725">
      <w:pPr>
        <w:spacing w:line="360" w:lineRule="exact"/>
        <w:ind w:firstLine="470" w:firstLineChars="196"/>
        <w:rPr>
          <w:rFonts w:ascii="宋体" w:hAnsi="宋体" w:eastAsia="宋体"/>
          <w:szCs w:val="21"/>
        </w:rPr>
      </w:pPr>
      <w:bookmarkStart w:id="68" w:name="_Hlk72402214"/>
      <w:r>
        <w:rPr>
          <w:rFonts w:hint="eastAsia" w:ascii="宋体" w:hAnsi="宋体" w:eastAsia="宋体"/>
          <w:szCs w:val="21"/>
        </w:rPr>
        <w:t>20.1 投标有效期为</w:t>
      </w:r>
      <w:r>
        <w:rPr>
          <w:rFonts w:hint="eastAsia" w:ascii="宋体" w:hAnsi="宋体" w:eastAsia="宋体" w:cs="Arial"/>
          <w:szCs w:val="21"/>
        </w:rPr>
        <w:t>从投标截止之日算起的日历天数。</w:t>
      </w:r>
      <w:r>
        <w:rPr>
          <w:rFonts w:hint="eastAsia" w:ascii="宋体" w:hAnsi="宋体" w:eastAsia="宋体"/>
          <w:szCs w:val="21"/>
        </w:rPr>
        <w:t>在此期限内，所有投标文件均保持有效。</w:t>
      </w:r>
    </w:p>
    <w:p w14:paraId="6D70C939">
      <w:pPr>
        <w:spacing w:line="360" w:lineRule="exact"/>
        <w:ind w:firstLine="470" w:firstLineChars="196"/>
        <w:rPr>
          <w:rFonts w:ascii="宋体" w:hAnsi="宋体" w:eastAsia="宋体"/>
          <w:szCs w:val="21"/>
        </w:rPr>
      </w:pPr>
      <w:r>
        <w:rPr>
          <w:rFonts w:hint="eastAsia" w:ascii="宋体" w:hAnsi="宋体" w:eastAsia="宋体"/>
          <w:szCs w:val="21"/>
        </w:rPr>
        <w:t>20.2 在特殊情况下，政府采购机构在原定的投标有效期满之前，政府采购机构可以根据需要以书面形式（包括政府采购机构网站公开发布方式）向投标人提出延长投标有效期的要求，对此要求投标人须以书面形式予以答复，投标人可以拒绝政府采购机构此项要求，其投标在原投标有效期满后不再有效。同意延长投标有效期的投标人不能要求也不允许修改其投标文件。</w:t>
      </w:r>
    </w:p>
    <w:p w14:paraId="6B9A5719">
      <w:pPr>
        <w:spacing w:line="360" w:lineRule="exact"/>
        <w:ind w:firstLine="470" w:firstLineChars="196"/>
        <w:rPr>
          <w:rFonts w:ascii="宋体" w:hAnsi="宋体" w:eastAsia="宋体"/>
          <w:szCs w:val="21"/>
        </w:rPr>
      </w:pPr>
      <w:r>
        <w:rPr>
          <w:rFonts w:hint="eastAsia" w:ascii="宋体" w:hAnsi="宋体" w:eastAsia="宋体"/>
          <w:szCs w:val="21"/>
        </w:rPr>
        <w:t>20</w:t>
      </w:r>
      <w:r>
        <w:rPr>
          <w:rFonts w:ascii="宋体" w:hAnsi="宋体" w:eastAsia="宋体"/>
          <w:szCs w:val="21"/>
        </w:rPr>
        <w:t>.3</w:t>
      </w:r>
      <w:r>
        <w:rPr>
          <w:rFonts w:hint="eastAsia" w:ascii="宋体" w:hAnsi="宋体" w:eastAsia="宋体"/>
          <w:szCs w:val="21"/>
        </w:rPr>
        <w:t xml:space="preserve"> 中标供应商的投标文件有效期，截止于完成本招标文件规定的全部项目内容，并通过竣工验收及保修期结束。</w:t>
      </w:r>
    </w:p>
    <w:bookmarkEnd w:id="68"/>
    <w:p w14:paraId="5EB9FD77">
      <w:pPr>
        <w:spacing w:line="360" w:lineRule="exact"/>
        <w:rPr>
          <w:rFonts w:ascii="宋体" w:hAnsi="宋体" w:eastAsia="宋体"/>
        </w:rPr>
      </w:pPr>
      <w:r>
        <w:rPr>
          <w:rFonts w:hint="eastAsia" w:ascii="宋体" w:hAnsi="宋体" w:eastAsia="宋体"/>
        </w:rPr>
        <w:t>21．</w:t>
      </w:r>
      <w:bookmarkStart w:id="69" w:name="_Hlk72402325"/>
      <w:r>
        <w:rPr>
          <w:rFonts w:hint="eastAsia" w:ascii="宋体" w:hAnsi="宋体" w:eastAsia="宋体"/>
        </w:rPr>
        <w:t xml:space="preserve">关于投标保证金 </w:t>
      </w:r>
    </w:p>
    <w:p w14:paraId="64EDDA27">
      <w:pPr>
        <w:spacing w:line="360" w:lineRule="exact"/>
        <w:rPr>
          <w:rFonts w:ascii="宋体" w:hAnsi="宋体" w:eastAsia="宋体"/>
          <w:szCs w:val="21"/>
        </w:rPr>
      </w:pPr>
      <w:r>
        <w:rPr>
          <w:rFonts w:hint="eastAsia" w:ascii="宋体" w:hAnsi="宋体" w:eastAsia="宋体"/>
          <w:szCs w:val="21"/>
        </w:rPr>
        <w:t xml:space="preserve">    21.1 </w:t>
      </w:r>
      <w:r>
        <w:rPr>
          <w:rFonts w:hint="eastAsia" w:ascii="宋体" w:hAnsi="宋体" w:eastAsia="宋体"/>
        </w:rPr>
        <w:t>根据《深圳市财政局关于调整政府采购投标（响应）保证金管理政策的通知》（深财购〔2021〕51号）文的规定，本项目不收取投标保证金。</w:t>
      </w:r>
    </w:p>
    <w:p w14:paraId="0DCE86E5">
      <w:pPr>
        <w:spacing w:line="360" w:lineRule="exact"/>
        <w:rPr>
          <w:rFonts w:ascii="宋体" w:hAnsi="宋体" w:eastAsia="宋体"/>
        </w:rPr>
      </w:pPr>
      <w:r>
        <w:rPr>
          <w:rFonts w:hint="eastAsia" w:ascii="宋体" w:hAnsi="宋体" w:eastAsia="宋体"/>
        </w:rPr>
        <w:t>22．投标人的替代方案</w:t>
      </w:r>
    </w:p>
    <w:p w14:paraId="0E089F66">
      <w:pPr>
        <w:spacing w:line="360" w:lineRule="exact"/>
        <w:ind w:firstLine="470" w:firstLineChars="196"/>
        <w:rPr>
          <w:rFonts w:ascii="宋体" w:hAnsi="宋体" w:eastAsia="宋体"/>
          <w:szCs w:val="21"/>
        </w:rPr>
      </w:pPr>
      <w:r>
        <w:rPr>
          <w:rFonts w:hint="eastAsia" w:ascii="宋体" w:hAnsi="宋体" w:eastAsia="宋体"/>
          <w:szCs w:val="21"/>
        </w:rPr>
        <w:t>22.1投标人所提交的投标文件应完全满足招标文件（包括图纸和技术规范所示的基本技术设计）的要求。除非项目明确允许投标人提交替代方案，否则投标人有关替代方案的条款将初审不通过，作投标无效处理。</w:t>
      </w:r>
    </w:p>
    <w:p w14:paraId="5B056BA8">
      <w:pPr>
        <w:spacing w:line="360" w:lineRule="exact"/>
        <w:ind w:firstLine="470" w:firstLineChars="196"/>
        <w:rPr>
          <w:rFonts w:ascii="宋体" w:hAnsi="宋体" w:eastAsia="宋体"/>
          <w:szCs w:val="21"/>
        </w:rPr>
      </w:pPr>
      <w:r>
        <w:rPr>
          <w:rFonts w:hint="eastAsia" w:ascii="宋体" w:hAnsi="宋体" w:eastAsia="宋体"/>
          <w:szCs w:val="21"/>
        </w:rPr>
        <w:t>22.2 如果允许投标人提交替代方案，则准备提交替代方案的投标人除应提交一份满足招标文件（包括图纸和技术规范所示的基本技术设计）要求的投标文件外，还应提交需评审其替代方案所需的全部资料，包括项目方案书、技术规范、替代方案报价书、所建议的项目方案及有关的其它详细资料。</w:t>
      </w:r>
    </w:p>
    <w:bookmarkEnd w:id="69"/>
    <w:p w14:paraId="34975058">
      <w:pPr>
        <w:spacing w:line="360" w:lineRule="exact"/>
        <w:rPr>
          <w:rFonts w:ascii="宋体" w:hAnsi="宋体" w:eastAsia="宋体"/>
        </w:rPr>
      </w:pPr>
      <w:r>
        <w:rPr>
          <w:rFonts w:hint="eastAsia" w:ascii="宋体" w:hAnsi="宋体" w:eastAsia="宋体"/>
        </w:rPr>
        <w:t>23．</w:t>
      </w:r>
      <w:bookmarkStart w:id="70" w:name="_Hlk72402860"/>
      <w:r>
        <w:rPr>
          <w:rFonts w:ascii="宋体" w:hAnsi="宋体" w:eastAsia="宋体"/>
        </w:rPr>
        <w:t>投标文件的</w:t>
      </w:r>
      <w:r>
        <w:rPr>
          <w:rFonts w:hint="eastAsia" w:ascii="宋体" w:hAnsi="宋体" w:eastAsia="宋体"/>
        </w:rPr>
        <w:t>制作</w:t>
      </w:r>
      <w:r>
        <w:rPr>
          <w:rFonts w:ascii="宋体" w:hAnsi="宋体" w:eastAsia="宋体"/>
        </w:rPr>
        <w:t>要求</w:t>
      </w:r>
    </w:p>
    <w:p w14:paraId="75DAE97F">
      <w:pPr>
        <w:spacing w:line="360" w:lineRule="exact"/>
        <w:ind w:firstLine="470" w:firstLineChars="196"/>
        <w:rPr>
          <w:rFonts w:ascii="宋体" w:hAnsi="宋体" w:eastAsia="宋体"/>
        </w:rPr>
      </w:pPr>
      <w:r>
        <w:rPr>
          <w:rFonts w:hint="eastAsia" w:ascii="宋体" w:hAnsi="宋体" w:eastAsia="宋体"/>
        </w:rPr>
        <w:t>23.1投标人应准备所投项目的电子投标文件一份。此电子投标文件须由投标人根据政府采购机构提供的后缀名为.szczf的电子招标文件，下载并使用相应的深圳智慧采购平台投标文件制作专用软件打开招标文件（.szczf格式）【下载地址：http://zfcg.szggzy.com:8081/cgxy/013002/20210923/173e0b2c-7a4c-4246-a0c7-e0ea75d84dd6.html】。</w:t>
      </w:r>
    </w:p>
    <w:p w14:paraId="28008BA8">
      <w:pPr>
        <w:spacing w:line="360" w:lineRule="exact"/>
        <w:ind w:firstLine="470" w:firstLineChars="196"/>
        <w:rPr>
          <w:rFonts w:ascii="宋体" w:hAnsi="宋体" w:eastAsia="宋体"/>
        </w:rPr>
      </w:pPr>
      <w:r>
        <w:rPr>
          <w:rFonts w:hint="eastAsia" w:ascii="宋体" w:hAnsi="宋体" w:eastAsia="宋体"/>
        </w:rPr>
        <w:t>23.2投标人在使用《投标文件制作软件》编制投标书时须注意：</w:t>
      </w:r>
    </w:p>
    <w:p w14:paraId="7D19A495">
      <w:pPr>
        <w:spacing w:line="360" w:lineRule="exact"/>
        <w:ind w:firstLine="470" w:firstLineChars="196"/>
        <w:rPr>
          <w:rFonts w:ascii="宋体" w:hAnsi="宋体" w:eastAsia="宋体"/>
        </w:rPr>
      </w:pPr>
      <w:r>
        <w:rPr>
          <w:rFonts w:hint="eastAsia" w:ascii="宋体" w:hAnsi="宋体" w:eastAsia="宋体"/>
        </w:rPr>
        <w:t>23.2.1导入《投标文件制作软件》的招标文件项目编号、包号应与以此制作的投标文件项目编号、包号一致。例如，不能将甲项目A包的招标书导入《投标文件制作软件》，制作乙项目B包的投标书。</w:t>
      </w:r>
    </w:p>
    <w:p w14:paraId="77DA78C1">
      <w:pPr>
        <w:spacing w:line="360" w:lineRule="exact"/>
        <w:ind w:firstLine="470" w:firstLineChars="196"/>
        <w:rPr>
          <w:rFonts w:ascii="宋体" w:hAnsi="宋体" w:eastAsia="宋体"/>
        </w:rPr>
      </w:pPr>
      <w:r>
        <w:rPr>
          <w:rFonts w:hint="eastAsia" w:ascii="宋体" w:hAnsi="宋体" w:eastAsia="宋体"/>
        </w:rPr>
        <w:t>23.2.2不能用非本公司的电子密钥加密本公司的投标文件，或者用其它公司的登录用户上传本公司的投标文件。</w:t>
      </w:r>
    </w:p>
    <w:p w14:paraId="7375F646">
      <w:pPr>
        <w:spacing w:line="360" w:lineRule="exact"/>
        <w:ind w:firstLine="470" w:firstLineChars="196"/>
        <w:rPr>
          <w:rFonts w:ascii="宋体" w:hAnsi="宋体" w:eastAsia="宋体"/>
        </w:rPr>
      </w:pPr>
      <w:r>
        <w:rPr>
          <w:rFonts w:hint="eastAsia" w:ascii="宋体" w:hAnsi="宋体" w:eastAsia="宋体"/>
        </w:rPr>
        <w:t>23.2.3要求用《投标文件制作软件》编制投标书的包，不能用其它方式编制投标书。编制投标文件时，电脑须连通互联网。</w:t>
      </w:r>
    </w:p>
    <w:p w14:paraId="7D4EA29C">
      <w:pPr>
        <w:spacing w:line="360" w:lineRule="exact"/>
        <w:ind w:firstLine="470" w:firstLineChars="196"/>
        <w:rPr>
          <w:rFonts w:ascii="宋体" w:hAnsi="宋体" w:eastAsia="宋体"/>
        </w:rPr>
      </w:pPr>
      <w:r>
        <w:rPr>
          <w:rFonts w:hint="eastAsia" w:ascii="宋体" w:hAnsi="宋体" w:eastAsia="宋体"/>
        </w:rPr>
        <w:t>23.2.4投标文件不能带病毒。政府采购机构将用专业杀毒软件对投标文件进行病毒检测，如果这两种软件均报告发现病毒，则政府采购机构认为该投标文件带病毒。</w:t>
      </w:r>
    </w:p>
    <w:p w14:paraId="13897437">
      <w:pPr>
        <w:spacing w:line="360" w:lineRule="exact"/>
        <w:ind w:firstLine="470" w:firstLineChars="196"/>
        <w:rPr>
          <w:rFonts w:ascii="宋体" w:hAnsi="宋体" w:eastAsia="宋体"/>
        </w:rPr>
      </w:pPr>
      <w:r>
        <w:rPr>
          <w:rFonts w:hint="eastAsia" w:ascii="宋体" w:hAnsi="宋体" w:eastAsia="宋体"/>
        </w:rPr>
        <w:t>23.2.5完整填写“投标关键信息”，如下图所示：</w:t>
      </w:r>
    </w:p>
    <w:p w14:paraId="335E1408">
      <w:pPr>
        <w:spacing w:line="360" w:lineRule="exact"/>
        <w:ind w:firstLine="470" w:firstLineChars="196"/>
        <w:rPr>
          <w:rFonts w:ascii="宋体" w:hAnsi="宋体" w:eastAsia="宋体"/>
        </w:rPr>
      </w:pPr>
      <w:r>
        <w:rPr>
          <w:rFonts w:ascii="宋体" w:hAnsi="宋体" w:eastAsia="宋体"/>
        </w:rPr>
        <w:drawing>
          <wp:inline distT="0" distB="0" distL="0" distR="0">
            <wp:extent cx="5278755" cy="2721610"/>
            <wp:effectExtent l="0" t="0" r="0" b="2540"/>
            <wp:docPr id="9" name="图片 9"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形用户界面, 应用程序&#10;&#10;描述已自动生成"/>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8755" cy="2721610"/>
                    </a:xfrm>
                    <a:prstGeom prst="rect">
                      <a:avLst/>
                    </a:prstGeom>
                    <a:noFill/>
                    <a:ln>
                      <a:noFill/>
                    </a:ln>
                  </pic:spPr>
                </pic:pic>
              </a:graphicData>
            </a:graphic>
          </wp:inline>
        </w:drawing>
      </w:r>
    </w:p>
    <w:p w14:paraId="2386B359">
      <w:pPr>
        <w:spacing w:line="360" w:lineRule="exact"/>
        <w:ind w:firstLine="472" w:firstLineChars="196"/>
        <w:rPr>
          <w:rFonts w:ascii="宋体" w:hAnsi="宋体" w:eastAsia="宋体"/>
          <w:b/>
        </w:rPr>
      </w:pPr>
      <w:r>
        <w:rPr>
          <w:rFonts w:hint="eastAsia" w:ascii="宋体" w:hAnsi="宋体" w:eastAsia="宋体"/>
          <w:b/>
        </w:rPr>
        <w:t>备注：上述“开标一览表”中的“投标报价”将作为价格分计算依据；其它信息仅是对投标文件相关内容的概括性表述，不作为评审依据。</w:t>
      </w:r>
    </w:p>
    <w:p w14:paraId="6772D912">
      <w:pPr>
        <w:spacing w:line="360" w:lineRule="exact"/>
        <w:ind w:firstLine="470" w:firstLineChars="196"/>
        <w:rPr>
          <w:rFonts w:ascii="宋体" w:hAnsi="宋体" w:eastAsia="宋体"/>
        </w:rPr>
      </w:pPr>
      <w:r>
        <w:rPr>
          <w:rFonts w:hint="eastAsia" w:ascii="宋体" w:hAnsi="宋体" w:eastAsia="宋体"/>
        </w:rPr>
        <w:t>23.2.6投标人在编辑投标文件时，</w:t>
      </w:r>
      <w:r>
        <w:rPr>
          <w:rFonts w:hint="eastAsia" w:ascii="宋体" w:hAnsi="宋体" w:eastAsia="宋体"/>
          <w:b/>
        </w:rPr>
        <w:t>在投标文件目录中属于本节点内容的必须在本节点中填写，填写到其他节点或附件，</w:t>
      </w:r>
      <w:r>
        <w:rPr>
          <w:rFonts w:hint="eastAsia" w:ascii="宋体" w:hAnsi="宋体" w:eastAsia="宋体"/>
        </w:rPr>
        <w:t>一切后果由供应商自行承担。</w:t>
      </w:r>
    </w:p>
    <w:p w14:paraId="70A3D867">
      <w:pPr>
        <w:spacing w:line="360" w:lineRule="exact"/>
        <w:ind w:firstLine="470" w:firstLineChars="196"/>
        <w:rPr>
          <w:rFonts w:ascii="宋体" w:hAnsi="宋体" w:eastAsia="宋体"/>
        </w:rPr>
      </w:pPr>
      <w:r>
        <w:rPr>
          <w:rFonts w:hint="eastAsia" w:ascii="宋体" w:hAnsi="宋体" w:eastAsia="宋体"/>
        </w:rPr>
        <w:t>23.2.7投标文件编写完成后，</w:t>
      </w:r>
      <w:r>
        <w:rPr>
          <w:rFonts w:hint="eastAsia" w:ascii="宋体" w:hAnsi="宋体" w:eastAsia="宋体"/>
          <w:b/>
        </w:rPr>
        <w:t>必须用属于投标人的电子密钥进行加密，否则视同未盖公章，将导致投标文件无效。</w:t>
      </w:r>
    </w:p>
    <w:p w14:paraId="2F5A1B39">
      <w:pPr>
        <w:spacing w:line="360" w:lineRule="exact"/>
        <w:ind w:firstLine="470" w:firstLineChars="196"/>
        <w:rPr>
          <w:rFonts w:ascii="宋体" w:hAnsi="宋体" w:eastAsia="宋体"/>
        </w:rPr>
      </w:pPr>
      <w:r>
        <w:rPr>
          <w:rFonts w:hint="eastAsia" w:ascii="宋体" w:hAnsi="宋体" w:eastAsia="宋体"/>
        </w:rPr>
        <w:t>23.2.8政府采购机构不接受投标截止时间后递交的纸质、电子、传真等所有形式的投标文件。由于对网上政府采购系统操作不熟悉或自身电脑、网络等原因导致不能在投标截止时间之前上传投标文件，政府采购机构概不负责。建议于开标前一个工作日完成投标文件的制作与上传，如上传确有困难，请及时咨询。</w:t>
      </w:r>
    </w:p>
    <w:p w14:paraId="62D43743">
      <w:pPr>
        <w:spacing w:line="360" w:lineRule="exact"/>
        <w:ind w:firstLine="470" w:firstLineChars="196"/>
        <w:rPr>
          <w:rFonts w:ascii="宋体" w:hAnsi="宋体" w:eastAsia="宋体"/>
        </w:rPr>
      </w:pPr>
      <w:r>
        <w:rPr>
          <w:rFonts w:hint="eastAsia" w:ascii="宋体" w:hAnsi="宋体" w:eastAsia="宋体"/>
        </w:rPr>
        <w:t>23.2.9如果开标时出现网络故障、技术故障，影响了政府采购活动，政府采购机构有权采取措施如延期、接受无法从网上上传的投标书等，以保障政府采购活动的公开、公平和公正。</w:t>
      </w:r>
    </w:p>
    <w:p w14:paraId="251075A4">
      <w:pPr>
        <w:spacing w:line="360" w:lineRule="exact"/>
        <w:ind w:firstLine="470" w:firstLineChars="196"/>
        <w:rPr>
          <w:rFonts w:ascii="宋体" w:hAnsi="宋体" w:eastAsia="宋体"/>
        </w:rPr>
      </w:pPr>
      <w:r>
        <w:rPr>
          <w:rFonts w:hint="eastAsia" w:ascii="宋体" w:hAnsi="宋体" w:eastAsia="宋体"/>
        </w:rPr>
        <w:t>23.3电报、电话、传真形式的投标概不接受。</w:t>
      </w:r>
    </w:p>
    <w:p w14:paraId="46240F06">
      <w:pPr>
        <w:spacing w:line="360" w:lineRule="exact"/>
        <w:ind w:firstLine="472" w:firstLineChars="196"/>
        <w:rPr>
          <w:rFonts w:ascii="宋体" w:hAnsi="宋体" w:eastAsia="宋体"/>
          <w:b/>
        </w:rPr>
      </w:pPr>
      <w:r>
        <w:rPr>
          <w:rFonts w:hint="eastAsia" w:ascii="宋体" w:hAnsi="宋体" w:eastAsia="宋体"/>
          <w:b/>
        </w:rPr>
        <w:t>23.4经投标人电子密钥加密的投标文件无须盖章或签字，</w:t>
      </w:r>
      <w:r>
        <w:rPr>
          <w:rFonts w:hint="eastAsia" w:ascii="宋体" w:hAnsi="宋体" w:eastAsia="宋体"/>
        </w:rPr>
        <w:t>专用条款另有要求的除外。</w:t>
      </w:r>
    </w:p>
    <w:p w14:paraId="1A499CDC">
      <w:pPr>
        <w:spacing w:line="360" w:lineRule="exact"/>
        <w:ind w:firstLine="472" w:firstLineChars="196"/>
        <w:rPr>
          <w:rFonts w:ascii="宋体" w:hAnsi="宋体" w:eastAsia="宋体"/>
        </w:rPr>
      </w:pPr>
      <w:r>
        <w:rPr>
          <w:rFonts w:hint="eastAsia" w:ascii="宋体" w:hAnsi="宋体" w:eastAsia="宋体"/>
          <w:b/>
        </w:rPr>
        <w:t>23.5</w:t>
      </w:r>
      <w:r>
        <w:rPr>
          <w:rFonts w:hint="eastAsia" w:ascii="宋体" w:hAnsi="宋体" w:eastAsia="宋体"/>
        </w:rPr>
        <w:t xml:space="preserve"> 各类资格（资质）文件提供扫描件，专用条款另有要求的除外。</w:t>
      </w:r>
      <w:bookmarkEnd w:id="70"/>
    </w:p>
    <w:p w14:paraId="7D52D7FC">
      <w:pPr>
        <w:pStyle w:val="5"/>
        <w:keepNext/>
        <w:keepLines/>
        <w:widowControl w:val="0"/>
        <w:numPr>
          <w:ilvl w:val="0"/>
          <w:numId w:val="10"/>
        </w:numPr>
        <w:spacing w:line="360" w:lineRule="exact"/>
        <w:ind w:left="0" w:hanging="562"/>
        <w:rPr>
          <w:rFonts w:eastAsia="宋体"/>
          <w:sz w:val="28"/>
          <w:szCs w:val="28"/>
        </w:rPr>
      </w:pPr>
      <w:r>
        <w:rPr>
          <w:rFonts w:hint="eastAsia" w:eastAsia="宋体"/>
          <w:sz w:val="28"/>
          <w:szCs w:val="28"/>
        </w:rPr>
        <w:t>投标文件的递交</w:t>
      </w:r>
      <w:bookmarkStart w:id="71" w:name="_Hlk72405459"/>
    </w:p>
    <w:p w14:paraId="200FF521">
      <w:pPr>
        <w:spacing w:line="360" w:lineRule="exact"/>
        <w:rPr>
          <w:rFonts w:ascii="宋体" w:hAnsi="宋体" w:eastAsia="宋体"/>
        </w:rPr>
      </w:pPr>
      <w:r>
        <w:rPr>
          <w:rFonts w:hint="eastAsia" w:ascii="宋体" w:hAnsi="宋体" w:eastAsia="宋体"/>
        </w:rPr>
        <w:t>24．投标书的保密</w:t>
      </w:r>
    </w:p>
    <w:p w14:paraId="2B3D0E21">
      <w:pPr>
        <w:spacing w:line="360" w:lineRule="exact"/>
        <w:ind w:firstLine="470" w:firstLineChars="196"/>
        <w:rPr>
          <w:rFonts w:ascii="宋体" w:hAnsi="宋体" w:eastAsia="宋体"/>
        </w:rPr>
      </w:pPr>
      <w:r>
        <w:rPr>
          <w:rFonts w:hint="eastAsia" w:ascii="宋体" w:hAnsi="宋体" w:eastAsia="宋体"/>
        </w:rPr>
        <w:t>24.1在投标文件制作完成后，在投标文件制作软件点击【生成标书】按钮进入【填写开标一览表界面】界面，在该界面填写完开标一览表信息后点击【确定】，进入投标文件生成环节。投标文件制作软件会在投标文件生成过程中，提示用户输入密码，输入密码后对标文件自动进行加密，此加密程序确保投标文件在到达开标时间后才能解密查看。在加密过程中，请按照软件提示进行操作。加密操作界面如下图所示：</w:t>
      </w:r>
    </w:p>
    <w:p w14:paraId="06A3A707">
      <w:pPr>
        <w:spacing w:line="360" w:lineRule="exact"/>
        <w:ind w:firstLine="470" w:firstLineChars="196"/>
        <w:rPr>
          <w:rFonts w:ascii="宋体" w:hAnsi="宋体" w:eastAsia="宋体"/>
        </w:rPr>
      </w:pPr>
      <w:r>
        <w:rPr>
          <w:rFonts w:ascii="宋体" w:hAnsi="宋体" w:eastAsia="宋体"/>
        </w:rPr>
        <w:drawing>
          <wp:inline distT="0" distB="0" distL="0" distR="0">
            <wp:extent cx="5278755" cy="2721610"/>
            <wp:effectExtent l="0" t="0" r="0" b="2540"/>
            <wp:docPr id="7" name="图片 7"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形用户界面, 应用程序&#10;&#10;描述已自动生成"/>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8755" cy="2721610"/>
                    </a:xfrm>
                    <a:prstGeom prst="rect">
                      <a:avLst/>
                    </a:prstGeom>
                    <a:noFill/>
                    <a:ln>
                      <a:noFill/>
                    </a:ln>
                  </pic:spPr>
                </pic:pic>
              </a:graphicData>
            </a:graphic>
          </wp:inline>
        </w:drawing>
      </w:r>
    </w:p>
    <w:p w14:paraId="6D37C3EF">
      <w:pPr>
        <w:spacing w:line="360" w:lineRule="exact"/>
        <w:ind w:firstLine="470" w:firstLineChars="196"/>
        <w:rPr>
          <w:rFonts w:ascii="宋体" w:hAnsi="宋体" w:eastAsia="宋体"/>
        </w:rPr>
      </w:pPr>
      <w:r>
        <w:rPr>
          <w:rFonts w:hint="eastAsia" w:ascii="宋体" w:hAnsi="宋体" w:eastAsia="宋体"/>
        </w:rPr>
        <w:t>在投标文件制作软件点击【生成标书】按钮进入【填写开标一览表界面】界面，在该界面填写完开标一览表信息后点击【确定】，进入投标文件生成环节。</w:t>
      </w:r>
      <w:r>
        <w:rPr>
          <w:rFonts w:ascii="宋体" w:hAnsi="宋体" w:eastAsia="宋体"/>
        </w:rPr>
        <w:drawing>
          <wp:inline distT="0" distB="0" distL="0" distR="0">
            <wp:extent cx="5278755" cy="2732405"/>
            <wp:effectExtent l="0" t="0" r="0" b="0"/>
            <wp:docPr id="8" name="图片 8"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形用户界面&#10;&#10;描述已自动生成"/>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8755" cy="2732405"/>
                    </a:xfrm>
                    <a:prstGeom prst="rect">
                      <a:avLst/>
                    </a:prstGeom>
                    <a:noFill/>
                    <a:ln>
                      <a:noFill/>
                    </a:ln>
                  </pic:spPr>
                </pic:pic>
              </a:graphicData>
            </a:graphic>
          </wp:inline>
        </w:drawing>
      </w:r>
    </w:p>
    <w:p w14:paraId="424EF509">
      <w:pPr>
        <w:spacing w:line="360" w:lineRule="exact"/>
        <w:ind w:firstLine="470" w:firstLineChars="196"/>
        <w:rPr>
          <w:rFonts w:ascii="宋体" w:hAnsi="宋体" w:eastAsia="宋体"/>
        </w:rPr>
      </w:pPr>
      <w:r>
        <w:rPr>
          <w:rFonts w:hint="eastAsia" w:ascii="宋体" w:hAnsi="宋体" w:eastAsia="宋体"/>
        </w:rPr>
        <w:t>投标文件制作软件会在投标文件生成过程中，提示用户输入密码，输入密码后对投标文件自动进行加密。</w:t>
      </w:r>
    </w:p>
    <w:p w14:paraId="25766275">
      <w:pPr>
        <w:spacing w:line="360" w:lineRule="exact"/>
        <w:ind w:firstLine="482" w:firstLineChars="200"/>
        <w:rPr>
          <w:rFonts w:ascii="宋体" w:hAnsi="宋体" w:eastAsia="宋体"/>
          <w:b/>
        </w:rPr>
      </w:pPr>
      <w:r>
        <w:rPr>
          <w:rFonts w:hint="eastAsia" w:ascii="宋体" w:hAnsi="宋体" w:eastAsia="宋体"/>
          <w:b/>
        </w:rPr>
        <w:t>24.2若采购项目出现延期情况：</w:t>
      </w:r>
    </w:p>
    <w:p w14:paraId="658F1C87">
      <w:pPr>
        <w:spacing w:line="360" w:lineRule="exact"/>
        <w:ind w:firstLine="482" w:firstLineChars="200"/>
        <w:rPr>
          <w:rFonts w:ascii="宋体" w:hAnsi="宋体" w:eastAsia="宋体"/>
          <w:b/>
        </w:rPr>
      </w:pPr>
      <w:r>
        <w:rPr>
          <w:rFonts w:hint="eastAsia" w:ascii="宋体" w:hAnsi="宋体" w:eastAsia="宋体"/>
          <w:b/>
        </w:rPr>
        <w:t>如果供下载的招标文件（后缀名为.</w:t>
      </w:r>
      <w:r>
        <w:rPr>
          <w:rFonts w:ascii="宋体" w:hAnsi="宋体" w:eastAsia="宋体"/>
          <w:b/>
        </w:rPr>
        <w:t>szczf</w:t>
      </w:r>
      <w:r>
        <w:rPr>
          <w:rFonts w:hint="eastAsia" w:ascii="宋体" w:hAnsi="宋体" w:eastAsia="宋体"/>
          <w:b/>
        </w:rPr>
        <w:t>）有更新，投标人必须重新下载招标文件、重新制作投标文件、重新加密投标文件、重新上传投标文件；如果供下载的招标文件（后缀名为.</w:t>
      </w:r>
      <w:r>
        <w:rPr>
          <w:rFonts w:ascii="宋体" w:hAnsi="宋体" w:eastAsia="宋体"/>
          <w:b/>
        </w:rPr>
        <w:t>szczf</w:t>
      </w:r>
      <w:r>
        <w:rPr>
          <w:rFonts w:hint="eastAsia" w:ascii="宋体" w:hAnsi="宋体" w:eastAsia="宋体"/>
          <w:b/>
        </w:rPr>
        <w:t>）没有更新，投标人必须重新加密投标文件、重新上传投标文件（是否重新制作投标文件根据项目实际情况定）。否则，投标人自行承担投标文件无法解密导致投标无效的后果。</w:t>
      </w:r>
    </w:p>
    <w:p w14:paraId="4994AAA4">
      <w:pPr>
        <w:spacing w:line="360" w:lineRule="exact"/>
        <w:rPr>
          <w:rFonts w:ascii="宋体" w:hAnsi="宋体" w:eastAsia="宋体"/>
        </w:rPr>
      </w:pPr>
      <w:r>
        <w:rPr>
          <w:rFonts w:hint="eastAsia" w:ascii="宋体" w:hAnsi="宋体" w:eastAsia="宋体"/>
        </w:rPr>
        <w:t>25．上传投标文件及投标截止日期</w:t>
      </w:r>
    </w:p>
    <w:p w14:paraId="443D96F9">
      <w:pPr>
        <w:spacing w:line="360" w:lineRule="exact"/>
        <w:ind w:firstLine="470" w:firstLineChars="196"/>
        <w:rPr>
          <w:rFonts w:ascii="宋体" w:hAnsi="宋体" w:eastAsia="宋体"/>
        </w:rPr>
      </w:pPr>
      <w:r>
        <w:rPr>
          <w:rFonts w:hint="eastAsia" w:ascii="宋体" w:hAnsi="宋体" w:eastAsia="宋体"/>
        </w:rPr>
        <w:t>25</w:t>
      </w:r>
      <w:r>
        <w:rPr>
          <w:rFonts w:ascii="宋体" w:hAnsi="宋体" w:eastAsia="宋体"/>
        </w:rPr>
        <w:t>.</w:t>
      </w:r>
      <w:r>
        <w:rPr>
          <w:rFonts w:hint="eastAsia" w:ascii="宋体" w:hAnsi="宋体" w:eastAsia="宋体"/>
        </w:rPr>
        <w:t>1实行网上投标，</w:t>
      </w:r>
      <w:r>
        <w:rPr>
          <w:rFonts w:ascii="宋体" w:hAnsi="宋体" w:eastAsia="宋体"/>
        </w:rPr>
        <w:t>投标人必须</w:t>
      </w:r>
      <w:r>
        <w:rPr>
          <w:rFonts w:hint="eastAsia" w:ascii="宋体" w:hAnsi="宋体" w:eastAsia="宋体"/>
        </w:rPr>
        <w:t>在招标</w:t>
      </w:r>
      <w:r>
        <w:rPr>
          <w:rFonts w:ascii="宋体" w:hAnsi="宋体" w:eastAsia="宋体"/>
        </w:rPr>
        <w:t>文件规定的投标截止时间前</w:t>
      </w:r>
      <w:r>
        <w:rPr>
          <w:rFonts w:hint="eastAsia" w:ascii="宋体" w:hAnsi="宋体" w:eastAsia="宋体"/>
        </w:rPr>
        <w:t>用电子密钥登录“深圳政府采购智慧平台用户网上办事子系统（http://zfcg.szggzy.com:8081/TPBidder/memberLogin）”，用“【我的项目】→【项目流程】→【递交投标(应答)文件】”功能点上传投标文件。如上传过程中遇到问题，可拨打技术支持电话，联系方式：0755-88653300，转6。</w:t>
      </w:r>
    </w:p>
    <w:p w14:paraId="0B4F102D">
      <w:pPr>
        <w:spacing w:line="360" w:lineRule="exact"/>
        <w:ind w:firstLine="470" w:firstLineChars="196"/>
        <w:rPr>
          <w:rFonts w:ascii="宋体" w:hAnsi="宋体" w:eastAsia="宋体"/>
        </w:rPr>
      </w:pPr>
      <w:r>
        <w:rPr>
          <w:rFonts w:hint="eastAsia" w:ascii="宋体" w:hAnsi="宋体" w:eastAsia="宋体"/>
        </w:rPr>
        <w:t>25.2政府采购机构可以按本通用条款第13条规定，通过修改招标文件自行决定酌情延长投标截止期。在此情况下，政府采购机构、采购人和投标人受投标截止期制约的所有权利和义务均应延长至新的截止期。</w:t>
      </w:r>
    </w:p>
    <w:p w14:paraId="786DFE3F">
      <w:pPr>
        <w:spacing w:line="360" w:lineRule="exact"/>
        <w:ind w:firstLine="470" w:firstLineChars="196"/>
        <w:rPr>
          <w:rFonts w:ascii="宋体" w:hAnsi="宋体" w:eastAsia="宋体"/>
        </w:rPr>
      </w:pPr>
      <w:r>
        <w:rPr>
          <w:rFonts w:hint="eastAsia" w:ascii="宋体" w:hAnsi="宋体" w:eastAsia="宋体"/>
        </w:rPr>
        <w:t>25</w:t>
      </w:r>
      <w:r>
        <w:rPr>
          <w:rFonts w:ascii="宋体" w:hAnsi="宋体" w:eastAsia="宋体"/>
        </w:rPr>
        <w:t>.</w:t>
      </w:r>
      <w:r>
        <w:rPr>
          <w:rFonts w:hint="eastAsia" w:ascii="宋体" w:hAnsi="宋体" w:eastAsia="宋体"/>
        </w:rPr>
        <w:t>3投标截止时间以后不得上传投标文件。</w:t>
      </w:r>
    </w:p>
    <w:p w14:paraId="419CC24E">
      <w:pPr>
        <w:spacing w:line="360" w:lineRule="exact"/>
        <w:ind w:firstLine="470" w:firstLineChars="196"/>
        <w:rPr>
          <w:rFonts w:ascii="宋体" w:hAnsi="宋体" w:eastAsia="宋体"/>
        </w:rPr>
      </w:pPr>
      <w:r>
        <w:rPr>
          <w:rFonts w:hint="eastAsia" w:ascii="宋体" w:hAnsi="宋体" w:eastAsia="宋体"/>
        </w:rPr>
        <w:t>25.4.投标人须在开标当日的开标时间至解密截止时间内进行解密，逾期未解密的作无效处理。解密方法：登录“深圳政府采购智慧平台用户网上办事子系统（http://zfcg.szggzy.com:8081/TPBidder/memberLogin）”，使用本单位制作电子投标文件同一个电子密钥，在“【我的项目】→【项目流程】→【开标及解密】”进行在线解密、查询开标情况。</w:t>
      </w:r>
    </w:p>
    <w:bookmarkEnd w:id="71"/>
    <w:p w14:paraId="1ADBAA7C">
      <w:pPr>
        <w:spacing w:line="360" w:lineRule="exact"/>
        <w:rPr>
          <w:rFonts w:ascii="宋体" w:hAnsi="宋体" w:eastAsia="宋体"/>
        </w:rPr>
      </w:pPr>
      <w:r>
        <w:rPr>
          <w:rFonts w:hint="eastAsia" w:ascii="宋体" w:hAnsi="宋体" w:eastAsia="宋体"/>
        </w:rPr>
        <w:t>26. 样品、演示、方案讲解</w:t>
      </w:r>
    </w:p>
    <w:p w14:paraId="2331A5B0">
      <w:pPr>
        <w:spacing w:line="360" w:lineRule="exact"/>
        <w:ind w:firstLine="470" w:firstLineChars="196"/>
        <w:rPr>
          <w:rFonts w:ascii="宋体" w:hAnsi="宋体" w:eastAsia="宋体"/>
          <w:szCs w:val="21"/>
        </w:rPr>
      </w:pPr>
      <w:r>
        <w:rPr>
          <w:rFonts w:hint="eastAsia" w:ascii="宋体" w:hAnsi="宋体" w:eastAsia="宋体"/>
          <w:szCs w:val="21"/>
        </w:rPr>
        <w:t>26.1 样品、演示、方案讲解等事项在招标文件专用条款中进行规定。</w:t>
      </w:r>
    </w:p>
    <w:p w14:paraId="5A0BB152">
      <w:pPr>
        <w:spacing w:line="360" w:lineRule="exact"/>
        <w:rPr>
          <w:rFonts w:ascii="宋体" w:hAnsi="宋体" w:eastAsia="宋体"/>
        </w:rPr>
      </w:pPr>
      <w:bookmarkStart w:id="72" w:name="_Hlk72428346"/>
      <w:r>
        <w:rPr>
          <w:rFonts w:ascii="宋体" w:hAnsi="宋体" w:eastAsia="宋体"/>
        </w:rPr>
        <w:t>2</w:t>
      </w:r>
      <w:r>
        <w:rPr>
          <w:rFonts w:hint="eastAsia" w:ascii="宋体" w:hAnsi="宋体" w:eastAsia="宋体"/>
        </w:rPr>
        <w:t>7．</w:t>
      </w:r>
      <w:r>
        <w:rPr>
          <w:rFonts w:ascii="宋体" w:hAnsi="宋体" w:eastAsia="宋体"/>
        </w:rPr>
        <w:t>投标文件的修改和撤销</w:t>
      </w:r>
    </w:p>
    <w:p w14:paraId="70E66248">
      <w:pPr>
        <w:spacing w:line="360" w:lineRule="exact"/>
        <w:ind w:firstLine="470" w:firstLineChars="196"/>
        <w:rPr>
          <w:rFonts w:ascii="宋体" w:hAnsi="宋体" w:eastAsia="宋体"/>
        </w:rPr>
      </w:pPr>
      <w:r>
        <w:rPr>
          <w:rFonts w:ascii="宋体" w:hAnsi="宋体" w:eastAsia="宋体"/>
        </w:rPr>
        <w:t>2</w:t>
      </w:r>
      <w:r>
        <w:rPr>
          <w:rFonts w:hint="eastAsia" w:ascii="宋体" w:hAnsi="宋体" w:eastAsia="宋体"/>
        </w:rPr>
        <w:t>7</w:t>
      </w:r>
      <w:r>
        <w:rPr>
          <w:rFonts w:ascii="宋体" w:hAnsi="宋体" w:eastAsia="宋体"/>
        </w:rPr>
        <w:t>.</w:t>
      </w:r>
      <w:r>
        <w:rPr>
          <w:rFonts w:hint="eastAsia" w:ascii="宋体" w:hAnsi="宋体" w:eastAsia="宋体"/>
        </w:rPr>
        <w:t>1</w:t>
      </w:r>
      <w:r>
        <w:rPr>
          <w:rFonts w:ascii="宋体" w:hAnsi="宋体" w:eastAsia="宋体"/>
        </w:rPr>
        <w:t>投标方在提交投标文件后可对其投标文件进行修改</w:t>
      </w:r>
      <w:r>
        <w:rPr>
          <w:rFonts w:hint="eastAsia" w:ascii="宋体" w:hAnsi="宋体" w:eastAsia="宋体"/>
        </w:rPr>
        <w:t>并重新上传投标文件</w:t>
      </w:r>
      <w:r>
        <w:rPr>
          <w:rFonts w:ascii="宋体" w:hAnsi="宋体" w:eastAsia="宋体"/>
        </w:rPr>
        <w:t>或</w:t>
      </w:r>
      <w:r>
        <w:rPr>
          <w:rFonts w:hint="eastAsia" w:ascii="宋体" w:hAnsi="宋体" w:eastAsia="宋体"/>
        </w:rPr>
        <w:t>在网上进行</w:t>
      </w:r>
      <w:r>
        <w:rPr>
          <w:rFonts w:ascii="宋体" w:hAnsi="宋体" w:eastAsia="宋体"/>
        </w:rPr>
        <w:t>撤销</w:t>
      </w:r>
      <w:r>
        <w:rPr>
          <w:rFonts w:hint="eastAsia" w:ascii="宋体" w:hAnsi="宋体" w:eastAsia="宋体"/>
        </w:rPr>
        <w:t>投标的操作</w:t>
      </w:r>
      <w:r>
        <w:rPr>
          <w:rFonts w:ascii="宋体" w:hAnsi="宋体" w:eastAsia="宋体"/>
        </w:rPr>
        <w:t>。</w:t>
      </w:r>
    </w:p>
    <w:p w14:paraId="6644BA3E">
      <w:pPr>
        <w:spacing w:line="360" w:lineRule="exact"/>
        <w:ind w:firstLine="470" w:firstLineChars="196"/>
        <w:rPr>
          <w:rFonts w:ascii="宋体" w:hAnsi="宋体" w:eastAsia="宋体"/>
        </w:rPr>
      </w:pPr>
      <w:r>
        <w:rPr>
          <w:rFonts w:ascii="宋体" w:hAnsi="宋体" w:eastAsia="宋体"/>
        </w:rPr>
        <w:t>2</w:t>
      </w:r>
      <w:r>
        <w:rPr>
          <w:rFonts w:hint="eastAsia" w:ascii="宋体" w:hAnsi="宋体" w:eastAsia="宋体"/>
        </w:rPr>
        <w:t>7</w:t>
      </w:r>
      <w:r>
        <w:rPr>
          <w:rFonts w:ascii="宋体" w:hAnsi="宋体" w:eastAsia="宋体"/>
        </w:rPr>
        <w:t>.</w:t>
      </w:r>
      <w:r>
        <w:rPr>
          <w:rFonts w:hint="eastAsia" w:ascii="宋体" w:hAnsi="宋体" w:eastAsia="宋体"/>
        </w:rPr>
        <w:t>2</w:t>
      </w:r>
      <w:r>
        <w:rPr>
          <w:rFonts w:ascii="宋体" w:hAnsi="宋体" w:eastAsia="宋体"/>
        </w:rPr>
        <w:t>投标截止时间以后不得修改投标文件。</w:t>
      </w:r>
    </w:p>
    <w:p w14:paraId="7C180D90">
      <w:pPr>
        <w:spacing w:line="360" w:lineRule="exact"/>
        <w:ind w:firstLine="470" w:firstLineChars="196"/>
        <w:rPr>
          <w:rFonts w:ascii="宋体" w:hAnsi="宋体" w:eastAsia="宋体"/>
        </w:rPr>
      </w:pPr>
      <w:r>
        <w:rPr>
          <w:rFonts w:ascii="宋体" w:hAnsi="宋体" w:eastAsia="宋体"/>
        </w:rPr>
        <w:t>2</w:t>
      </w:r>
      <w:r>
        <w:rPr>
          <w:rFonts w:hint="eastAsia" w:ascii="宋体" w:hAnsi="宋体" w:eastAsia="宋体"/>
        </w:rPr>
        <w:t>7</w:t>
      </w:r>
      <w:r>
        <w:rPr>
          <w:rFonts w:ascii="宋体" w:hAnsi="宋体" w:eastAsia="宋体"/>
        </w:rPr>
        <w:t>.</w:t>
      </w:r>
      <w:r>
        <w:rPr>
          <w:rFonts w:hint="eastAsia" w:ascii="宋体" w:hAnsi="宋体" w:eastAsia="宋体"/>
        </w:rPr>
        <w:t>3从投标截止期至投标人在投标文件中确定的投标有效期之间的这段时间内，投标人不得撤回其投标。</w:t>
      </w:r>
    </w:p>
    <w:p w14:paraId="296A9695">
      <w:pPr>
        <w:spacing w:line="360" w:lineRule="exact"/>
        <w:ind w:firstLine="470" w:firstLineChars="196"/>
        <w:rPr>
          <w:rFonts w:ascii="宋体" w:hAnsi="宋体" w:eastAsia="宋体"/>
          <w:szCs w:val="21"/>
        </w:rPr>
      </w:pPr>
      <w:r>
        <w:rPr>
          <w:rFonts w:hint="eastAsia" w:ascii="宋体" w:hAnsi="宋体" w:eastAsia="宋体"/>
          <w:szCs w:val="21"/>
        </w:rPr>
        <w:t>27.4政府采购机构不退还投标文件，专用条款另有规定的除外。</w:t>
      </w:r>
    </w:p>
    <w:bookmarkEnd w:id="72"/>
    <w:p w14:paraId="5AA7FAC1">
      <w:pPr>
        <w:pStyle w:val="5"/>
        <w:keepNext/>
        <w:keepLines/>
        <w:widowControl w:val="0"/>
        <w:numPr>
          <w:ilvl w:val="0"/>
          <w:numId w:val="10"/>
        </w:numPr>
        <w:spacing w:line="360" w:lineRule="exact"/>
        <w:ind w:left="0" w:hanging="562"/>
        <w:rPr>
          <w:rFonts w:eastAsia="宋体"/>
          <w:sz w:val="28"/>
          <w:szCs w:val="28"/>
        </w:rPr>
      </w:pPr>
      <w:r>
        <w:rPr>
          <w:rFonts w:hint="eastAsia" w:eastAsia="宋体"/>
          <w:sz w:val="28"/>
          <w:szCs w:val="28"/>
        </w:rPr>
        <w:t>开标</w:t>
      </w:r>
    </w:p>
    <w:p w14:paraId="7E7AC04B">
      <w:pPr>
        <w:spacing w:line="360" w:lineRule="exact"/>
        <w:rPr>
          <w:rFonts w:ascii="宋体" w:hAnsi="宋体" w:eastAsia="宋体"/>
        </w:rPr>
      </w:pPr>
      <w:r>
        <w:rPr>
          <w:rFonts w:hint="eastAsia" w:ascii="宋体" w:hAnsi="宋体" w:eastAsia="宋体"/>
        </w:rPr>
        <w:t>28．开标</w:t>
      </w:r>
    </w:p>
    <w:p w14:paraId="4DBC67DB">
      <w:pPr>
        <w:spacing w:line="360" w:lineRule="exact"/>
        <w:ind w:firstLine="480" w:firstLineChars="200"/>
        <w:rPr>
          <w:rFonts w:ascii="宋体" w:hAnsi="宋体" w:eastAsia="宋体"/>
        </w:rPr>
      </w:pPr>
      <w:r>
        <w:rPr>
          <w:rFonts w:ascii="宋体" w:hAnsi="宋体" w:eastAsia="宋体"/>
          <w:szCs w:val="21"/>
        </w:rPr>
        <w:t>2</w:t>
      </w:r>
      <w:r>
        <w:rPr>
          <w:rFonts w:hint="eastAsia" w:ascii="宋体" w:hAnsi="宋体" w:eastAsia="宋体"/>
          <w:szCs w:val="21"/>
        </w:rPr>
        <w:t>8</w:t>
      </w:r>
      <w:r>
        <w:rPr>
          <w:rFonts w:ascii="宋体" w:hAnsi="宋体" w:eastAsia="宋体"/>
          <w:szCs w:val="21"/>
        </w:rPr>
        <w:t>.</w:t>
      </w:r>
      <w:r>
        <w:rPr>
          <w:rFonts w:hint="eastAsia" w:ascii="宋体" w:hAnsi="宋体" w:eastAsia="宋体"/>
          <w:szCs w:val="21"/>
        </w:rPr>
        <w:t>1</w:t>
      </w:r>
      <w:r>
        <w:rPr>
          <w:rFonts w:hint="eastAsia" w:ascii="宋体" w:hAnsi="宋体" w:eastAsia="宋体"/>
        </w:rPr>
        <w:t>投标人须在开标当日的开标时间至解密截止时间内进行解密，逾期未解密的作无效处理。解密方法：登录“深圳政府采购智慧平台用户网上办事子系统（http://zfcg.szggzy.com:8081/TPBidder/memberLogin）”，使用本单位制作电子投标文件同一个电子密钥，在“【我的项目】→【项目流程】→【开标及解密】”进行在线解密、查询开标情况。</w:t>
      </w:r>
    </w:p>
    <w:p w14:paraId="5477B173">
      <w:pPr>
        <w:spacing w:line="360" w:lineRule="exact"/>
        <w:ind w:firstLine="410" w:firstLineChars="171"/>
        <w:rPr>
          <w:rFonts w:ascii="宋体" w:hAnsi="宋体" w:eastAsia="宋体"/>
          <w:szCs w:val="21"/>
        </w:rPr>
      </w:pPr>
      <w:r>
        <w:rPr>
          <w:rFonts w:hint="eastAsia" w:ascii="宋体" w:hAnsi="宋体" w:eastAsia="宋体"/>
          <w:szCs w:val="21"/>
        </w:rPr>
        <w:t>2</w:t>
      </w:r>
      <w:r>
        <w:rPr>
          <w:rFonts w:ascii="宋体" w:hAnsi="宋体" w:eastAsia="宋体"/>
          <w:szCs w:val="21"/>
        </w:rPr>
        <w:t xml:space="preserve">8.2 </w:t>
      </w:r>
      <w:r>
        <w:rPr>
          <w:rFonts w:hint="eastAsia" w:ascii="宋体" w:hAnsi="宋体" w:eastAsia="宋体"/>
          <w:szCs w:val="21"/>
        </w:rPr>
        <w:t>政府采购机构将在满足开标条件（</w:t>
      </w:r>
      <w:r>
        <w:rPr>
          <w:rFonts w:hint="eastAsia" w:ascii="宋体" w:hAnsi="宋体" w:eastAsia="宋体" w:cs="宋体"/>
          <w:color w:val="333333"/>
          <w:sz w:val="20"/>
          <w:szCs w:val="20"/>
          <w:shd w:val="clear" w:color="auto" w:fill="FFFFFF"/>
        </w:rPr>
        <w:t>①</w:t>
      </w:r>
      <w:r>
        <w:rPr>
          <w:rFonts w:hint="eastAsia" w:ascii="宋体" w:hAnsi="宋体" w:eastAsia="宋体"/>
          <w:szCs w:val="21"/>
        </w:rPr>
        <w:t>解密时间结束，解密后的投标供应商数量满足开标要求或</w:t>
      </w:r>
      <w:r>
        <w:rPr>
          <w:rFonts w:hint="eastAsia" w:ascii="宋体" w:hAnsi="宋体" w:eastAsia="宋体" w:cs="宋体"/>
          <w:color w:val="333333"/>
          <w:sz w:val="20"/>
          <w:szCs w:val="20"/>
          <w:shd w:val="clear" w:color="auto" w:fill="FFFFFF"/>
        </w:rPr>
        <w:t>②</w:t>
      </w:r>
      <w:r>
        <w:rPr>
          <w:rFonts w:hint="eastAsia" w:ascii="宋体" w:hAnsi="宋体" w:eastAsia="宋体"/>
          <w:szCs w:val="21"/>
        </w:rPr>
        <w:t>解密时间结束前所有投标供应商均完成投标文件解密）后，对投标文件进行开标，并在网上公布开标结果。</w:t>
      </w:r>
    </w:p>
    <w:p w14:paraId="22D523D3">
      <w:pPr>
        <w:pStyle w:val="5"/>
        <w:keepNext/>
        <w:keepLines/>
        <w:widowControl w:val="0"/>
        <w:numPr>
          <w:ilvl w:val="0"/>
          <w:numId w:val="10"/>
        </w:numPr>
        <w:spacing w:line="360" w:lineRule="exact"/>
        <w:ind w:left="0" w:hanging="562"/>
        <w:rPr>
          <w:rFonts w:eastAsia="宋体"/>
          <w:sz w:val="28"/>
          <w:szCs w:val="28"/>
        </w:rPr>
      </w:pPr>
      <w:r>
        <w:rPr>
          <w:rFonts w:hint="eastAsia" w:eastAsia="宋体"/>
          <w:sz w:val="28"/>
          <w:szCs w:val="28"/>
        </w:rPr>
        <w:t>评审要求</w:t>
      </w:r>
    </w:p>
    <w:p w14:paraId="27CBE0B7">
      <w:pPr>
        <w:spacing w:line="360" w:lineRule="exact"/>
        <w:rPr>
          <w:rFonts w:ascii="宋体" w:hAnsi="宋体" w:eastAsia="宋体"/>
        </w:rPr>
      </w:pPr>
      <w:r>
        <w:rPr>
          <w:rFonts w:hint="eastAsia" w:ascii="宋体" w:hAnsi="宋体" w:eastAsia="宋体"/>
        </w:rPr>
        <w:t>29．评审委员会组成</w:t>
      </w:r>
    </w:p>
    <w:p w14:paraId="2797394A">
      <w:pPr>
        <w:spacing w:line="360" w:lineRule="exact"/>
        <w:ind w:firstLine="470" w:firstLineChars="196"/>
        <w:rPr>
          <w:rFonts w:ascii="宋体" w:hAnsi="宋体" w:eastAsia="宋体"/>
        </w:rPr>
      </w:pPr>
      <w:r>
        <w:rPr>
          <w:rFonts w:hint="eastAsia" w:ascii="宋体" w:hAnsi="宋体" w:eastAsia="宋体"/>
        </w:rPr>
        <w:t>29.1网上开标结束后召开评审会议，</w:t>
      </w:r>
      <w:r>
        <w:rPr>
          <w:rFonts w:hint="eastAsia" w:ascii="宋体" w:hAnsi="宋体" w:eastAsia="宋体"/>
          <w:szCs w:val="21"/>
        </w:rPr>
        <w:t>评审委员会</w:t>
      </w:r>
      <w:r>
        <w:rPr>
          <w:rFonts w:hint="eastAsia" w:ascii="宋体" w:hAnsi="宋体" w:eastAsia="宋体"/>
        </w:rPr>
        <w:t>由政府采购机构依法组建，负责评审活动。</w:t>
      </w:r>
    </w:p>
    <w:p w14:paraId="06714BAA">
      <w:pPr>
        <w:spacing w:line="360" w:lineRule="exact"/>
        <w:ind w:firstLine="470" w:firstLineChars="196"/>
        <w:rPr>
          <w:rFonts w:ascii="宋体" w:hAnsi="宋体" w:eastAsia="宋体"/>
        </w:rPr>
      </w:pPr>
      <w:bookmarkStart w:id="73" w:name="_Hlk72436580"/>
      <w:r>
        <w:rPr>
          <w:rFonts w:hint="eastAsia" w:ascii="宋体" w:hAnsi="宋体" w:eastAsia="宋体"/>
        </w:rPr>
        <w:t>评审委员会由采购人代表和评审专家组成，成员人数应当为5人以上单数（部分条件下为7人以上单数），其中评审专家不得少于成员总数的三分之二。</w:t>
      </w:r>
      <w:bookmarkEnd w:id="73"/>
      <w:r>
        <w:rPr>
          <w:rFonts w:hint="eastAsia" w:ascii="宋体" w:hAnsi="宋体" w:eastAsia="宋体"/>
        </w:rPr>
        <w:t>评定分离项目</w:t>
      </w:r>
      <w:r>
        <w:rPr>
          <w:rFonts w:ascii="宋体" w:hAnsi="宋体" w:eastAsia="宋体"/>
        </w:rPr>
        <w:t>评审专家</w:t>
      </w:r>
      <w:r>
        <w:rPr>
          <w:rFonts w:hint="eastAsia" w:ascii="宋体" w:hAnsi="宋体" w:eastAsia="宋体"/>
        </w:rPr>
        <w:t>均</w:t>
      </w:r>
      <w:r>
        <w:rPr>
          <w:rFonts w:ascii="宋体" w:hAnsi="宋体" w:eastAsia="宋体"/>
        </w:rPr>
        <w:t>由</w:t>
      </w:r>
      <w:r>
        <w:rPr>
          <w:rFonts w:hint="eastAsia" w:ascii="宋体" w:hAnsi="宋体" w:eastAsia="宋体"/>
        </w:rPr>
        <w:t>评审专家组成。</w:t>
      </w:r>
      <w:r>
        <w:rPr>
          <w:rFonts w:hint="eastAsia" w:ascii="宋体" w:hAnsi="宋体" w:eastAsia="宋体"/>
          <w:szCs w:val="21"/>
        </w:rPr>
        <w:t>评审专家一般是</w:t>
      </w:r>
      <w:r>
        <w:rPr>
          <w:rFonts w:hint="eastAsia" w:ascii="宋体" w:hAnsi="宋体" w:eastAsia="宋体"/>
        </w:rPr>
        <w:t>从深圳市政府采购评审专家库中随机抽取。采购人代表须持采购人出具的《评审授权书》参加评审，。</w:t>
      </w:r>
    </w:p>
    <w:p w14:paraId="609F9BDB">
      <w:pPr>
        <w:spacing w:line="360" w:lineRule="exact"/>
        <w:ind w:firstLine="470" w:firstLineChars="196"/>
        <w:rPr>
          <w:rFonts w:ascii="宋体" w:hAnsi="宋体" w:eastAsia="宋体"/>
        </w:rPr>
      </w:pPr>
      <w:r>
        <w:rPr>
          <w:rFonts w:hint="eastAsia" w:ascii="宋体" w:hAnsi="宋体" w:eastAsia="宋体"/>
        </w:rPr>
        <w:t>29.2评审定标应当遵循公平、公正、科学、择优的原则。</w:t>
      </w:r>
    </w:p>
    <w:p w14:paraId="123FA0ED">
      <w:pPr>
        <w:spacing w:line="360" w:lineRule="exact"/>
        <w:ind w:firstLine="470" w:firstLineChars="196"/>
        <w:rPr>
          <w:rFonts w:ascii="宋体" w:hAnsi="宋体" w:eastAsia="宋体"/>
        </w:rPr>
      </w:pPr>
      <w:r>
        <w:rPr>
          <w:rFonts w:hint="eastAsia" w:ascii="宋体" w:hAnsi="宋体" w:eastAsia="宋体"/>
        </w:rPr>
        <w:t>29.3评审活动依法进行，任何单位和个人不得非法干预评标过程和结果。</w:t>
      </w:r>
    </w:p>
    <w:p w14:paraId="4E2B2947">
      <w:pPr>
        <w:spacing w:line="360" w:lineRule="exact"/>
        <w:ind w:firstLine="470" w:firstLineChars="196"/>
        <w:rPr>
          <w:rFonts w:ascii="宋体" w:hAnsi="宋体" w:eastAsia="宋体"/>
        </w:rPr>
      </w:pPr>
      <w:r>
        <w:rPr>
          <w:rFonts w:hint="eastAsia" w:ascii="宋体" w:hAnsi="宋体" w:eastAsia="宋体"/>
        </w:rPr>
        <w:t>29.4评审过程中不允许违背评标程序或采用招标文件未载明的评标方法或评标因素进行评标。</w:t>
      </w:r>
    </w:p>
    <w:p w14:paraId="0A345DD3">
      <w:pPr>
        <w:spacing w:line="360" w:lineRule="exact"/>
        <w:ind w:firstLine="470" w:firstLineChars="196"/>
        <w:rPr>
          <w:rFonts w:ascii="宋体" w:hAnsi="宋体" w:eastAsia="宋体"/>
          <w:bCs/>
        </w:rPr>
      </w:pPr>
      <w:r>
        <w:rPr>
          <w:rFonts w:hint="eastAsia" w:ascii="宋体" w:hAnsi="宋体" w:eastAsia="宋体"/>
          <w:bCs/>
        </w:rPr>
        <w:t>29.5 开标后，直到签订合同为止，凡属于对投标文件的审查、澄清、评价和比较的有关资料以及中标候选人的推荐情况、与评审有关的其他任何情况均严格保密（</w:t>
      </w:r>
      <w:r>
        <w:rPr>
          <w:rFonts w:hint="eastAsia" w:ascii="宋体" w:hAnsi="宋体" w:eastAsia="宋体"/>
        </w:rPr>
        <w:t>信息公开的内容除外</w:t>
      </w:r>
      <w:r>
        <w:rPr>
          <w:rFonts w:hint="eastAsia" w:ascii="宋体" w:hAnsi="宋体" w:eastAsia="宋体"/>
          <w:bCs/>
        </w:rPr>
        <w:t>）。</w:t>
      </w:r>
    </w:p>
    <w:p w14:paraId="25C4959F">
      <w:pPr>
        <w:spacing w:line="360" w:lineRule="exact"/>
        <w:rPr>
          <w:rFonts w:ascii="宋体" w:hAnsi="宋体" w:eastAsia="宋体"/>
        </w:rPr>
      </w:pPr>
      <w:r>
        <w:rPr>
          <w:rFonts w:hint="eastAsia" w:ascii="宋体" w:hAnsi="宋体" w:eastAsia="宋体"/>
        </w:rPr>
        <w:t>30．向评审委员会提供的资料</w:t>
      </w:r>
    </w:p>
    <w:p w14:paraId="3262516D">
      <w:pPr>
        <w:spacing w:line="360" w:lineRule="exact"/>
        <w:ind w:firstLine="470" w:firstLineChars="196"/>
        <w:rPr>
          <w:rFonts w:ascii="宋体" w:hAnsi="宋体" w:eastAsia="宋体"/>
        </w:rPr>
      </w:pPr>
      <w:r>
        <w:rPr>
          <w:rFonts w:hint="eastAsia" w:ascii="宋体" w:hAnsi="宋体" w:eastAsia="宋体"/>
        </w:rPr>
        <w:t>30.1公开发布的招标文件，包括图纸、服务清单、答疑文件等；</w:t>
      </w:r>
    </w:p>
    <w:p w14:paraId="57D046CE">
      <w:pPr>
        <w:spacing w:line="360" w:lineRule="exact"/>
        <w:ind w:firstLine="470" w:firstLineChars="196"/>
        <w:rPr>
          <w:rFonts w:ascii="宋体" w:hAnsi="宋体" w:eastAsia="宋体"/>
        </w:rPr>
      </w:pPr>
      <w:r>
        <w:rPr>
          <w:rFonts w:hint="eastAsia" w:ascii="宋体" w:hAnsi="宋体" w:eastAsia="宋体"/>
        </w:rPr>
        <w:t>30.2其他评标必须的资料。</w:t>
      </w:r>
    </w:p>
    <w:p w14:paraId="2639A1C3">
      <w:pPr>
        <w:spacing w:line="360" w:lineRule="exact"/>
        <w:ind w:firstLine="470" w:firstLineChars="196"/>
        <w:rPr>
          <w:rFonts w:ascii="宋体" w:hAnsi="宋体" w:eastAsia="宋体"/>
        </w:rPr>
      </w:pPr>
      <w:r>
        <w:rPr>
          <w:rFonts w:hint="eastAsia" w:ascii="宋体" w:hAnsi="宋体" w:eastAsia="宋体"/>
        </w:rPr>
        <w:t>30.3</w:t>
      </w:r>
      <w:r>
        <w:rPr>
          <w:rFonts w:hint="eastAsia" w:ascii="宋体" w:hAnsi="宋体" w:eastAsia="宋体"/>
          <w:szCs w:val="21"/>
        </w:rPr>
        <w:t>评审委员会</w:t>
      </w:r>
      <w:r>
        <w:rPr>
          <w:rFonts w:hint="eastAsia" w:ascii="宋体" w:hAnsi="宋体" w:eastAsia="宋体"/>
        </w:rPr>
        <w:t>应当认真研究招标文件，至少应了解熟悉以下内容：</w:t>
      </w:r>
    </w:p>
    <w:p w14:paraId="43D70CBB">
      <w:pPr>
        <w:spacing w:line="360" w:lineRule="exact"/>
        <w:ind w:firstLine="470" w:firstLineChars="196"/>
        <w:rPr>
          <w:rFonts w:ascii="宋体" w:hAnsi="宋体" w:eastAsia="宋体"/>
        </w:rPr>
      </w:pPr>
      <w:r>
        <w:rPr>
          <w:rFonts w:hint="eastAsia" w:ascii="宋体" w:hAnsi="宋体" w:eastAsia="宋体"/>
        </w:rPr>
        <w:t>（1）招标的目的；</w:t>
      </w:r>
    </w:p>
    <w:p w14:paraId="1F4F70E5">
      <w:pPr>
        <w:spacing w:line="360" w:lineRule="exact"/>
        <w:ind w:firstLine="470" w:firstLineChars="196"/>
        <w:rPr>
          <w:rFonts w:ascii="宋体" w:hAnsi="宋体" w:eastAsia="宋体"/>
        </w:rPr>
      </w:pPr>
      <w:r>
        <w:rPr>
          <w:rFonts w:hint="eastAsia" w:ascii="宋体" w:hAnsi="宋体" w:eastAsia="宋体"/>
        </w:rPr>
        <w:t>（2）招标项目需求的范围和性质；</w:t>
      </w:r>
    </w:p>
    <w:p w14:paraId="469ADC97">
      <w:pPr>
        <w:spacing w:line="360" w:lineRule="exact"/>
        <w:ind w:firstLine="470" w:firstLineChars="196"/>
        <w:rPr>
          <w:rFonts w:ascii="宋体" w:hAnsi="宋体" w:eastAsia="宋体"/>
        </w:rPr>
      </w:pPr>
      <w:r>
        <w:rPr>
          <w:rFonts w:hint="eastAsia" w:ascii="宋体" w:hAnsi="宋体" w:eastAsia="宋体"/>
        </w:rPr>
        <w:t>（3）招标文件规定的投标人的资格、预算金额、商务条款；</w:t>
      </w:r>
    </w:p>
    <w:p w14:paraId="17B24285">
      <w:pPr>
        <w:spacing w:line="360" w:lineRule="exact"/>
        <w:ind w:firstLine="470" w:firstLineChars="196"/>
        <w:rPr>
          <w:rFonts w:ascii="宋体" w:hAnsi="宋体" w:eastAsia="宋体"/>
        </w:rPr>
      </w:pPr>
      <w:r>
        <w:rPr>
          <w:rFonts w:hint="eastAsia" w:ascii="宋体" w:hAnsi="宋体" w:eastAsia="宋体"/>
        </w:rPr>
        <w:t>（4）招标文件规定的评标程序、评标方法和评标因素；</w:t>
      </w:r>
    </w:p>
    <w:p w14:paraId="42445D31">
      <w:pPr>
        <w:spacing w:line="360" w:lineRule="exact"/>
        <w:ind w:firstLine="470" w:firstLineChars="196"/>
        <w:rPr>
          <w:rFonts w:ascii="宋体" w:hAnsi="宋体" w:eastAsia="宋体"/>
        </w:rPr>
      </w:pPr>
      <w:r>
        <w:rPr>
          <w:rFonts w:hint="eastAsia" w:ascii="宋体" w:hAnsi="宋体" w:eastAsia="宋体"/>
        </w:rPr>
        <w:t>（5）招标文件所列示的资格性审查表及符合性审查表。</w:t>
      </w:r>
    </w:p>
    <w:p w14:paraId="40B36658">
      <w:pPr>
        <w:spacing w:line="360" w:lineRule="exact"/>
        <w:rPr>
          <w:rFonts w:ascii="宋体" w:hAnsi="宋体" w:eastAsia="宋体"/>
        </w:rPr>
      </w:pPr>
      <w:r>
        <w:rPr>
          <w:rFonts w:hint="eastAsia" w:ascii="宋体" w:hAnsi="宋体" w:eastAsia="宋体"/>
        </w:rPr>
        <w:t>31．独立评审</w:t>
      </w:r>
    </w:p>
    <w:p w14:paraId="42EF86A2">
      <w:pPr>
        <w:spacing w:line="360" w:lineRule="exact"/>
        <w:ind w:firstLine="470" w:firstLineChars="196"/>
        <w:rPr>
          <w:rFonts w:ascii="宋体" w:hAnsi="宋体" w:eastAsia="宋体"/>
          <w:bCs/>
        </w:rPr>
      </w:pPr>
      <w:r>
        <w:rPr>
          <w:rFonts w:hint="eastAsia" w:ascii="宋体" w:hAnsi="宋体" w:eastAsia="宋体"/>
          <w:bCs/>
        </w:rPr>
        <w:t>3</w:t>
      </w:r>
      <w:r>
        <w:rPr>
          <w:rFonts w:ascii="宋体" w:hAnsi="宋体" w:eastAsia="宋体"/>
          <w:bCs/>
        </w:rPr>
        <w:t>1</w:t>
      </w:r>
      <w:r>
        <w:rPr>
          <w:rFonts w:hint="eastAsia" w:ascii="宋体" w:hAnsi="宋体" w:eastAsia="宋体"/>
          <w:bCs/>
        </w:rPr>
        <w:t>.1</w:t>
      </w:r>
      <w:r>
        <w:rPr>
          <w:rFonts w:hint="eastAsia" w:ascii="宋体" w:hAnsi="宋体" w:eastAsia="宋体"/>
          <w:szCs w:val="21"/>
        </w:rPr>
        <w:t>评审委员会</w:t>
      </w:r>
      <w:r>
        <w:rPr>
          <w:rFonts w:hint="eastAsia" w:ascii="宋体" w:hAnsi="宋体" w:eastAsia="宋体"/>
          <w:bCs/>
        </w:rPr>
        <w:t>成员的评标活动应当独立进行，并应遵循投标文件初审、澄清有关问题、比较与评价、确定中标供应商、编写评审报告的工作程序。</w:t>
      </w:r>
    </w:p>
    <w:p w14:paraId="55AC201E">
      <w:pPr>
        <w:pStyle w:val="5"/>
        <w:keepNext/>
        <w:keepLines/>
        <w:widowControl w:val="0"/>
        <w:numPr>
          <w:ilvl w:val="0"/>
          <w:numId w:val="10"/>
        </w:numPr>
        <w:spacing w:line="360" w:lineRule="exact"/>
        <w:ind w:left="0" w:hanging="562"/>
        <w:rPr>
          <w:rFonts w:eastAsia="宋体"/>
          <w:sz w:val="28"/>
          <w:szCs w:val="28"/>
        </w:rPr>
      </w:pPr>
      <w:r>
        <w:rPr>
          <w:rFonts w:hint="eastAsia" w:eastAsia="宋体"/>
          <w:sz w:val="28"/>
          <w:szCs w:val="28"/>
        </w:rPr>
        <w:t>评审程序及评审方法</w:t>
      </w:r>
    </w:p>
    <w:p w14:paraId="765E49C5">
      <w:pPr>
        <w:spacing w:line="360" w:lineRule="exact"/>
        <w:rPr>
          <w:rFonts w:ascii="宋体" w:hAnsi="宋体" w:eastAsia="宋体"/>
        </w:rPr>
      </w:pPr>
      <w:r>
        <w:rPr>
          <w:rFonts w:hint="eastAsia" w:ascii="宋体" w:hAnsi="宋体" w:eastAsia="宋体"/>
        </w:rPr>
        <w:t>32．投标文件初审</w:t>
      </w:r>
    </w:p>
    <w:p w14:paraId="5B16FD93">
      <w:pPr>
        <w:spacing w:line="360" w:lineRule="exact"/>
        <w:ind w:firstLine="470" w:firstLineChars="196"/>
        <w:rPr>
          <w:rFonts w:ascii="宋体" w:hAnsi="宋体" w:eastAsia="宋体"/>
        </w:rPr>
      </w:pPr>
      <w:r>
        <w:rPr>
          <w:rFonts w:hint="eastAsia" w:ascii="宋体" w:hAnsi="宋体" w:eastAsia="宋体"/>
        </w:rPr>
        <w:t>32.1投标文件初审包括资格性审查和符合性审查。</w:t>
      </w:r>
    </w:p>
    <w:p w14:paraId="6DE9A96C">
      <w:pPr>
        <w:spacing w:line="360" w:lineRule="exact"/>
        <w:ind w:firstLine="470" w:firstLineChars="196"/>
        <w:rPr>
          <w:rFonts w:ascii="宋体" w:hAnsi="宋体" w:eastAsia="宋体"/>
        </w:rPr>
      </w:pPr>
      <w:r>
        <w:rPr>
          <w:rFonts w:hint="eastAsia" w:ascii="宋体" w:hAnsi="宋体" w:eastAsia="宋体"/>
        </w:rPr>
        <w:t>资格性审查：依据法律法规和招标文件的规定，对投标文件中的资格证明等进行审查，以确定投标供应商是否具备投标资格。</w:t>
      </w:r>
    </w:p>
    <w:p w14:paraId="5556226B">
      <w:pPr>
        <w:spacing w:line="360" w:lineRule="exact"/>
        <w:ind w:firstLine="470" w:firstLineChars="196"/>
        <w:rPr>
          <w:rFonts w:ascii="宋体" w:hAnsi="宋体" w:eastAsia="宋体"/>
        </w:rPr>
      </w:pPr>
      <w:r>
        <w:rPr>
          <w:rFonts w:hint="eastAsia" w:ascii="宋体" w:hAnsi="宋体" w:eastAsia="宋体"/>
        </w:rPr>
        <w:t>符合性审查：依据招标文件的规定，对投标文件的有效性、完整性和对招标文件的响应程度进行审查，以确定是否满足符合性审查的要求。</w:t>
      </w:r>
    </w:p>
    <w:p w14:paraId="3258C305">
      <w:pPr>
        <w:spacing w:line="360" w:lineRule="exact"/>
        <w:ind w:firstLine="470" w:firstLineChars="196"/>
        <w:rPr>
          <w:rFonts w:ascii="宋体" w:hAnsi="宋体" w:eastAsia="宋体"/>
        </w:rPr>
      </w:pPr>
      <w:r>
        <w:rPr>
          <w:rFonts w:hint="eastAsia" w:ascii="宋体" w:hAnsi="宋体" w:eastAsia="宋体"/>
        </w:rPr>
        <w:t>32.2 投标文件初审内容请详见《资格性审查表》和《符合性审查表》部分。投标人若有一条审查不通过则按投标无效处理。</w:t>
      </w:r>
    </w:p>
    <w:p w14:paraId="5DE35B6E">
      <w:pPr>
        <w:spacing w:line="360" w:lineRule="exact"/>
        <w:ind w:firstLine="470" w:firstLineChars="196"/>
        <w:rPr>
          <w:rFonts w:ascii="宋体" w:hAnsi="宋体" w:eastAsia="宋体"/>
          <w:bCs/>
        </w:rPr>
      </w:pPr>
      <w:r>
        <w:rPr>
          <w:rFonts w:hint="eastAsia" w:ascii="宋体" w:hAnsi="宋体" w:eastAsia="宋体"/>
          <w:bCs/>
        </w:rPr>
        <w:t>32.3 投标文件初审中关于供应商家数的计算:</w:t>
      </w:r>
    </w:p>
    <w:p w14:paraId="63EFCF4C">
      <w:pPr>
        <w:spacing w:line="360" w:lineRule="exact"/>
        <w:ind w:firstLine="470" w:firstLineChars="196"/>
        <w:rPr>
          <w:rFonts w:ascii="宋体" w:hAnsi="宋体" w:eastAsia="宋体"/>
          <w:bCs/>
        </w:rPr>
      </w:pPr>
      <w:r>
        <w:rPr>
          <w:rFonts w:hint="eastAsia" w:ascii="宋体" w:hAnsi="宋体" w:eastAsia="宋体"/>
          <w:bCs/>
        </w:rPr>
        <w:t>32.3.1采用最低评标价法的采购项目，提供相同品牌产品的不同投标人参加同一合同项下投标的，以其中通过资格审查、符合性审查且报价最低的参加评标；报价相同的，由采购人或者采购人委托评审委员会按照招标文件规定的方式确定一个参加评审的投标人，招标文件未规定的采取随机抽取方式确定，其他投标无效。</w:t>
      </w:r>
    </w:p>
    <w:p w14:paraId="7B58C8AC">
      <w:pPr>
        <w:spacing w:line="360" w:lineRule="exact"/>
        <w:ind w:firstLine="470" w:firstLineChars="196"/>
        <w:rPr>
          <w:rFonts w:ascii="宋体" w:hAnsi="宋体" w:eastAsia="宋体"/>
          <w:bCs/>
        </w:rPr>
      </w:pPr>
      <w:r>
        <w:rPr>
          <w:rFonts w:hint="eastAsia" w:ascii="宋体" w:hAnsi="宋体" w:eastAsia="宋体"/>
          <w:bCs/>
        </w:rPr>
        <w:t>32.3.2采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w:t>
      </w:r>
      <w:r>
        <w:rPr>
          <w:rFonts w:hint="eastAsia" w:ascii="宋体" w:hAnsi="宋体" w:eastAsia="宋体"/>
          <w:bCs/>
          <w:szCs w:val="21"/>
        </w:rPr>
        <w:t>评审委员会</w:t>
      </w:r>
      <w:r>
        <w:rPr>
          <w:rFonts w:hint="eastAsia" w:ascii="宋体" w:hAnsi="宋体" w:eastAsia="宋体"/>
          <w:bCs/>
        </w:rPr>
        <w:t>按照招标文件规定的方式确定一个投标人获得中标人推荐资格，招标文件未规定的采取随机抽取方式确定，其他同品牌投标人不作为中标候选人。</w:t>
      </w:r>
    </w:p>
    <w:p w14:paraId="26DC0676">
      <w:pPr>
        <w:spacing w:line="360" w:lineRule="exact"/>
        <w:ind w:firstLine="470" w:firstLineChars="196"/>
        <w:rPr>
          <w:rFonts w:ascii="宋体" w:hAnsi="宋体" w:eastAsia="宋体"/>
          <w:bCs/>
        </w:rPr>
      </w:pPr>
      <w:r>
        <w:rPr>
          <w:rFonts w:hint="eastAsia" w:ascii="宋体" w:hAnsi="宋体" w:eastAsia="宋体"/>
          <w:bCs/>
        </w:rPr>
        <w:t>32.3.3非单一产品采购项目，采购人应当根据采购项目技术构成、产品价格比重等合理确定核心产品，并在招标文件中载明。多家投标人提供的核心产品品牌相同的，按前两款规定处理。</w:t>
      </w:r>
    </w:p>
    <w:p w14:paraId="359B2928">
      <w:pPr>
        <w:spacing w:line="360" w:lineRule="exact"/>
        <w:ind w:firstLine="470" w:firstLineChars="196"/>
        <w:rPr>
          <w:rFonts w:ascii="宋体" w:hAnsi="宋体" w:eastAsia="宋体"/>
        </w:rPr>
      </w:pPr>
      <w:r>
        <w:rPr>
          <w:rFonts w:hint="eastAsia" w:ascii="宋体" w:hAnsi="宋体" w:eastAsia="宋体"/>
        </w:rPr>
        <w:t>32.4投标人投标文件作无效处理的情形，具体包括但不限于以下：</w:t>
      </w:r>
    </w:p>
    <w:p w14:paraId="76DD9805">
      <w:pPr>
        <w:spacing w:line="360" w:lineRule="exact"/>
        <w:ind w:firstLine="470" w:firstLineChars="196"/>
        <w:rPr>
          <w:rFonts w:ascii="宋体" w:hAnsi="宋体" w:eastAsia="宋体"/>
        </w:rPr>
      </w:pPr>
      <w:r>
        <w:rPr>
          <w:rFonts w:hint="eastAsia" w:ascii="宋体" w:hAnsi="宋体" w:eastAsia="宋体"/>
        </w:rPr>
        <w:t>32.4.1不同投标人的投标文件由同一单位或者同一个人编制，或者由同一个人分阶段参与编制；</w:t>
      </w:r>
    </w:p>
    <w:p w14:paraId="45828F66">
      <w:pPr>
        <w:spacing w:line="360" w:lineRule="exact"/>
        <w:ind w:firstLine="470" w:firstLineChars="196"/>
        <w:rPr>
          <w:rFonts w:ascii="宋体" w:hAnsi="宋体" w:eastAsia="宋体"/>
        </w:rPr>
      </w:pPr>
      <w:r>
        <w:rPr>
          <w:rFonts w:ascii="宋体" w:hAnsi="宋体" w:eastAsia="宋体"/>
        </w:rPr>
        <w:t>32.4.</w:t>
      </w:r>
      <w:r>
        <w:rPr>
          <w:rFonts w:hint="eastAsia" w:ascii="宋体" w:hAnsi="宋体" w:eastAsia="宋体"/>
        </w:rPr>
        <w:t>2不同投标人委托同一单位或者个人办理投标事宜；</w:t>
      </w:r>
    </w:p>
    <w:p w14:paraId="3E0AE4A5">
      <w:pPr>
        <w:spacing w:line="360" w:lineRule="exact"/>
        <w:ind w:firstLine="470" w:firstLineChars="196"/>
        <w:rPr>
          <w:rFonts w:ascii="宋体" w:hAnsi="宋体" w:eastAsia="宋体"/>
        </w:rPr>
      </w:pPr>
      <w:r>
        <w:rPr>
          <w:rFonts w:hint="eastAsia" w:ascii="宋体" w:hAnsi="宋体" w:eastAsia="宋体"/>
        </w:rPr>
        <w:t>32.4.3不同投标人的投标文件载明的项目管理成员或者联系人员为同一人；</w:t>
      </w:r>
    </w:p>
    <w:p w14:paraId="117AE5F0">
      <w:pPr>
        <w:spacing w:line="360" w:lineRule="exact"/>
        <w:ind w:firstLine="470" w:firstLineChars="196"/>
        <w:rPr>
          <w:rFonts w:ascii="宋体" w:hAnsi="宋体" w:eastAsia="宋体"/>
        </w:rPr>
      </w:pPr>
      <w:r>
        <w:rPr>
          <w:rFonts w:hint="eastAsia" w:ascii="宋体" w:hAnsi="宋体" w:eastAsia="宋体"/>
        </w:rPr>
        <w:t>32.4.4不同投标人的投标文件异常一致或者投标报价呈规律性差异；</w:t>
      </w:r>
    </w:p>
    <w:p w14:paraId="58287ED1">
      <w:pPr>
        <w:spacing w:line="360" w:lineRule="exact"/>
        <w:ind w:firstLine="470" w:firstLineChars="196"/>
        <w:rPr>
          <w:rFonts w:ascii="宋体" w:hAnsi="宋体" w:eastAsia="宋体"/>
        </w:rPr>
      </w:pPr>
      <w:r>
        <w:rPr>
          <w:rFonts w:hint="eastAsia" w:ascii="宋体" w:hAnsi="宋体" w:eastAsia="宋体"/>
        </w:rPr>
        <w:t>32.4.5</w:t>
      </w:r>
      <w:r>
        <w:rPr>
          <w:rFonts w:ascii="宋体" w:hAnsi="宋体" w:eastAsia="宋体"/>
        </w:rPr>
        <w:t>不同投标供应商的投标文件或部分投标文件相互混装</w:t>
      </w:r>
      <w:r>
        <w:rPr>
          <w:rFonts w:hint="eastAsia" w:ascii="宋体" w:hAnsi="宋体" w:eastAsia="宋体"/>
        </w:rPr>
        <w:t>；</w:t>
      </w:r>
    </w:p>
    <w:p w14:paraId="5DB10A45">
      <w:pPr>
        <w:spacing w:line="360" w:lineRule="exact"/>
        <w:ind w:firstLine="470" w:firstLineChars="196"/>
        <w:rPr>
          <w:rFonts w:ascii="宋体" w:hAnsi="宋体" w:eastAsia="宋体"/>
        </w:rPr>
      </w:pPr>
      <w:r>
        <w:rPr>
          <w:rFonts w:hint="eastAsia" w:ascii="宋体" w:hAnsi="宋体" w:eastAsia="宋体"/>
        </w:rPr>
        <w:t>32.4.6投标供应商之间相互约定给予未中标的供应商利益补偿；</w:t>
      </w:r>
    </w:p>
    <w:p w14:paraId="7BEC0199">
      <w:pPr>
        <w:spacing w:line="360" w:lineRule="exact"/>
        <w:ind w:firstLine="470" w:firstLineChars="196"/>
        <w:rPr>
          <w:rFonts w:ascii="宋体" w:hAnsi="宋体" w:eastAsia="宋体"/>
        </w:rPr>
      </w:pPr>
      <w:r>
        <w:rPr>
          <w:rFonts w:hint="eastAsia" w:ascii="宋体" w:hAnsi="宋体" w:eastAsia="宋体"/>
        </w:rPr>
        <w:t>32.4.7不同投标供应商的法定代表人、主要经营负责人、项目投标授权代表人、项目负责人、主要技术人员为同一人、属同一单位或者同一单位缴纳社会保险；</w:t>
      </w:r>
    </w:p>
    <w:p w14:paraId="116E71B1">
      <w:pPr>
        <w:spacing w:line="360" w:lineRule="exact"/>
        <w:ind w:firstLine="470" w:firstLineChars="196"/>
        <w:rPr>
          <w:rFonts w:ascii="宋体" w:hAnsi="宋体" w:eastAsia="宋体"/>
        </w:rPr>
      </w:pPr>
      <w:r>
        <w:rPr>
          <w:rFonts w:hint="eastAsia" w:ascii="宋体" w:hAnsi="宋体" w:eastAsia="宋体"/>
        </w:rPr>
        <w:t>32.4.8不同投标供应商的投标文件内容存在非正常一致；</w:t>
      </w:r>
    </w:p>
    <w:p w14:paraId="7A6AF96D">
      <w:pPr>
        <w:spacing w:line="360" w:lineRule="exact"/>
        <w:ind w:firstLine="470" w:firstLineChars="196"/>
        <w:rPr>
          <w:rFonts w:ascii="宋体" w:hAnsi="宋体" w:eastAsia="宋体"/>
        </w:rPr>
      </w:pPr>
      <w:r>
        <w:rPr>
          <w:rFonts w:hint="eastAsia" w:ascii="宋体" w:hAnsi="宋体" w:eastAsia="宋体"/>
        </w:rPr>
        <w:t>32.4.9在同一单位工作人员为两家以上（含两家）供应商进行同一项投标活动；</w:t>
      </w:r>
    </w:p>
    <w:p w14:paraId="353C56B9">
      <w:pPr>
        <w:spacing w:line="360" w:lineRule="exact"/>
        <w:ind w:firstLine="470" w:firstLineChars="196"/>
        <w:rPr>
          <w:rFonts w:ascii="宋体" w:hAnsi="宋体" w:eastAsia="宋体"/>
        </w:rPr>
      </w:pPr>
      <w:r>
        <w:rPr>
          <w:rFonts w:hint="eastAsia" w:ascii="宋体" w:hAnsi="宋体" w:eastAsia="宋体"/>
        </w:rPr>
        <w:t>32.4.10主管部门依照法律、法规认定的其他情形。</w:t>
      </w:r>
    </w:p>
    <w:p w14:paraId="1BC1BB36">
      <w:pPr>
        <w:spacing w:line="360" w:lineRule="exact"/>
        <w:ind w:firstLine="470" w:firstLineChars="196"/>
        <w:rPr>
          <w:rFonts w:ascii="宋体" w:hAnsi="宋体" w:eastAsia="宋体"/>
        </w:rPr>
      </w:pPr>
      <w:r>
        <w:rPr>
          <w:rFonts w:hint="eastAsia" w:ascii="宋体" w:hAnsi="宋体" w:eastAsia="宋体"/>
        </w:rPr>
        <w:t>32.5对不属于《资格性审查表》和《符合性审查表》所列的其他情形，除专用条款另有规定和32.4条款所列情形外，不得作为投标无效的理由。</w:t>
      </w:r>
    </w:p>
    <w:p w14:paraId="588AAE1F">
      <w:pPr>
        <w:spacing w:line="360" w:lineRule="exact"/>
        <w:ind w:firstLine="470" w:firstLineChars="196"/>
        <w:rPr>
          <w:rFonts w:ascii="宋体" w:hAnsi="宋体" w:eastAsia="宋体"/>
        </w:rPr>
      </w:pPr>
      <w:r>
        <w:rPr>
          <w:rFonts w:hint="eastAsia" w:ascii="宋体" w:hAnsi="宋体" w:eastAsia="宋体"/>
        </w:rPr>
        <w:t>32.6 不同投标人的上传投标文件的</w:t>
      </w:r>
      <w:r>
        <w:rPr>
          <w:rFonts w:ascii="宋体" w:hAnsi="宋体" w:eastAsia="宋体"/>
        </w:rPr>
        <w:t>“IP</w:t>
      </w:r>
      <w:r>
        <w:rPr>
          <w:rFonts w:hint="eastAsia" w:ascii="宋体" w:hAnsi="宋体" w:eastAsia="宋体"/>
        </w:rPr>
        <w:t>地址</w:t>
      </w:r>
      <w:r>
        <w:rPr>
          <w:rFonts w:ascii="宋体" w:hAnsi="宋体" w:eastAsia="宋体"/>
        </w:rPr>
        <w:t>”</w:t>
      </w:r>
      <w:r>
        <w:rPr>
          <w:rFonts w:hint="eastAsia" w:ascii="宋体" w:hAnsi="宋体" w:eastAsia="宋体"/>
        </w:rPr>
        <w:t>信息异常一致的，不得作为投标无效的理由。如出现上述异常情况，应报主管部门处理。</w:t>
      </w:r>
    </w:p>
    <w:p w14:paraId="75D25566">
      <w:pPr>
        <w:spacing w:line="360" w:lineRule="exact"/>
        <w:rPr>
          <w:rFonts w:ascii="宋体" w:hAnsi="宋体" w:eastAsia="宋体"/>
        </w:rPr>
      </w:pPr>
      <w:r>
        <w:rPr>
          <w:rFonts w:hint="eastAsia" w:ascii="宋体" w:hAnsi="宋体" w:eastAsia="宋体"/>
        </w:rPr>
        <w:t>33．澄清有关问题</w:t>
      </w:r>
    </w:p>
    <w:p w14:paraId="5F5B6DB3">
      <w:pPr>
        <w:spacing w:line="360" w:lineRule="exact"/>
        <w:ind w:firstLine="470" w:firstLineChars="196"/>
        <w:rPr>
          <w:rFonts w:ascii="宋体" w:hAnsi="宋体" w:eastAsia="宋体"/>
        </w:rPr>
      </w:pPr>
      <w:bookmarkStart w:id="74" w:name="_Hlk71407321"/>
      <w:r>
        <w:rPr>
          <w:rFonts w:hint="eastAsia" w:ascii="宋体" w:hAnsi="宋体" w:eastAsia="宋体"/>
        </w:rPr>
        <w:t>3</w:t>
      </w:r>
      <w:r>
        <w:rPr>
          <w:rFonts w:ascii="宋体" w:hAnsi="宋体" w:eastAsia="宋体"/>
        </w:rPr>
        <w:t>3.1</w:t>
      </w:r>
      <w:r>
        <w:rPr>
          <w:rFonts w:hint="eastAsia" w:ascii="宋体" w:hAnsi="宋体" w:eastAsia="宋体"/>
        </w:rPr>
        <w:t>对招标文件中描述有歧义或前后不一致的地方（不含</w:t>
      </w:r>
      <w:r>
        <w:rPr>
          <w:rFonts w:ascii="宋体" w:hAnsi="宋体" w:eastAsia="宋体"/>
          <w:szCs w:val="21"/>
        </w:rPr>
        <w:t>招标文件存在歧义、重大缺陷导致评</w:t>
      </w:r>
      <w:r>
        <w:rPr>
          <w:rFonts w:hint="eastAsia" w:ascii="宋体" w:hAnsi="宋体" w:eastAsia="宋体"/>
          <w:szCs w:val="21"/>
        </w:rPr>
        <w:t>审</w:t>
      </w:r>
      <w:r>
        <w:rPr>
          <w:rFonts w:ascii="宋体" w:hAnsi="宋体" w:eastAsia="宋体"/>
          <w:szCs w:val="21"/>
        </w:rPr>
        <w:t>工作无法进行</w:t>
      </w:r>
      <w:r>
        <w:rPr>
          <w:rFonts w:hint="eastAsia" w:ascii="宋体" w:hAnsi="宋体" w:eastAsia="宋体"/>
          <w:szCs w:val="21"/>
        </w:rPr>
        <w:t>的情况）</w:t>
      </w:r>
      <w:r>
        <w:rPr>
          <w:rFonts w:hint="eastAsia" w:ascii="宋体" w:hAnsi="宋体" w:eastAsia="宋体"/>
        </w:rPr>
        <w:t>，评审委员会有权进行评判，但对同一条款的评判应适用于每个投标人。</w:t>
      </w:r>
      <w:bookmarkEnd w:id="74"/>
    </w:p>
    <w:p w14:paraId="2265B221">
      <w:pPr>
        <w:spacing w:line="360" w:lineRule="exact"/>
        <w:ind w:firstLine="470" w:firstLineChars="196"/>
        <w:rPr>
          <w:rFonts w:ascii="宋体" w:hAnsi="宋体" w:eastAsia="宋体"/>
        </w:rPr>
      </w:pPr>
      <w:r>
        <w:rPr>
          <w:rFonts w:hint="eastAsia" w:ascii="宋体" w:hAnsi="宋体" w:eastAsia="宋体"/>
        </w:rPr>
        <w:t>3</w:t>
      </w:r>
      <w:r>
        <w:rPr>
          <w:rFonts w:ascii="宋体" w:hAnsi="宋体" w:eastAsia="宋体"/>
        </w:rPr>
        <w:t>3.2</w:t>
      </w:r>
      <w:r>
        <w:rPr>
          <w:rFonts w:ascii="宋体" w:hAnsi="宋体" w:eastAsia="宋体"/>
          <w:szCs w:val="21"/>
        </w:rPr>
        <w:t>评</w:t>
      </w:r>
      <w:r>
        <w:rPr>
          <w:rFonts w:hint="eastAsia" w:ascii="宋体" w:hAnsi="宋体" w:eastAsia="宋体"/>
          <w:szCs w:val="21"/>
        </w:rPr>
        <w:t>审</w:t>
      </w:r>
      <w:r>
        <w:rPr>
          <w:rFonts w:ascii="宋体" w:hAnsi="宋体" w:eastAsia="宋体"/>
          <w:szCs w:val="21"/>
        </w:rPr>
        <w:t>委员会发现招标文件存在歧义、重大缺陷导致评</w:t>
      </w:r>
      <w:r>
        <w:rPr>
          <w:rFonts w:hint="eastAsia" w:ascii="宋体" w:hAnsi="宋体" w:eastAsia="宋体"/>
          <w:szCs w:val="21"/>
        </w:rPr>
        <w:t>审</w:t>
      </w:r>
      <w:r>
        <w:rPr>
          <w:rFonts w:ascii="宋体" w:hAnsi="宋体" w:eastAsia="宋体"/>
          <w:szCs w:val="21"/>
        </w:rPr>
        <w:t>工作无法进行，或者招标文件内容违反国家有关强制性规定的，应当停止评</w:t>
      </w:r>
      <w:r>
        <w:rPr>
          <w:rFonts w:hint="eastAsia" w:ascii="宋体" w:hAnsi="宋体" w:eastAsia="宋体"/>
          <w:szCs w:val="21"/>
        </w:rPr>
        <w:t>审</w:t>
      </w:r>
      <w:r>
        <w:rPr>
          <w:rFonts w:ascii="宋体" w:hAnsi="宋体" w:eastAsia="宋体"/>
          <w:szCs w:val="21"/>
        </w:rPr>
        <w:t>工作，与</w:t>
      </w:r>
      <w:r>
        <w:rPr>
          <w:rFonts w:hint="eastAsia" w:ascii="宋体" w:hAnsi="宋体" w:eastAsia="宋体"/>
          <w:szCs w:val="21"/>
        </w:rPr>
        <w:t>政府采购机构</w:t>
      </w:r>
      <w:r>
        <w:rPr>
          <w:rFonts w:ascii="宋体" w:hAnsi="宋体" w:eastAsia="宋体"/>
          <w:szCs w:val="21"/>
        </w:rPr>
        <w:t>沟通并作书面记录。</w:t>
      </w:r>
      <w:r>
        <w:rPr>
          <w:rFonts w:hint="eastAsia" w:ascii="宋体" w:hAnsi="宋体" w:eastAsia="宋体"/>
          <w:szCs w:val="21"/>
        </w:rPr>
        <w:t>经</w:t>
      </w:r>
      <w:r>
        <w:rPr>
          <w:rFonts w:ascii="宋体" w:hAnsi="宋体" w:eastAsia="宋体"/>
          <w:szCs w:val="21"/>
        </w:rPr>
        <w:t>确认后，</w:t>
      </w:r>
      <w:r>
        <w:rPr>
          <w:rFonts w:hint="eastAsia" w:ascii="宋体" w:hAnsi="宋体" w:eastAsia="宋体"/>
          <w:szCs w:val="21"/>
        </w:rPr>
        <w:t>项目</w:t>
      </w:r>
      <w:r>
        <w:rPr>
          <w:rFonts w:ascii="宋体" w:hAnsi="宋体" w:eastAsia="宋体"/>
          <w:szCs w:val="21"/>
        </w:rPr>
        <w:t>应当修改招标文件，重新组织采购活动。</w:t>
      </w:r>
    </w:p>
    <w:p w14:paraId="2855A97F">
      <w:pPr>
        <w:spacing w:line="360" w:lineRule="exact"/>
        <w:ind w:firstLine="470" w:firstLineChars="196"/>
        <w:rPr>
          <w:rFonts w:ascii="宋体" w:hAnsi="宋体" w:eastAsia="宋体"/>
        </w:rPr>
      </w:pPr>
      <w:r>
        <w:rPr>
          <w:rFonts w:ascii="宋体" w:hAnsi="宋体" w:eastAsia="宋体"/>
        </w:rPr>
        <w:t>33.3</w:t>
      </w:r>
      <w:r>
        <w:rPr>
          <w:rFonts w:hint="eastAsia" w:ascii="宋体" w:hAnsi="宋体" w:eastAsia="宋体"/>
        </w:rPr>
        <w:t>对于投标文件中含义不明确、同类问题表述不一致或者有明显文字和计算错误的内容，评审委员会应当以书面形式要求投标人作出必要的澄清、说明或者补正。</w:t>
      </w:r>
    </w:p>
    <w:p w14:paraId="4A5E9785">
      <w:pPr>
        <w:spacing w:line="360" w:lineRule="exact"/>
        <w:ind w:firstLine="470" w:firstLineChars="196"/>
        <w:rPr>
          <w:rFonts w:ascii="宋体" w:hAnsi="宋体" w:eastAsia="宋体"/>
        </w:rPr>
      </w:pPr>
      <w:r>
        <w:rPr>
          <w:rFonts w:hint="eastAsia" w:ascii="宋体" w:hAnsi="宋体" w:eastAsia="宋体"/>
        </w:rPr>
        <w:t>投标人的澄清、说明或者补正应当采用书面形式【书面形式是指文书、信件（含电子邮件）、电报、电传、传真等形式】，并加盖公章（或者由法定代表人或其授权的代表签字）。投标人的澄清、说明或者补正不得超出投标文件的范围或者改变投标文件的实质性内容。</w:t>
      </w:r>
    </w:p>
    <w:p w14:paraId="0755DAE7">
      <w:pPr>
        <w:spacing w:line="360" w:lineRule="exact"/>
        <w:ind w:firstLine="470" w:firstLineChars="196"/>
        <w:rPr>
          <w:rFonts w:ascii="宋体" w:hAnsi="宋体" w:eastAsia="宋体"/>
          <w:szCs w:val="21"/>
        </w:rPr>
      </w:pPr>
      <w:r>
        <w:rPr>
          <w:rFonts w:hint="eastAsia" w:ascii="宋体" w:hAnsi="宋体" w:eastAsia="宋体"/>
          <w:szCs w:val="21"/>
        </w:rPr>
        <w:t>根据本通用条款第34条，凡属于评审委员会在评审中发现的算术错误进行核实的修改不在此列。</w:t>
      </w:r>
    </w:p>
    <w:p w14:paraId="3E74113D">
      <w:pPr>
        <w:spacing w:line="360" w:lineRule="exact"/>
        <w:rPr>
          <w:rFonts w:ascii="宋体" w:hAnsi="宋体" w:eastAsia="宋体"/>
        </w:rPr>
      </w:pPr>
      <w:bookmarkStart w:id="75" w:name="_Toc73521581"/>
      <w:bookmarkStart w:id="76" w:name="_Toc73521669"/>
      <w:bookmarkStart w:id="77" w:name="_Toc73518151"/>
      <w:bookmarkStart w:id="78" w:name="_Toc73517673"/>
      <w:bookmarkStart w:id="79" w:name="_Toc100052400"/>
      <w:r>
        <w:rPr>
          <w:rFonts w:hint="eastAsia" w:ascii="宋体" w:hAnsi="宋体" w:eastAsia="宋体"/>
        </w:rPr>
        <w:t>34．错误的修正</w:t>
      </w:r>
      <w:bookmarkEnd w:id="75"/>
      <w:bookmarkEnd w:id="76"/>
      <w:bookmarkEnd w:id="77"/>
      <w:bookmarkEnd w:id="78"/>
      <w:bookmarkEnd w:id="79"/>
    </w:p>
    <w:p w14:paraId="72FC101B">
      <w:pPr>
        <w:spacing w:line="360" w:lineRule="exact"/>
        <w:ind w:firstLine="470" w:firstLineChars="196"/>
        <w:rPr>
          <w:rFonts w:ascii="宋体" w:hAnsi="宋体" w:eastAsia="宋体"/>
          <w:szCs w:val="21"/>
        </w:rPr>
      </w:pPr>
      <w:r>
        <w:rPr>
          <w:rFonts w:hint="eastAsia" w:ascii="宋体" w:hAnsi="宋体" w:eastAsia="宋体"/>
          <w:szCs w:val="21"/>
        </w:rPr>
        <w:t>投标文件报价出现前后不一致的，除专用条款另有规定外，按照下列规定修正：</w:t>
      </w:r>
    </w:p>
    <w:p w14:paraId="7E823454">
      <w:pPr>
        <w:spacing w:line="360" w:lineRule="exact"/>
        <w:ind w:firstLine="470" w:firstLineChars="196"/>
        <w:rPr>
          <w:rFonts w:ascii="宋体" w:hAnsi="宋体" w:eastAsia="宋体"/>
          <w:szCs w:val="21"/>
        </w:rPr>
      </w:pPr>
      <w:r>
        <w:rPr>
          <w:rFonts w:hint="eastAsia" w:ascii="宋体" w:hAnsi="宋体" w:eastAsia="宋体"/>
          <w:szCs w:val="21"/>
        </w:rPr>
        <w:t>34.1投标文件中开标一览表投标报价内容与投标文件中投标报价相应内容不一致的，以开标一览表为准；</w:t>
      </w:r>
    </w:p>
    <w:p w14:paraId="31AD29C3">
      <w:pPr>
        <w:spacing w:line="360" w:lineRule="exact"/>
        <w:ind w:firstLine="470" w:firstLineChars="196"/>
        <w:rPr>
          <w:rFonts w:ascii="宋体" w:hAnsi="宋体" w:eastAsia="宋体"/>
          <w:szCs w:val="21"/>
        </w:rPr>
      </w:pPr>
      <w:r>
        <w:rPr>
          <w:rFonts w:hint="eastAsia" w:ascii="宋体" w:hAnsi="宋体" w:eastAsia="宋体"/>
          <w:szCs w:val="21"/>
        </w:rPr>
        <w:t>34.2大写金额和小写金额不一致的，以大写金额为准；</w:t>
      </w:r>
    </w:p>
    <w:p w14:paraId="64F79D77">
      <w:pPr>
        <w:spacing w:line="360" w:lineRule="exact"/>
        <w:ind w:firstLine="470" w:firstLineChars="196"/>
        <w:rPr>
          <w:rFonts w:ascii="宋体" w:hAnsi="宋体" w:eastAsia="宋体"/>
          <w:szCs w:val="21"/>
        </w:rPr>
      </w:pPr>
      <w:r>
        <w:rPr>
          <w:rFonts w:hint="eastAsia" w:ascii="宋体" w:hAnsi="宋体" w:eastAsia="宋体"/>
          <w:szCs w:val="21"/>
        </w:rPr>
        <w:t>34.3单价金额小数点或者百分比有明显错位，以开标一览表的总价为准，并修改单价；</w:t>
      </w:r>
    </w:p>
    <w:p w14:paraId="4772E783">
      <w:pPr>
        <w:spacing w:line="360" w:lineRule="exact"/>
        <w:ind w:firstLine="470" w:firstLineChars="196"/>
        <w:rPr>
          <w:rFonts w:ascii="宋体" w:hAnsi="宋体" w:eastAsia="宋体"/>
          <w:szCs w:val="21"/>
        </w:rPr>
      </w:pPr>
      <w:r>
        <w:rPr>
          <w:rFonts w:hint="eastAsia" w:ascii="宋体" w:hAnsi="宋体" w:eastAsia="宋体"/>
          <w:szCs w:val="21"/>
        </w:rPr>
        <w:t>34.4总价金额与按单价汇总金额不一致的，以单价金额计算结果为准。</w:t>
      </w:r>
    </w:p>
    <w:p w14:paraId="0BB66128">
      <w:pPr>
        <w:spacing w:line="360" w:lineRule="exact"/>
        <w:ind w:firstLine="470" w:firstLineChars="196"/>
        <w:rPr>
          <w:rFonts w:ascii="宋体" w:hAnsi="宋体" w:eastAsia="宋体"/>
          <w:szCs w:val="21"/>
        </w:rPr>
      </w:pPr>
      <w:r>
        <w:rPr>
          <w:rFonts w:hint="eastAsia" w:ascii="宋体" w:hAnsi="宋体" w:eastAsia="宋体"/>
          <w:szCs w:val="21"/>
        </w:rPr>
        <w:t>34.5同时出现两种以上不一致的，按照前款规定的顺序修正。修正后的报价按照本通用条款33条的规定，经投标人确认后产生约束力，投标人不确认的，其投标无效。</w:t>
      </w:r>
    </w:p>
    <w:p w14:paraId="462217F8">
      <w:pPr>
        <w:spacing w:line="360" w:lineRule="exact"/>
        <w:rPr>
          <w:rFonts w:ascii="宋体" w:hAnsi="宋体" w:eastAsia="宋体"/>
        </w:rPr>
      </w:pPr>
      <w:r>
        <w:rPr>
          <w:rFonts w:hint="eastAsia" w:ascii="宋体" w:hAnsi="宋体" w:eastAsia="宋体"/>
        </w:rPr>
        <w:t>35．投标文件的比较与评价</w:t>
      </w:r>
    </w:p>
    <w:p w14:paraId="7AFF1265">
      <w:pPr>
        <w:spacing w:line="360" w:lineRule="exact"/>
        <w:ind w:firstLine="470" w:firstLineChars="196"/>
        <w:rPr>
          <w:rFonts w:ascii="宋体" w:hAnsi="宋体" w:eastAsia="宋体"/>
          <w:szCs w:val="21"/>
        </w:rPr>
      </w:pPr>
      <w:r>
        <w:rPr>
          <w:rFonts w:hint="eastAsia" w:ascii="宋体" w:hAnsi="宋体" w:eastAsia="宋体"/>
          <w:szCs w:val="21"/>
        </w:rPr>
        <w:t>评审委员会将按照《深圳经济特区政府采购条例》、《深圳经济特区政府采购条例实施细则》、《深圳市政府采购评标定标分离管理办法》及政府采购其他法律法规，仅对通过资格性审查和符合性审查的投标文件进行综合比较与评价。</w:t>
      </w:r>
    </w:p>
    <w:p w14:paraId="1FFC4488">
      <w:pPr>
        <w:spacing w:line="360" w:lineRule="exact"/>
        <w:ind w:firstLine="470" w:firstLineChars="196"/>
        <w:rPr>
          <w:rFonts w:ascii="宋体" w:hAnsi="宋体" w:eastAsia="宋体"/>
          <w:szCs w:val="21"/>
        </w:rPr>
      </w:pPr>
      <w:r>
        <w:rPr>
          <w:rFonts w:hint="eastAsia" w:ascii="宋体" w:hAnsi="宋体" w:eastAsia="宋体"/>
          <w:szCs w:val="21"/>
        </w:rPr>
        <w:t>评审委员会成员对需要共同认定的事项存在争议的，应当按照少数服从多数的原则作出结论。持不同意见的评审委员会成员应当书面作出说明，否则视为无异议。</w:t>
      </w:r>
    </w:p>
    <w:p w14:paraId="3FB65315">
      <w:pPr>
        <w:spacing w:line="360" w:lineRule="exact"/>
        <w:rPr>
          <w:rFonts w:ascii="宋体" w:hAnsi="宋体" w:eastAsia="宋体"/>
        </w:rPr>
      </w:pPr>
      <w:r>
        <w:rPr>
          <w:rFonts w:hint="eastAsia" w:ascii="宋体" w:hAnsi="宋体" w:eastAsia="宋体"/>
        </w:rPr>
        <w:t>36. 实地考察或资料查验</w:t>
      </w:r>
    </w:p>
    <w:p w14:paraId="08BFD758">
      <w:pPr>
        <w:spacing w:line="360" w:lineRule="exact"/>
        <w:ind w:firstLine="470" w:firstLineChars="196"/>
        <w:rPr>
          <w:rFonts w:ascii="宋体" w:hAnsi="宋体" w:eastAsia="宋体"/>
          <w:szCs w:val="21"/>
        </w:rPr>
      </w:pPr>
      <w:r>
        <w:rPr>
          <w:rFonts w:hint="eastAsia" w:ascii="宋体" w:hAnsi="宋体" w:eastAsia="宋体"/>
          <w:szCs w:val="21"/>
        </w:rPr>
        <w:t>36.1在评审过程中，评审委员会有权决定是否对本项目投标人进行实地考察或资料查验（原件）。投标人应随时做好接受实地考察或资料查验的准备。</w:t>
      </w:r>
    </w:p>
    <w:p w14:paraId="582FCF53">
      <w:pPr>
        <w:spacing w:line="360" w:lineRule="exact"/>
        <w:rPr>
          <w:rFonts w:ascii="宋体" w:hAnsi="宋体" w:eastAsia="宋体"/>
        </w:rPr>
      </w:pPr>
      <w:r>
        <w:rPr>
          <w:rFonts w:hint="eastAsia" w:ascii="宋体" w:hAnsi="宋体" w:eastAsia="宋体"/>
        </w:rPr>
        <w:t>37．评审方法</w:t>
      </w:r>
    </w:p>
    <w:p w14:paraId="45158928">
      <w:pPr>
        <w:spacing w:line="360" w:lineRule="exact"/>
        <w:ind w:firstLine="472" w:firstLineChars="196"/>
        <w:rPr>
          <w:rFonts w:ascii="宋体" w:hAnsi="宋体" w:eastAsia="宋体"/>
          <w:b/>
          <w:bCs/>
          <w:szCs w:val="21"/>
        </w:rPr>
      </w:pPr>
      <w:r>
        <w:rPr>
          <w:rFonts w:hint="eastAsia" w:ascii="宋体" w:hAnsi="宋体" w:eastAsia="宋体"/>
          <w:b/>
          <w:bCs/>
          <w:szCs w:val="21"/>
        </w:rPr>
        <w:t>37.1.1最低价法</w:t>
      </w:r>
    </w:p>
    <w:p w14:paraId="48BAFDC2">
      <w:pPr>
        <w:spacing w:line="360" w:lineRule="exact"/>
        <w:ind w:firstLine="470" w:firstLineChars="196"/>
        <w:rPr>
          <w:rFonts w:ascii="宋体" w:hAnsi="宋体" w:eastAsia="宋体"/>
        </w:rPr>
      </w:pPr>
      <w:bookmarkStart w:id="80" w:name="_Hlk72438142"/>
      <w:r>
        <w:rPr>
          <w:rFonts w:ascii="宋体" w:hAnsi="宋体" w:eastAsia="宋体"/>
        </w:rPr>
        <w:t>最低价法，是指</w:t>
      </w:r>
      <w:r>
        <w:rPr>
          <w:rFonts w:hint="eastAsia" w:ascii="宋体" w:hAnsi="宋体" w:eastAsia="宋体"/>
        </w:rPr>
        <w:t>完全</w:t>
      </w:r>
      <w:r>
        <w:rPr>
          <w:rFonts w:ascii="宋体" w:hAnsi="宋体" w:eastAsia="宋体"/>
        </w:rPr>
        <w:t>满足招标文件实质性要求，</w:t>
      </w:r>
      <w:r>
        <w:rPr>
          <w:rFonts w:hint="eastAsia" w:ascii="宋体" w:hAnsi="宋体" w:eastAsia="宋体"/>
        </w:rPr>
        <w:t>按照报价由低到高的顺序，依据招标文件中规定的数量或者比例推荐候选中标供应商。</w:t>
      </w:r>
    </w:p>
    <w:p w14:paraId="3D55E800">
      <w:pPr>
        <w:spacing w:line="360" w:lineRule="exact"/>
        <w:ind w:firstLine="472" w:firstLineChars="196"/>
        <w:rPr>
          <w:rFonts w:ascii="宋体" w:hAnsi="宋体" w:eastAsia="宋体"/>
          <w:b/>
          <w:bCs/>
          <w:szCs w:val="21"/>
        </w:rPr>
      </w:pPr>
      <w:r>
        <w:rPr>
          <w:rFonts w:hint="eastAsia" w:ascii="宋体" w:hAnsi="宋体" w:eastAsia="宋体"/>
          <w:b/>
          <w:bCs/>
          <w:szCs w:val="21"/>
        </w:rPr>
        <w:t>37.1.2综合评分法</w:t>
      </w:r>
    </w:p>
    <w:p w14:paraId="29D53531">
      <w:pPr>
        <w:spacing w:line="360" w:lineRule="exact"/>
        <w:ind w:firstLine="470" w:firstLineChars="196"/>
        <w:rPr>
          <w:rFonts w:ascii="宋体" w:hAnsi="宋体" w:eastAsia="宋体"/>
        </w:rPr>
      </w:pPr>
      <w:r>
        <w:rPr>
          <w:rFonts w:ascii="宋体" w:hAnsi="宋体" w:eastAsia="宋体"/>
        </w:rPr>
        <w:t>综合评分法，是指</w:t>
      </w:r>
      <w:r>
        <w:rPr>
          <w:rFonts w:hint="eastAsia" w:ascii="宋体" w:hAnsi="宋体" w:eastAsia="宋体"/>
        </w:rPr>
        <w:t>在</w:t>
      </w:r>
      <w:r>
        <w:rPr>
          <w:rFonts w:ascii="宋体" w:hAnsi="宋体" w:eastAsia="宋体"/>
        </w:rPr>
        <w:t>满足招标文件全部实质性要求</w:t>
      </w:r>
      <w:r>
        <w:rPr>
          <w:rFonts w:hint="eastAsia" w:ascii="宋体" w:hAnsi="宋体" w:eastAsia="宋体"/>
        </w:rPr>
        <w:t>的前提下</w:t>
      </w:r>
      <w:r>
        <w:rPr>
          <w:rFonts w:ascii="宋体" w:hAnsi="宋体" w:eastAsia="宋体"/>
        </w:rPr>
        <w:t>，</w:t>
      </w:r>
      <w:r>
        <w:rPr>
          <w:rFonts w:hint="eastAsia" w:ascii="宋体" w:hAnsi="宋体" w:eastAsia="宋体"/>
        </w:rPr>
        <w:t>按照招标文件中规定的各项因素进行综合评审，评审总得分排名前列的投标人，作为推荐的候选中标供应商。</w:t>
      </w:r>
      <w:bookmarkEnd w:id="80"/>
    </w:p>
    <w:p w14:paraId="22C4C8CC">
      <w:pPr>
        <w:spacing w:line="360" w:lineRule="exact"/>
        <w:ind w:firstLine="472" w:firstLineChars="196"/>
        <w:rPr>
          <w:rFonts w:ascii="宋体" w:hAnsi="宋体" w:eastAsia="宋体"/>
          <w:b/>
          <w:bCs/>
          <w:szCs w:val="21"/>
        </w:rPr>
      </w:pPr>
      <w:r>
        <w:rPr>
          <w:rFonts w:hint="eastAsia" w:ascii="宋体" w:hAnsi="宋体" w:eastAsia="宋体"/>
          <w:b/>
          <w:bCs/>
          <w:szCs w:val="21"/>
        </w:rPr>
        <w:t>37.2 本项目采用的评审方法见本项目招标文件第一册“专用条款”的相关内容。</w:t>
      </w:r>
    </w:p>
    <w:p w14:paraId="3AFB8E60">
      <w:pPr>
        <w:spacing w:line="360" w:lineRule="exact"/>
        <w:ind w:firstLine="472" w:firstLineChars="196"/>
        <w:rPr>
          <w:rFonts w:ascii="宋体" w:hAnsi="宋体" w:eastAsia="宋体"/>
          <w:b/>
          <w:bCs/>
          <w:szCs w:val="21"/>
        </w:rPr>
      </w:pPr>
      <w:r>
        <w:rPr>
          <w:rFonts w:hint="eastAsia" w:ascii="宋体" w:hAnsi="宋体" w:eastAsia="宋体"/>
          <w:b/>
          <w:bCs/>
          <w:szCs w:val="21"/>
        </w:rPr>
        <w:t>37.3重新评审的情形</w:t>
      </w:r>
    </w:p>
    <w:p w14:paraId="03D64F08">
      <w:pPr>
        <w:spacing w:line="360" w:lineRule="exact"/>
        <w:ind w:firstLine="470" w:firstLineChars="196"/>
        <w:rPr>
          <w:rFonts w:ascii="宋体" w:hAnsi="宋体" w:eastAsia="宋体"/>
          <w:b/>
          <w:bCs/>
          <w:szCs w:val="21"/>
        </w:rPr>
      </w:pPr>
      <w:r>
        <w:rPr>
          <w:rFonts w:hint="eastAsia" w:ascii="宋体" w:hAnsi="宋体" w:eastAsia="宋体" w:cs="宋体"/>
          <w:szCs w:val="21"/>
        </w:rPr>
        <w:t>评审结果汇总完成后，除下列情形外，任何人不得修改评审结果：</w:t>
      </w:r>
    </w:p>
    <w:p w14:paraId="44B60104">
      <w:pPr>
        <w:spacing w:line="360" w:lineRule="exact"/>
        <w:ind w:firstLine="470" w:firstLineChars="196"/>
        <w:rPr>
          <w:rFonts w:ascii="宋体" w:hAnsi="宋体" w:eastAsia="宋体" w:cs="宋体"/>
          <w:szCs w:val="21"/>
        </w:rPr>
      </w:pPr>
      <w:r>
        <w:rPr>
          <w:rFonts w:hint="eastAsia" w:ascii="宋体" w:hAnsi="宋体" w:eastAsia="宋体" w:cs="宋体"/>
          <w:szCs w:val="21"/>
        </w:rPr>
        <w:t>37.3.1分值汇总计算错误的；</w:t>
      </w:r>
    </w:p>
    <w:p w14:paraId="13BC8E27">
      <w:pPr>
        <w:spacing w:line="360" w:lineRule="exact"/>
        <w:ind w:firstLine="470" w:firstLineChars="196"/>
        <w:rPr>
          <w:rFonts w:ascii="宋体" w:hAnsi="宋体" w:eastAsia="宋体" w:cs="宋体"/>
          <w:szCs w:val="21"/>
        </w:rPr>
      </w:pPr>
      <w:r>
        <w:rPr>
          <w:rFonts w:hint="eastAsia" w:ascii="宋体" w:hAnsi="宋体" w:eastAsia="宋体" w:cs="宋体"/>
          <w:szCs w:val="21"/>
        </w:rPr>
        <w:t>37.3.2分项评分超出评分标准范围的；</w:t>
      </w:r>
    </w:p>
    <w:p w14:paraId="52D14F22">
      <w:pPr>
        <w:spacing w:line="360" w:lineRule="exact"/>
        <w:ind w:firstLine="470" w:firstLineChars="196"/>
        <w:rPr>
          <w:rFonts w:ascii="宋体" w:hAnsi="宋体" w:eastAsia="宋体" w:cs="宋体"/>
          <w:szCs w:val="21"/>
        </w:rPr>
      </w:pPr>
      <w:r>
        <w:rPr>
          <w:rFonts w:hint="eastAsia" w:ascii="宋体" w:hAnsi="宋体" w:eastAsia="宋体" w:cs="宋体"/>
          <w:szCs w:val="21"/>
        </w:rPr>
        <w:t>37.3.3评审委员会成员对客观评审因素评分不一致的；</w:t>
      </w:r>
    </w:p>
    <w:p w14:paraId="3C81C6CF">
      <w:pPr>
        <w:spacing w:line="360" w:lineRule="exact"/>
        <w:ind w:firstLine="470" w:firstLineChars="196"/>
        <w:rPr>
          <w:rFonts w:ascii="宋体" w:hAnsi="宋体" w:eastAsia="宋体" w:cs="宋体"/>
          <w:szCs w:val="21"/>
        </w:rPr>
      </w:pPr>
      <w:r>
        <w:rPr>
          <w:rFonts w:hint="eastAsia" w:ascii="宋体" w:hAnsi="宋体" w:eastAsia="宋体" w:cs="宋体"/>
          <w:szCs w:val="21"/>
        </w:rPr>
        <w:t>37.3.4经评审委员会认定评分畸高、畸低的。</w:t>
      </w:r>
    </w:p>
    <w:p w14:paraId="1B3BBCBA">
      <w:pPr>
        <w:spacing w:line="360" w:lineRule="exact"/>
        <w:ind w:firstLine="470" w:firstLineChars="196"/>
        <w:rPr>
          <w:rFonts w:ascii="宋体" w:hAnsi="宋体" w:eastAsia="宋体" w:cs="宋体"/>
          <w:szCs w:val="21"/>
        </w:rPr>
      </w:pPr>
      <w:r>
        <w:rPr>
          <w:rFonts w:hint="eastAsia" w:ascii="宋体" w:hAnsi="宋体" w:eastAsia="宋体" w:cs="宋体"/>
          <w:szCs w:val="21"/>
        </w:rPr>
        <w:t>评审报告签署前，经复核发现存在以上情形之一的，评审委员会应当当场修改评审结果，并进行书面记载；评审报告签署后，采购人或者采购代理机构发现存在以上情形之一的，应当组织原评审委员会进行重新评审，重新评审改变评审结果的，书面报告本级财政部门。</w:t>
      </w:r>
    </w:p>
    <w:p w14:paraId="4D256739">
      <w:pPr>
        <w:spacing w:line="360" w:lineRule="exact"/>
        <w:ind w:firstLine="470" w:firstLineChars="196"/>
        <w:rPr>
          <w:rFonts w:ascii="宋体" w:hAnsi="宋体" w:eastAsia="宋体" w:cs="宋体"/>
          <w:szCs w:val="21"/>
        </w:rPr>
      </w:pPr>
      <w:r>
        <w:rPr>
          <w:rFonts w:hint="eastAsia" w:ascii="宋体" w:hAnsi="宋体" w:eastAsia="宋体" w:cs="宋体"/>
          <w:szCs w:val="21"/>
        </w:rPr>
        <w:t>投标人对本条第一款情形提出质疑的，采购人或者采购代理机构可以组织原评审委员会进行重新评审，重新评审改变评审结果的，应当书面报告本级财政部门。</w:t>
      </w:r>
    </w:p>
    <w:p w14:paraId="52CD28AE">
      <w:pPr>
        <w:spacing w:line="360" w:lineRule="exact"/>
        <w:ind w:firstLine="472" w:firstLineChars="196"/>
        <w:rPr>
          <w:rFonts w:ascii="宋体" w:hAnsi="宋体" w:eastAsia="宋体"/>
          <w:b/>
          <w:bCs/>
          <w:szCs w:val="21"/>
        </w:rPr>
      </w:pPr>
      <w:r>
        <w:rPr>
          <w:rFonts w:hint="eastAsia" w:ascii="宋体" w:hAnsi="宋体" w:eastAsia="宋体"/>
          <w:b/>
          <w:bCs/>
          <w:szCs w:val="21"/>
        </w:rPr>
        <w:t xml:space="preserve"> 37.4重新组建评审委员会的情形</w:t>
      </w:r>
    </w:p>
    <w:p w14:paraId="0264C882">
      <w:pPr>
        <w:spacing w:line="360" w:lineRule="exact"/>
        <w:ind w:firstLine="470" w:firstLineChars="196"/>
        <w:rPr>
          <w:rFonts w:ascii="宋体" w:hAnsi="宋体" w:eastAsia="宋体" w:cs="宋体"/>
          <w:szCs w:val="21"/>
        </w:rPr>
      </w:pPr>
      <w:r>
        <w:rPr>
          <w:rFonts w:hint="eastAsia" w:ascii="宋体" w:hAnsi="宋体" w:eastAsia="宋体" w:cs="宋体"/>
          <w:szCs w:val="21"/>
        </w:rPr>
        <w:t>评审委员会或者其成员存在下列情形导致评审结果无效的，重新组建评审委员会进行评标，并书面报告本级财政部门：</w:t>
      </w:r>
    </w:p>
    <w:p w14:paraId="032BE7C0">
      <w:pPr>
        <w:spacing w:line="360" w:lineRule="exact"/>
        <w:ind w:firstLine="470" w:firstLineChars="196"/>
        <w:rPr>
          <w:rFonts w:ascii="宋体" w:hAnsi="宋体" w:eastAsia="宋体" w:cs="宋体"/>
          <w:szCs w:val="21"/>
        </w:rPr>
      </w:pPr>
      <w:r>
        <w:rPr>
          <w:rFonts w:hint="eastAsia" w:ascii="宋体" w:hAnsi="宋体" w:eastAsia="宋体" w:cs="宋体"/>
          <w:szCs w:val="21"/>
        </w:rPr>
        <w:t>37.4.1评审委员会组成不符合《政府采购货物和服务招标投标管理办法》规定的；</w:t>
      </w:r>
    </w:p>
    <w:p w14:paraId="7C7D3600">
      <w:pPr>
        <w:spacing w:line="360" w:lineRule="exact"/>
        <w:ind w:firstLine="470" w:firstLineChars="196"/>
        <w:rPr>
          <w:rFonts w:ascii="宋体" w:hAnsi="宋体" w:eastAsia="宋体" w:cs="宋体"/>
          <w:szCs w:val="21"/>
        </w:rPr>
      </w:pPr>
      <w:r>
        <w:rPr>
          <w:rFonts w:hint="eastAsia" w:ascii="宋体" w:hAnsi="宋体" w:eastAsia="宋体" w:cs="宋体"/>
          <w:szCs w:val="21"/>
        </w:rPr>
        <w:t>37.4.2有《政府采购货物和服务招标投标管理办法》第六十二条第一至五项情形的；</w:t>
      </w:r>
    </w:p>
    <w:p w14:paraId="6B07D66B">
      <w:pPr>
        <w:spacing w:line="360" w:lineRule="exact"/>
        <w:ind w:firstLine="470" w:firstLineChars="196"/>
        <w:rPr>
          <w:rFonts w:ascii="宋体" w:hAnsi="宋体" w:eastAsia="宋体" w:cs="宋体"/>
          <w:szCs w:val="21"/>
        </w:rPr>
      </w:pPr>
      <w:r>
        <w:rPr>
          <w:rFonts w:hint="eastAsia" w:ascii="宋体" w:hAnsi="宋体" w:eastAsia="宋体" w:cs="宋体"/>
          <w:szCs w:val="21"/>
        </w:rPr>
        <w:t>37.4.3评审委员会及其成员独立评标受到非法干预的；</w:t>
      </w:r>
    </w:p>
    <w:p w14:paraId="5F548470">
      <w:pPr>
        <w:spacing w:line="360" w:lineRule="exact"/>
        <w:ind w:firstLine="470" w:firstLineChars="196"/>
        <w:rPr>
          <w:rFonts w:ascii="宋体" w:hAnsi="宋体" w:eastAsia="宋体" w:cs="宋体"/>
          <w:szCs w:val="21"/>
        </w:rPr>
      </w:pPr>
      <w:r>
        <w:rPr>
          <w:rFonts w:hint="eastAsia" w:ascii="宋体" w:hAnsi="宋体" w:eastAsia="宋体" w:cs="宋体"/>
          <w:szCs w:val="21"/>
        </w:rPr>
        <w:t>37.4.4有政府采购法实施条例第七十五条规定的违法行为的。</w:t>
      </w:r>
    </w:p>
    <w:p w14:paraId="21FAF839">
      <w:pPr>
        <w:spacing w:line="360" w:lineRule="exact"/>
        <w:ind w:firstLine="470" w:firstLineChars="196"/>
        <w:rPr>
          <w:rFonts w:ascii="宋体" w:hAnsi="宋体" w:eastAsia="宋体" w:cs="宋体"/>
          <w:szCs w:val="21"/>
        </w:rPr>
      </w:pPr>
      <w:r>
        <w:rPr>
          <w:rFonts w:hint="eastAsia" w:ascii="宋体" w:hAnsi="宋体" w:eastAsia="宋体" w:cs="宋体"/>
          <w:szCs w:val="21"/>
        </w:rPr>
        <w:t>有违法违规行为的原评审委员会成员不得参加重新组建的评审委员会。</w:t>
      </w:r>
    </w:p>
    <w:p w14:paraId="6C9C1D47">
      <w:pPr>
        <w:pStyle w:val="5"/>
        <w:keepNext/>
        <w:keepLines/>
        <w:widowControl w:val="0"/>
        <w:numPr>
          <w:ilvl w:val="0"/>
          <w:numId w:val="10"/>
        </w:numPr>
        <w:spacing w:line="360" w:lineRule="exact"/>
        <w:ind w:left="0" w:hanging="562"/>
        <w:rPr>
          <w:rFonts w:eastAsia="宋体"/>
          <w:sz w:val="28"/>
          <w:szCs w:val="28"/>
        </w:rPr>
      </w:pPr>
      <w:r>
        <w:rPr>
          <w:rFonts w:hint="eastAsia" w:eastAsia="宋体"/>
          <w:sz w:val="28"/>
          <w:szCs w:val="28"/>
        </w:rPr>
        <w:t>定标及公示</w:t>
      </w:r>
    </w:p>
    <w:p w14:paraId="781F8916">
      <w:pPr>
        <w:spacing w:line="360" w:lineRule="exact"/>
        <w:rPr>
          <w:rFonts w:ascii="宋体" w:hAnsi="宋体" w:eastAsia="宋体"/>
        </w:rPr>
      </w:pPr>
      <w:r>
        <w:rPr>
          <w:rFonts w:hint="eastAsia" w:ascii="宋体" w:hAnsi="宋体" w:eastAsia="宋体"/>
        </w:rPr>
        <w:t>38．定标方法</w:t>
      </w:r>
    </w:p>
    <w:p w14:paraId="42902774">
      <w:pPr>
        <w:spacing w:line="360" w:lineRule="exact"/>
        <w:ind w:firstLine="470" w:firstLineChars="196"/>
        <w:rPr>
          <w:rFonts w:ascii="宋体" w:hAnsi="宋体" w:eastAsia="宋体"/>
          <w:szCs w:val="21"/>
        </w:rPr>
      </w:pPr>
      <w:bookmarkStart w:id="81" w:name="_Hlk73782795"/>
      <w:r>
        <w:rPr>
          <w:rFonts w:hint="eastAsia" w:ascii="宋体" w:hAnsi="宋体" w:eastAsia="宋体"/>
          <w:szCs w:val="21"/>
        </w:rPr>
        <w:t>38.1非评定分离项目定标方法</w:t>
      </w:r>
    </w:p>
    <w:p w14:paraId="1D46AC0E">
      <w:pPr>
        <w:spacing w:line="360" w:lineRule="exact"/>
        <w:ind w:firstLine="470" w:firstLineChars="196"/>
        <w:rPr>
          <w:rFonts w:ascii="宋体" w:hAnsi="宋体" w:eastAsia="宋体"/>
          <w:szCs w:val="21"/>
        </w:rPr>
      </w:pPr>
      <w:r>
        <w:rPr>
          <w:rFonts w:hint="eastAsia" w:ascii="宋体" w:hAnsi="宋体" w:eastAsia="宋体"/>
          <w:szCs w:val="21"/>
        </w:rPr>
        <w:t>38</w:t>
      </w:r>
      <w:r>
        <w:rPr>
          <w:rFonts w:ascii="宋体" w:hAnsi="宋体" w:eastAsia="宋体"/>
          <w:szCs w:val="21"/>
        </w:rPr>
        <w:t>.</w:t>
      </w:r>
      <w:r>
        <w:rPr>
          <w:rFonts w:hint="eastAsia" w:ascii="宋体" w:hAnsi="宋体" w:eastAsia="宋体"/>
          <w:szCs w:val="21"/>
        </w:rPr>
        <w:t>1.1评审委员会依据本项目招标文件所约定的评审方法进行评审和比较，向政府采购机构提交书面评审报告，并根据评审方法比较评价结果从优到劣进行排序，确定候选中标供应商。</w:t>
      </w:r>
    </w:p>
    <w:p w14:paraId="2D7CDD7E">
      <w:pPr>
        <w:spacing w:line="360" w:lineRule="exact"/>
        <w:ind w:firstLine="470" w:firstLineChars="196"/>
        <w:rPr>
          <w:rFonts w:ascii="宋体" w:hAnsi="宋体" w:eastAsia="宋体"/>
        </w:rPr>
      </w:pPr>
      <w:r>
        <w:rPr>
          <w:rFonts w:hint="eastAsia" w:ascii="宋体" w:hAnsi="宋体" w:eastAsia="宋体"/>
          <w:szCs w:val="21"/>
        </w:rPr>
        <w:t>38</w:t>
      </w:r>
      <w:r>
        <w:rPr>
          <w:rFonts w:ascii="宋体" w:hAnsi="宋体" w:eastAsia="宋体"/>
          <w:szCs w:val="21"/>
        </w:rPr>
        <w:t>.</w:t>
      </w:r>
      <w:r>
        <w:rPr>
          <w:rFonts w:hint="eastAsia" w:ascii="宋体" w:hAnsi="宋体" w:eastAsia="宋体"/>
          <w:szCs w:val="21"/>
        </w:rPr>
        <w:t>1.2</w:t>
      </w:r>
      <w:r>
        <w:rPr>
          <w:rFonts w:ascii="宋体" w:hAnsi="宋体" w:eastAsia="宋体"/>
        </w:rPr>
        <w:t>采用最低价法的，评</w:t>
      </w:r>
      <w:r>
        <w:rPr>
          <w:rFonts w:hint="eastAsia" w:ascii="宋体" w:hAnsi="宋体" w:eastAsia="宋体"/>
        </w:rPr>
        <w:t>审</w:t>
      </w:r>
      <w:r>
        <w:rPr>
          <w:rFonts w:ascii="宋体" w:hAnsi="宋体" w:eastAsia="宋体"/>
        </w:rPr>
        <w:t>结果按投标报价由低到高顺序排列。投标报价相同的并列。投标文件满足招标文件全部实质性要求且投标报价最低的</w:t>
      </w:r>
      <w:r>
        <w:rPr>
          <w:rFonts w:hint="eastAsia" w:ascii="宋体" w:hAnsi="宋体" w:eastAsia="宋体"/>
        </w:rPr>
        <w:t>投标人为</w:t>
      </w:r>
      <w:bookmarkStart w:id="82" w:name="_Hlk73821177"/>
      <w:r>
        <w:rPr>
          <w:rFonts w:hint="eastAsia" w:ascii="宋体" w:hAnsi="宋体" w:eastAsia="宋体"/>
        </w:rPr>
        <w:t>中标供应商</w:t>
      </w:r>
      <w:r>
        <w:rPr>
          <w:rFonts w:ascii="宋体" w:hAnsi="宋体" w:eastAsia="宋体"/>
        </w:rPr>
        <w:t>（</w:t>
      </w:r>
      <w:r>
        <w:rPr>
          <w:rFonts w:hint="eastAsia" w:ascii="宋体" w:hAnsi="宋体" w:eastAsia="宋体"/>
        </w:rPr>
        <w:t>排名</w:t>
      </w:r>
      <w:r>
        <w:rPr>
          <w:rFonts w:ascii="宋体" w:hAnsi="宋体" w:eastAsia="宋体"/>
        </w:rPr>
        <w:t>第二</w:t>
      </w:r>
      <w:r>
        <w:rPr>
          <w:rFonts w:hint="eastAsia" w:ascii="宋体" w:hAnsi="宋体" w:eastAsia="宋体"/>
        </w:rPr>
        <w:t>的投标人为第一替补中标候选人、排名</w:t>
      </w:r>
      <w:r>
        <w:rPr>
          <w:rFonts w:ascii="宋体" w:hAnsi="宋体" w:eastAsia="宋体"/>
        </w:rPr>
        <w:t>第</w:t>
      </w:r>
      <w:r>
        <w:rPr>
          <w:rFonts w:hint="eastAsia" w:ascii="宋体" w:hAnsi="宋体" w:eastAsia="宋体"/>
        </w:rPr>
        <w:t>三的投标人为第二替补中标候选人</w:t>
      </w:r>
      <w:bookmarkEnd w:id="82"/>
      <w:r>
        <w:rPr>
          <w:rFonts w:ascii="宋体" w:hAnsi="宋体" w:eastAsia="宋体"/>
        </w:rPr>
        <w:t>）。</w:t>
      </w:r>
    </w:p>
    <w:p w14:paraId="2C5BB5F8">
      <w:pPr>
        <w:spacing w:line="360" w:lineRule="exact"/>
        <w:ind w:firstLine="470" w:firstLineChars="196"/>
        <w:rPr>
          <w:rFonts w:ascii="宋体" w:hAnsi="宋体" w:eastAsia="宋体"/>
        </w:rPr>
      </w:pPr>
      <w:r>
        <w:rPr>
          <w:rFonts w:hint="eastAsia" w:ascii="宋体" w:hAnsi="宋体" w:eastAsia="宋体"/>
          <w:szCs w:val="21"/>
        </w:rPr>
        <w:t>38</w:t>
      </w:r>
      <w:r>
        <w:rPr>
          <w:rFonts w:ascii="宋体" w:hAnsi="宋体" w:eastAsia="宋体"/>
          <w:szCs w:val="21"/>
        </w:rPr>
        <w:t>.</w:t>
      </w:r>
      <w:r>
        <w:rPr>
          <w:rFonts w:hint="eastAsia" w:ascii="宋体" w:hAnsi="宋体" w:eastAsia="宋体"/>
          <w:szCs w:val="21"/>
        </w:rPr>
        <w:t>1.3</w:t>
      </w:r>
      <w:r>
        <w:rPr>
          <w:rFonts w:ascii="宋体" w:hAnsi="宋体" w:eastAsia="宋体"/>
          <w:szCs w:val="21"/>
        </w:rPr>
        <w:t>采</w:t>
      </w:r>
      <w:r>
        <w:rPr>
          <w:rFonts w:ascii="宋体" w:hAnsi="宋体" w:eastAsia="宋体"/>
        </w:rPr>
        <w:t>用综合评分法的，评标结果按评审后得分由高到低顺序排列。得分相同的，按投标报价由低到高顺序排列。得分且投标报价相同的并列。投标文件满足招标文件全部实质性要求，且按照评审因素的量化指标评审得分最高的投标人</w:t>
      </w:r>
      <w:r>
        <w:rPr>
          <w:rFonts w:hint="eastAsia" w:ascii="宋体" w:hAnsi="宋体" w:eastAsia="宋体"/>
        </w:rPr>
        <w:t>为中标供应商</w:t>
      </w:r>
      <w:r>
        <w:rPr>
          <w:rFonts w:ascii="宋体" w:hAnsi="宋体" w:eastAsia="宋体"/>
        </w:rPr>
        <w:t>（</w:t>
      </w:r>
      <w:r>
        <w:rPr>
          <w:rFonts w:hint="eastAsia" w:ascii="宋体" w:hAnsi="宋体" w:eastAsia="宋体"/>
        </w:rPr>
        <w:t>排名</w:t>
      </w:r>
      <w:r>
        <w:rPr>
          <w:rFonts w:ascii="宋体" w:hAnsi="宋体" w:eastAsia="宋体"/>
        </w:rPr>
        <w:t>第二</w:t>
      </w:r>
      <w:r>
        <w:rPr>
          <w:rFonts w:hint="eastAsia" w:ascii="宋体" w:hAnsi="宋体" w:eastAsia="宋体"/>
        </w:rPr>
        <w:t>的投标人为第一替补中标候选人、排名</w:t>
      </w:r>
      <w:r>
        <w:rPr>
          <w:rFonts w:ascii="宋体" w:hAnsi="宋体" w:eastAsia="宋体"/>
        </w:rPr>
        <w:t>第</w:t>
      </w:r>
      <w:r>
        <w:rPr>
          <w:rFonts w:hint="eastAsia" w:ascii="宋体" w:hAnsi="宋体" w:eastAsia="宋体"/>
        </w:rPr>
        <w:t>三的投标人为第二替补中标候选人</w:t>
      </w:r>
      <w:r>
        <w:rPr>
          <w:rFonts w:ascii="宋体" w:hAnsi="宋体" w:eastAsia="宋体"/>
        </w:rPr>
        <w:t>）。</w:t>
      </w:r>
      <w:r>
        <w:rPr>
          <w:rFonts w:hint="eastAsia" w:ascii="宋体" w:hAnsi="宋体" w:eastAsia="宋体"/>
        </w:rPr>
        <w:t>出现</w:t>
      </w:r>
      <w:r>
        <w:rPr>
          <w:rFonts w:ascii="宋体" w:hAnsi="宋体" w:eastAsia="宋体"/>
        </w:rPr>
        <w:t>得分且投标报价相同的并列</w:t>
      </w:r>
      <w:r>
        <w:rPr>
          <w:rFonts w:hint="eastAsia" w:ascii="宋体" w:hAnsi="宋体" w:eastAsia="宋体"/>
        </w:rPr>
        <w:t>情况时，采取随机抽取的方式确定，具体操作办法及流程由评审委员会确定。</w:t>
      </w:r>
    </w:p>
    <w:p w14:paraId="11C7E1D7">
      <w:pPr>
        <w:spacing w:line="360" w:lineRule="exact"/>
        <w:ind w:firstLine="470" w:firstLineChars="196"/>
        <w:rPr>
          <w:rFonts w:ascii="宋体" w:hAnsi="宋体" w:eastAsia="宋体"/>
          <w:szCs w:val="21"/>
        </w:rPr>
      </w:pPr>
      <w:r>
        <w:rPr>
          <w:rFonts w:hint="eastAsia" w:ascii="宋体" w:hAnsi="宋体" w:eastAsia="宋体"/>
          <w:szCs w:val="21"/>
        </w:rPr>
        <w:t>38.2评定分离项目定标方法</w:t>
      </w:r>
    </w:p>
    <w:p w14:paraId="3B5BADCA">
      <w:pPr>
        <w:spacing w:line="360" w:lineRule="exact"/>
        <w:ind w:firstLine="470" w:firstLineChars="196"/>
        <w:rPr>
          <w:rFonts w:ascii="宋体" w:hAnsi="宋体" w:eastAsia="宋体"/>
          <w:szCs w:val="21"/>
        </w:rPr>
      </w:pPr>
      <w:r>
        <w:rPr>
          <w:rFonts w:hint="eastAsia" w:ascii="宋体" w:hAnsi="宋体" w:eastAsia="宋体"/>
          <w:szCs w:val="21"/>
        </w:rPr>
        <w:t>38.2.1评定分离是指在政府集中采购程序中，以公开招标方式执行采购，评审委员会负责对投标文件进行评审、推荐候选中标供应商并出具书面评审报告，由采购人根据评审委员会出具的评审报告从推荐的候选中标供应商中确定中标供应商。单个项目需要确定多家中标供应商的，不适用评定分离。</w:t>
      </w:r>
    </w:p>
    <w:p w14:paraId="4C30C349">
      <w:pPr>
        <w:spacing w:line="360" w:lineRule="exact"/>
        <w:ind w:firstLine="470" w:firstLineChars="196"/>
        <w:rPr>
          <w:rFonts w:ascii="宋体" w:hAnsi="宋体" w:eastAsia="宋体"/>
        </w:rPr>
      </w:pPr>
      <w:r>
        <w:rPr>
          <w:rFonts w:ascii="宋体" w:hAnsi="宋体" w:eastAsia="宋体"/>
          <w:szCs w:val="21"/>
        </w:rPr>
        <w:t xml:space="preserve">38.2.2 </w:t>
      </w:r>
      <w:bookmarkStart w:id="83" w:name="_Hlk71469733"/>
      <w:r>
        <w:rPr>
          <w:rFonts w:ascii="宋体" w:hAnsi="宋体" w:eastAsia="宋体"/>
        </w:rPr>
        <w:t>适用评定分离的政府采购项目，采用综合评分法评</w:t>
      </w:r>
      <w:r>
        <w:rPr>
          <w:rFonts w:hint="eastAsia" w:ascii="宋体" w:hAnsi="宋体" w:eastAsia="宋体"/>
        </w:rPr>
        <w:t>审。</w:t>
      </w:r>
      <w:r>
        <w:rPr>
          <w:rFonts w:hint="eastAsia" w:ascii="宋体" w:hAnsi="宋体" w:eastAsia="宋体"/>
          <w:szCs w:val="21"/>
        </w:rPr>
        <w:t>评审委员会按照评审结果，推荐</w:t>
      </w:r>
      <w:r>
        <w:rPr>
          <w:rFonts w:ascii="宋体" w:hAnsi="宋体" w:eastAsia="宋体"/>
        </w:rPr>
        <w:t>三个合格的候选中标供应商。</w:t>
      </w:r>
    </w:p>
    <w:p w14:paraId="0A4A5962">
      <w:pPr>
        <w:spacing w:line="360" w:lineRule="exact"/>
        <w:ind w:firstLine="470" w:firstLineChars="196"/>
        <w:rPr>
          <w:rFonts w:ascii="宋体" w:hAnsi="宋体" w:eastAsia="宋体"/>
          <w:szCs w:val="21"/>
        </w:rPr>
      </w:pPr>
      <w:r>
        <w:rPr>
          <w:rFonts w:hint="eastAsia" w:ascii="宋体" w:hAnsi="宋体" w:eastAsia="宋体"/>
          <w:szCs w:val="21"/>
        </w:rPr>
        <w:t>38.2.3</w:t>
      </w:r>
      <w:bookmarkStart w:id="84" w:name="_Hlk71469688"/>
      <w:r>
        <w:rPr>
          <w:rFonts w:ascii="宋体" w:hAnsi="宋体" w:eastAsia="宋体"/>
        </w:rPr>
        <w:t>适用评定分离的政府采购项目，</w:t>
      </w:r>
      <w:r>
        <w:rPr>
          <w:rFonts w:hint="eastAsia" w:ascii="宋体" w:hAnsi="宋体" w:eastAsia="宋体"/>
          <w:szCs w:val="21"/>
        </w:rPr>
        <w:t>按照自定法确定中标供应商：自定法是指采购人组织定标委员会，由定标委员会在三家候选中标供应商中确定中标供应商。</w:t>
      </w:r>
      <w:bookmarkEnd w:id="83"/>
      <w:bookmarkEnd w:id="84"/>
    </w:p>
    <w:p w14:paraId="75ABDAC0">
      <w:pPr>
        <w:spacing w:line="360" w:lineRule="exact"/>
        <w:ind w:firstLine="470" w:firstLineChars="196"/>
        <w:rPr>
          <w:rFonts w:ascii="宋体" w:hAnsi="宋体" w:eastAsia="宋体"/>
          <w:szCs w:val="21"/>
        </w:rPr>
      </w:pPr>
      <w:r>
        <w:rPr>
          <w:rFonts w:ascii="宋体" w:hAnsi="宋体" w:eastAsia="宋体"/>
          <w:szCs w:val="21"/>
        </w:rPr>
        <w:t>38.2.4</w:t>
      </w:r>
      <w:r>
        <w:rPr>
          <w:rFonts w:hint="eastAsia" w:ascii="宋体" w:hAnsi="宋体" w:eastAsia="宋体"/>
          <w:szCs w:val="21"/>
        </w:rPr>
        <w:t>政府采购机构</w:t>
      </w:r>
      <w:r>
        <w:rPr>
          <w:rFonts w:ascii="宋体" w:hAnsi="宋体" w:eastAsia="宋体"/>
        </w:rPr>
        <w:t>应当自评审结束之日起两个工作日内将候选中标供应商名单及其投标文件、评审报告送交采购人</w:t>
      </w:r>
      <w:r>
        <w:rPr>
          <w:rFonts w:hint="eastAsia" w:ascii="宋体" w:hAnsi="宋体" w:eastAsia="宋体"/>
          <w:szCs w:val="21"/>
        </w:rPr>
        <w:t>。</w:t>
      </w:r>
      <w:r>
        <w:rPr>
          <w:rFonts w:ascii="宋体" w:hAnsi="宋体" w:eastAsia="宋体"/>
        </w:rPr>
        <w:t>采购人应当安排专人对定标过程进行书面记录，形成定标报告，作为采购文件的组成部分存档，并及时将定标结果反馈</w:t>
      </w:r>
      <w:r>
        <w:rPr>
          <w:rFonts w:hint="eastAsia" w:ascii="宋体" w:hAnsi="宋体" w:eastAsia="宋体"/>
        </w:rPr>
        <w:t>政府采购机构。具体定标程序及相关要求以按照《</w:t>
      </w:r>
      <w:r>
        <w:rPr>
          <w:rFonts w:ascii="宋体" w:hAnsi="宋体" w:eastAsia="宋体"/>
        </w:rPr>
        <w:t>深圳市财政局关于印发</w:t>
      </w:r>
      <w:r>
        <w:rPr>
          <w:rFonts w:hint="eastAsia" w:ascii="宋体" w:hAnsi="宋体" w:eastAsia="宋体"/>
        </w:rPr>
        <w:t>〈</w:t>
      </w:r>
      <w:r>
        <w:rPr>
          <w:rFonts w:ascii="宋体" w:hAnsi="宋体" w:eastAsia="宋体"/>
        </w:rPr>
        <w:t>深圳市政府采购评标定标分离管理办法</w:t>
      </w:r>
      <w:r>
        <w:rPr>
          <w:rFonts w:hint="eastAsia" w:ascii="宋体" w:hAnsi="宋体" w:eastAsia="宋体"/>
        </w:rPr>
        <w:t>〉</w:t>
      </w:r>
      <w:r>
        <w:rPr>
          <w:rFonts w:ascii="宋体" w:hAnsi="宋体" w:eastAsia="宋体"/>
        </w:rPr>
        <w:t>的通知</w:t>
      </w:r>
      <w:r>
        <w:rPr>
          <w:rFonts w:hint="eastAsia" w:ascii="宋体" w:hAnsi="宋体" w:eastAsia="宋体"/>
        </w:rPr>
        <w:t>》（深财规【2</w:t>
      </w:r>
      <w:r>
        <w:rPr>
          <w:rFonts w:ascii="宋体" w:hAnsi="宋体" w:eastAsia="宋体"/>
        </w:rPr>
        <w:t>020</w:t>
      </w:r>
      <w:r>
        <w:rPr>
          <w:rFonts w:hint="eastAsia" w:ascii="宋体" w:hAnsi="宋体" w:eastAsia="宋体"/>
        </w:rPr>
        <w:t>】1号）执行。</w:t>
      </w:r>
    </w:p>
    <w:p w14:paraId="5BD7F794">
      <w:pPr>
        <w:spacing w:line="360" w:lineRule="exact"/>
        <w:ind w:firstLine="470" w:firstLineChars="196"/>
        <w:rPr>
          <w:rFonts w:ascii="宋体" w:hAnsi="宋体" w:eastAsia="宋体"/>
          <w:szCs w:val="21"/>
        </w:rPr>
      </w:pPr>
      <w:r>
        <w:rPr>
          <w:rFonts w:hint="eastAsia" w:ascii="宋体" w:hAnsi="宋体" w:eastAsia="宋体"/>
          <w:szCs w:val="21"/>
        </w:rPr>
        <w:t>说明：采购人及投标供应商应按照上述方法提前做好相关准备。</w:t>
      </w:r>
    </w:p>
    <w:p w14:paraId="353E5B40">
      <w:pPr>
        <w:spacing w:line="360" w:lineRule="exact"/>
        <w:ind w:firstLine="470" w:firstLineChars="196"/>
        <w:rPr>
          <w:rFonts w:ascii="宋体" w:hAnsi="宋体" w:eastAsia="宋体"/>
          <w:szCs w:val="21"/>
        </w:rPr>
      </w:pPr>
      <w:r>
        <w:rPr>
          <w:rFonts w:hint="eastAsia" w:ascii="宋体" w:hAnsi="宋体" w:eastAsia="宋体"/>
          <w:szCs w:val="21"/>
        </w:rPr>
        <w:t>38.3专用条款另有规定的，按专用条款相关要求定标。</w:t>
      </w:r>
      <w:bookmarkEnd w:id="81"/>
    </w:p>
    <w:p w14:paraId="1FFD831B">
      <w:pPr>
        <w:spacing w:line="360" w:lineRule="exact"/>
        <w:rPr>
          <w:rFonts w:ascii="宋体" w:hAnsi="宋体" w:eastAsia="宋体"/>
        </w:rPr>
      </w:pPr>
      <w:r>
        <w:rPr>
          <w:rFonts w:hint="eastAsia" w:ascii="宋体" w:hAnsi="宋体" w:eastAsia="宋体"/>
        </w:rPr>
        <w:t>39．编写评审报告</w:t>
      </w:r>
    </w:p>
    <w:p w14:paraId="022F7F8D">
      <w:pPr>
        <w:spacing w:line="360" w:lineRule="exact"/>
        <w:ind w:firstLine="470" w:firstLineChars="196"/>
        <w:rPr>
          <w:rFonts w:ascii="宋体" w:hAnsi="宋体" w:eastAsia="宋体"/>
          <w:szCs w:val="21"/>
        </w:rPr>
      </w:pPr>
      <w:r>
        <w:rPr>
          <w:rFonts w:hint="eastAsia" w:ascii="宋体" w:hAnsi="宋体" w:eastAsia="宋体"/>
          <w:szCs w:val="21"/>
        </w:rPr>
        <w:t>评审报告是评审委员会根据全体评标成员签字的原始评审记录和评审结果编写的报告，评审报告由评审委员会全体成员签字。对评审结论持有异议的评审委员会成员可以书面方式阐述其不同意见和理由。评审委员会成员拒绝在评审报告上签字且不陈述其不同意见和理由的，视为同意评审结论。评审委员会应当对此作出书面说明并记录存档。</w:t>
      </w:r>
    </w:p>
    <w:p w14:paraId="58B5EE66">
      <w:pPr>
        <w:spacing w:line="360" w:lineRule="exact"/>
        <w:rPr>
          <w:rFonts w:ascii="宋体" w:hAnsi="宋体" w:eastAsia="宋体"/>
        </w:rPr>
      </w:pPr>
      <w:r>
        <w:rPr>
          <w:rFonts w:hint="eastAsia" w:ascii="宋体" w:hAnsi="宋体" w:eastAsia="宋体"/>
        </w:rPr>
        <w:t>40．中标公告</w:t>
      </w:r>
    </w:p>
    <w:p w14:paraId="4A9B4788">
      <w:pPr>
        <w:spacing w:line="360" w:lineRule="exact"/>
        <w:ind w:firstLine="470" w:firstLineChars="196"/>
        <w:rPr>
          <w:rFonts w:ascii="宋体" w:hAnsi="宋体" w:eastAsia="宋体"/>
          <w:szCs w:val="21"/>
        </w:rPr>
      </w:pPr>
      <w:r>
        <w:rPr>
          <w:rFonts w:hint="eastAsia" w:ascii="宋体" w:hAnsi="宋体" w:eastAsia="宋体"/>
          <w:szCs w:val="21"/>
        </w:rPr>
        <w:t>40.1</w:t>
      </w:r>
      <w:bookmarkStart w:id="85" w:name="_Hlk72438709"/>
      <w:r>
        <w:rPr>
          <w:rFonts w:hint="eastAsia" w:ascii="宋体" w:hAnsi="宋体" w:eastAsia="宋体"/>
          <w:szCs w:val="21"/>
        </w:rPr>
        <w:t>为体现“公开、公平、公正”的原则，评审结束后经采购人确认（确定）评审结果，政府采购机构将在“深圳政府采购智慧平台（http://zfcg.szggzy.com:8081/）”上发布中标结果公告。</w:t>
      </w:r>
      <w:bookmarkEnd w:id="85"/>
      <w:bookmarkStart w:id="86" w:name="_Hlk72438751"/>
      <w:r>
        <w:rPr>
          <w:rFonts w:hint="eastAsia" w:ascii="宋体" w:hAnsi="宋体" w:eastAsia="宋体"/>
          <w:szCs w:val="21"/>
        </w:rPr>
        <w:t>供应商如对评审结果有异议，</w:t>
      </w:r>
      <w:r>
        <w:rPr>
          <w:rFonts w:ascii="宋体" w:hAnsi="宋体" w:eastAsia="宋体"/>
          <w:szCs w:val="21"/>
        </w:rPr>
        <w:t>可在发布公示日期起</w:t>
      </w:r>
      <w:r>
        <w:rPr>
          <w:rFonts w:hint="eastAsia" w:ascii="宋体" w:hAnsi="宋体" w:eastAsia="宋体"/>
          <w:szCs w:val="21"/>
        </w:rPr>
        <w:t>七</w:t>
      </w:r>
      <w:r>
        <w:rPr>
          <w:rFonts w:ascii="宋体" w:hAnsi="宋体" w:eastAsia="宋体"/>
          <w:szCs w:val="21"/>
        </w:rPr>
        <w:t>个工作日内向</w:t>
      </w:r>
      <w:r>
        <w:rPr>
          <w:rFonts w:hint="eastAsia" w:ascii="宋体" w:hAnsi="宋体" w:eastAsia="宋体"/>
          <w:szCs w:val="21"/>
        </w:rPr>
        <w:t>政府采购机构</w:t>
      </w:r>
      <w:r>
        <w:rPr>
          <w:rFonts w:ascii="宋体" w:hAnsi="宋体" w:eastAsia="宋体"/>
          <w:szCs w:val="21"/>
        </w:rPr>
        <w:t>提出。 监督电话：0755-83948143。</w:t>
      </w:r>
      <w:r>
        <w:rPr>
          <w:rFonts w:hint="eastAsia" w:ascii="宋体" w:hAnsi="宋体" w:eastAsia="宋体"/>
          <w:szCs w:val="21"/>
        </w:rPr>
        <w:t>若在公示期内未提出质疑，则视为认同该评审结果。</w:t>
      </w:r>
    </w:p>
    <w:bookmarkEnd w:id="86"/>
    <w:p w14:paraId="73363A0D">
      <w:pPr>
        <w:spacing w:line="360" w:lineRule="exact"/>
        <w:ind w:firstLine="470" w:firstLineChars="196"/>
        <w:rPr>
          <w:rFonts w:ascii="宋体" w:hAnsi="宋体" w:eastAsia="宋体"/>
          <w:szCs w:val="21"/>
        </w:rPr>
      </w:pPr>
      <w:r>
        <w:rPr>
          <w:rFonts w:hint="eastAsia" w:ascii="宋体" w:hAnsi="宋体" w:eastAsia="宋体"/>
          <w:szCs w:val="21"/>
        </w:rPr>
        <w:t>40.2质疑、投诉供应商应保证质疑、投诉内容的真实性和可靠性，并承担相应的法律责任。</w:t>
      </w:r>
    </w:p>
    <w:p w14:paraId="75F3691C">
      <w:pPr>
        <w:spacing w:line="360" w:lineRule="exact"/>
        <w:rPr>
          <w:rFonts w:ascii="宋体" w:hAnsi="宋体" w:eastAsia="宋体"/>
        </w:rPr>
      </w:pPr>
      <w:r>
        <w:rPr>
          <w:rFonts w:hint="eastAsia" w:ascii="宋体" w:hAnsi="宋体" w:eastAsia="宋体"/>
        </w:rPr>
        <w:t>41．中标通知书</w:t>
      </w:r>
    </w:p>
    <w:p w14:paraId="5B3D9BD2">
      <w:pPr>
        <w:spacing w:line="360" w:lineRule="exact"/>
        <w:ind w:firstLine="470" w:firstLineChars="196"/>
        <w:rPr>
          <w:rFonts w:ascii="宋体" w:hAnsi="宋体" w:eastAsia="宋体"/>
          <w:szCs w:val="21"/>
        </w:rPr>
      </w:pPr>
      <w:r>
        <w:rPr>
          <w:rFonts w:hint="eastAsia" w:ascii="宋体" w:hAnsi="宋体" w:eastAsia="宋体"/>
          <w:szCs w:val="21"/>
        </w:rPr>
        <w:t>41</w:t>
      </w:r>
      <w:r>
        <w:rPr>
          <w:rFonts w:ascii="宋体" w:hAnsi="宋体" w:eastAsia="宋体"/>
          <w:szCs w:val="21"/>
        </w:rPr>
        <w:t>.</w:t>
      </w:r>
      <w:r>
        <w:rPr>
          <w:rFonts w:hint="eastAsia" w:ascii="宋体" w:hAnsi="宋体" w:eastAsia="宋体"/>
          <w:szCs w:val="21"/>
        </w:rPr>
        <w:t>1</w:t>
      </w:r>
      <w:bookmarkStart w:id="87" w:name="_Hlk72438863"/>
      <w:r>
        <w:rPr>
          <w:rFonts w:hint="eastAsia" w:ascii="宋体" w:hAnsi="宋体" w:eastAsia="宋体"/>
          <w:szCs w:val="21"/>
        </w:rPr>
        <w:t>中标公告公布以后无异常的情况下,中标供应商和采购人可自行在“深圳政府采购智慧平台（http://zfcg.szggzy.com:8081/）”上打印</w:t>
      </w:r>
      <w:r>
        <w:rPr>
          <w:rFonts w:hint="eastAsia" w:ascii="宋体" w:hAnsi="宋体" w:eastAsia="宋体"/>
          <w:b/>
          <w:szCs w:val="21"/>
        </w:rPr>
        <w:t>《数字中标通知书》（</w:t>
      </w:r>
      <w:r>
        <w:rPr>
          <w:rFonts w:hint="eastAsia" w:ascii="宋体" w:hAnsi="宋体" w:eastAsia="宋体"/>
          <w:szCs w:val="21"/>
        </w:rPr>
        <w:t>咨询电话：</w:t>
      </w:r>
      <w:r>
        <w:rPr>
          <w:rFonts w:hint="eastAsia" w:ascii="宋体" w:hAnsi="宋体" w:eastAsia="宋体"/>
          <w:b/>
          <w:bCs/>
          <w:szCs w:val="21"/>
        </w:rPr>
        <w:t>0755-88653300，转6</w:t>
      </w:r>
      <w:r>
        <w:rPr>
          <w:rFonts w:hint="eastAsia" w:ascii="宋体" w:hAnsi="宋体" w:eastAsia="宋体"/>
          <w:szCs w:val="21"/>
        </w:rPr>
        <w:t>）。</w:t>
      </w:r>
      <w:bookmarkEnd w:id="87"/>
    </w:p>
    <w:p w14:paraId="78796891">
      <w:pPr>
        <w:spacing w:line="360" w:lineRule="exact"/>
        <w:ind w:firstLine="470" w:firstLineChars="196"/>
        <w:rPr>
          <w:rFonts w:ascii="宋体" w:hAnsi="宋体" w:eastAsia="宋体"/>
          <w:szCs w:val="21"/>
        </w:rPr>
      </w:pPr>
      <w:r>
        <w:rPr>
          <w:rFonts w:hint="eastAsia" w:ascii="宋体" w:hAnsi="宋体" w:eastAsia="宋体"/>
          <w:szCs w:val="21"/>
        </w:rPr>
        <w:t>41</w:t>
      </w:r>
      <w:r>
        <w:rPr>
          <w:rFonts w:ascii="宋体" w:hAnsi="宋体" w:eastAsia="宋体"/>
          <w:szCs w:val="21"/>
        </w:rPr>
        <w:t>.2</w:t>
      </w:r>
      <w:r>
        <w:rPr>
          <w:rFonts w:hint="eastAsia" w:ascii="宋体" w:hAnsi="宋体" w:eastAsia="宋体"/>
          <w:szCs w:val="21"/>
        </w:rPr>
        <w:t>中标通知书是合同的重要组成部分。</w:t>
      </w:r>
    </w:p>
    <w:p w14:paraId="72F70A07">
      <w:pPr>
        <w:spacing w:line="360" w:lineRule="exact"/>
        <w:ind w:firstLine="470" w:firstLineChars="196"/>
        <w:rPr>
          <w:rFonts w:ascii="宋体" w:hAnsi="宋体" w:eastAsia="宋体"/>
          <w:szCs w:val="21"/>
        </w:rPr>
      </w:pPr>
      <w:bookmarkStart w:id="88" w:name="_Hlk71407340"/>
      <w:r>
        <w:rPr>
          <w:rFonts w:hint="eastAsia" w:ascii="宋体" w:hAnsi="宋体" w:eastAsia="宋体"/>
          <w:szCs w:val="21"/>
        </w:rPr>
        <w:t>41.3因质疑投诉或其它原因导致项目结果变更或采购终止的，政府采购机构有权吊销中标通知书。</w:t>
      </w:r>
    </w:p>
    <w:bookmarkEnd w:id="88"/>
    <w:p w14:paraId="69182B1D">
      <w:pPr>
        <w:pStyle w:val="5"/>
        <w:keepNext/>
        <w:keepLines/>
        <w:widowControl w:val="0"/>
        <w:numPr>
          <w:ilvl w:val="0"/>
          <w:numId w:val="10"/>
        </w:numPr>
        <w:spacing w:line="360" w:lineRule="exact"/>
        <w:ind w:left="0" w:hanging="562"/>
        <w:rPr>
          <w:rFonts w:eastAsia="宋体"/>
          <w:sz w:val="28"/>
          <w:szCs w:val="28"/>
        </w:rPr>
      </w:pPr>
      <w:r>
        <w:rPr>
          <w:rFonts w:hint="eastAsia" w:eastAsia="宋体"/>
          <w:sz w:val="28"/>
          <w:szCs w:val="28"/>
        </w:rPr>
        <w:t>公开招标失败的后续处理</w:t>
      </w:r>
    </w:p>
    <w:p w14:paraId="3694CF46">
      <w:pPr>
        <w:spacing w:line="360" w:lineRule="exact"/>
        <w:rPr>
          <w:rFonts w:ascii="宋体" w:hAnsi="宋体" w:eastAsia="宋体"/>
        </w:rPr>
      </w:pPr>
      <w:r>
        <w:rPr>
          <w:rFonts w:hint="eastAsia" w:ascii="宋体" w:hAnsi="宋体" w:eastAsia="宋体"/>
        </w:rPr>
        <w:t>42．公开招标失败的处理</w:t>
      </w:r>
    </w:p>
    <w:p w14:paraId="6BBB0A9F">
      <w:pPr>
        <w:spacing w:line="360" w:lineRule="exact"/>
        <w:ind w:firstLine="470" w:firstLineChars="196"/>
        <w:rPr>
          <w:rFonts w:ascii="宋体" w:hAnsi="宋体" w:eastAsia="宋体"/>
        </w:rPr>
      </w:pPr>
      <w:r>
        <w:rPr>
          <w:rFonts w:hint="eastAsia" w:ascii="宋体" w:hAnsi="宋体" w:eastAsia="宋体"/>
          <w:szCs w:val="21"/>
        </w:rPr>
        <w:t>42.1本项目公开招标过程中若由于投标截止后</w:t>
      </w:r>
      <w:r>
        <w:rPr>
          <w:rFonts w:hint="eastAsia" w:ascii="宋体" w:hAnsi="宋体" w:eastAsia="宋体"/>
        </w:rPr>
        <w:t>实际递交</w:t>
      </w:r>
      <w:r>
        <w:rPr>
          <w:rFonts w:ascii="宋体" w:hAnsi="宋体" w:eastAsia="宋体"/>
        </w:rPr>
        <w:t>投标</w:t>
      </w:r>
      <w:r>
        <w:rPr>
          <w:rFonts w:hint="eastAsia" w:ascii="宋体" w:hAnsi="宋体" w:eastAsia="宋体"/>
        </w:rPr>
        <w:t>文件的供应商数量不足、经</w:t>
      </w:r>
      <w:r>
        <w:rPr>
          <w:rFonts w:hint="eastAsia" w:ascii="宋体" w:hAnsi="宋体" w:eastAsia="宋体"/>
          <w:szCs w:val="21"/>
        </w:rPr>
        <w:t>评审委员会</w:t>
      </w:r>
      <w:r>
        <w:rPr>
          <w:rFonts w:hint="eastAsia" w:ascii="宋体" w:hAnsi="宋体" w:eastAsia="宋体"/>
        </w:rPr>
        <w:t>评审对招标文件作实质响应的供应商不足等原因造成公开招标失败，可由</w:t>
      </w:r>
      <w:r>
        <w:rPr>
          <w:rFonts w:hint="eastAsia" w:ascii="宋体" w:hAnsi="宋体" w:eastAsia="宋体" w:cs="宋体"/>
        </w:rPr>
        <w:t>政府采购机构</w:t>
      </w:r>
      <w:r>
        <w:rPr>
          <w:rFonts w:hint="eastAsia" w:ascii="宋体" w:hAnsi="宋体" w:eastAsia="宋体"/>
        </w:rPr>
        <w:t>重新组织采购。</w:t>
      </w:r>
    </w:p>
    <w:p w14:paraId="0E68C1FB">
      <w:pPr>
        <w:spacing w:line="360" w:lineRule="exact"/>
        <w:ind w:firstLine="470" w:firstLineChars="196"/>
        <w:rPr>
          <w:rFonts w:ascii="宋体" w:hAnsi="宋体" w:eastAsia="宋体"/>
          <w:szCs w:val="21"/>
        </w:rPr>
      </w:pPr>
      <w:r>
        <w:rPr>
          <w:rFonts w:hint="eastAsia" w:ascii="宋体" w:hAnsi="宋体" w:eastAsia="宋体"/>
          <w:szCs w:val="21"/>
        </w:rPr>
        <w:t>42.2对公开招标失败的项目，评审委员会在出具该项目招标失败结论的同时，可以提出重新采购组织形式的建议，以及进一步完善招标文件的资格、技术、商务要求的修改建议。</w:t>
      </w:r>
    </w:p>
    <w:p w14:paraId="2EA7563F">
      <w:pPr>
        <w:spacing w:line="360" w:lineRule="exact"/>
        <w:ind w:firstLine="470" w:firstLineChars="196"/>
        <w:rPr>
          <w:rFonts w:ascii="宋体" w:hAnsi="宋体" w:eastAsia="宋体"/>
          <w:szCs w:val="21"/>
        </w:rPr>
      </w:pPr>
      <w:r>
        <w:rPr>
          <w:rFonts w:hint="eastAsia" w:ascii="宋体" w:hAnsi="宋体" w:eastAsia="宋体"/>
          <w:szCs w:val="21"/>
        </w:rPr>
        <w:t>42.3重新组织采购有以下两种组织形式：</w:t>
      </w:r>
    </w:p>
    <w:p w14:paraId="6616DB51">
      <w:pPr>
        <w:spacing w:line="360" w:lineRule="exact"/>
        <w:ind w:firstLine="470" w:firstLineChars="196"/>
        <w:rPr>
          <w:rFonts w:ascii="宋体" w:hAnsi="宋体" w:eastAsia="宋体"/>
        </w:rPr>
      </w:pPr>
      <w:r>
        <w:rPr>
          <w:rFonts w:hint="eastAsia" w:ascii="宋体" w:hAnsi="宋体" w:eastAsia="宋体"/>
        </w:rPr>
        <w:t>（1）由政府采购机构重新组织公开招标；</w:t>
      </w:r>
    </w:p>
    <w:p w14:paraId="4350F8E9">
      <w:pPr>
        <w:spacing w:line="360" w:lineRule="exact"/>
        <w:ind w:firstLine="470" w:firstLineChars="196"/>
        <w:rPr>
          <w:rFonts w:ascii="宋体" w:hAnsi="宋体" w:eastAsia="宋体"/>
        </w:rPr>
      </w:pPr>
      <w:r>
        <w:rPr>
          <w:rFonts w:hint="eastAsia" w:ascii="宋体" w:hAnsi="宋体" w:eastAsia="宋体"/>
        </w:rPr>
        <w:t>（2）根据实际情况需要向同级财政部门提出非公开招标方式申请，经同级财政部门批准，公开招标失败采购项目可转为竞争性谈判或单一来源谈判方式采购。</w:t>
      </w:r>
    </w:p>
    <w:p w14:paraId="4DA222E4">
      <w:pPr>
        <w:spacing w:line="360" w:lineRule="exact"/>
        <w:ind w:firstLine="470" w:firstLineChars="196"/>
        <w:rPr>
          <w:rFonts w:ascii="宋体" w:hAnsi="宋体" w:eastAsia="宋体"/>
        </w:rPr>
      </w:pPr>
      <w:r>
        <w:rPr>
          <w:rFonts w:hint="eastAsia" w:ascii="宋体" w:hAnsi="宋体" w:eastAsia="宋体"/>
        </w:rPr>
        <w:t>42.4公开招标失败的采购项目重新组织公开招标，由政府采购机构重新按公开招标流程组织采购活动。</w:t>
      </w:r>
    </w:p>
    <w:p w14:paraId="294AB438">
      <w:pPr>
        <w:spacing w:line="360" w:lineRule="exact"/>
        <w:rPr>
          <w:rFonts w:ascii="宋体" w:hAnsi="宋体" w:eastAsia="宋体"/>
        </w:rPr>
      </w:pPr>
      <w:r>
        <w:rPr>
          <w:rFonts w:hint="eastAsia" w:ascii="宋体" w:hAnsi="宋体" w:eastAsia="宋体"/>
        </w:rPr>
        <w:t>42.5公开招标失败的采购项目经同级财政部门批准转为竞争性谈判或单一来源谈判方式采购的，按规定要求组织政府采购工作。</w:t>
      </w:r>
    </w:p>
    <w:p w14:paraId="4D14620F">
      <w:pPr>
        <w:pStyle w:val="5"/>
        <w:keepNext/>
        <w:keepLines/>
        <w:widowControl w:val="0"/>
        <w:numPr>
          <w:ilvl w:val="0"/>
          <w:numId w:val="10"/>
        </w:numPr>
        <w:spacing w:line="360" w:lineRule="exact"/>
        <w:ind w:left="0" w:hanging="562"/>
        <w:rPr>
          <w:rFonts w:eastAsia="宋体"/>
          <w:sz w:val="28"/>
          <w:szCs w:val="28"/>
        </w:rPr>
      </w:pPr>
      <w:bookmarkStart w:id="89" w:name="_Hlk72439043"/>
      <w:r>
        <w:rPr>
          <w:rFonts w:hint="eastAsia" w:eastAsia="宋体"/>
          <w:sz w:val="28"/>
          <w:szCs w:val="28"/>
        </w:rPr>
        <w:t>合同的授予与备案</w:t>
      </w:r>
      <w:bookmarkEnd w:id="89"/>
    </w:p>
    <w:p w14:paraId="2C131D58">
      <w:pPr>
        <w:spacing w:line="360" w:lineRule="exact"/>
        <w:rPr>
          <w:rFonts w:ascii="宋体" w:hAnsi="宋体" w:eastAsia="宋体"/>
        </w:rPr>
      </w:pPr>
      <w:bookmarkStart w:id="90" w:name="_Toc73521586"/>
      <w:bookmarkStart w:id="91" w:name="_Toc73517679"/>
      <w:bookmarkStart w:id="92" w:name="_Toc73521674"/>
      <w:bookmarkStart w:id="93" w:name="_Toc73518157"/>
      <w:bookmarkStart w:id="94" w:name="_Toc100052408"/>
      <w:bookmarkStart w:id="95" w:name="_Hlk72439088"/>
      <w:r>
        <w:rPr>
          <w:rFonts w:hint="eastAsia" w:ascii="宋体" w:hAnsi="宋体" w:eastAsia="宋体"/>
        </w:rPr>
        <w:t>43．合同授予标准</w:t>
      </w:r>
      <w:bookmarkEnd w:id="90"/>
      <w:bookmarkEnd w:id="91"/>
      <w:bookmarkEnd w:id="92"/>
      <w:bookmarkEnd w:id="93"/>
      <w:bookmarkEnd w:id="94"/>
    </w:p>
    <w:p w14:paraId="38E77504">
      <w:pPr>
        <w:spacing w:line="360" w:lineRule="exact"/>
        <w:ind w:firstLine="470" w:firstLineChars="196"/>
        <w:rPr>
          <w:rFonts w:ascii="宋体" w:hAnsi="宋体" w:eastAsia="宋体"/>
          <w:szCs w:val="21"/>
        </w:rPr>
      </w:pPr>
      <w:r>
        <w:rPr>
          <w:rFonts w:hint="eastAsia" w:ascii="宋体" w:hAnsi="宋体" w:eastAsia="宋体"/>
          <w:szCs w:val="21"/>
        </w:rPr>
        <w:t>本项目的合同将授予经本招标文件规定评审确定的中标供应商。</w:t>
      </w:r>
    </w:p>
    <w:p w14:paraId="014C1755">
      <w:pPr>
        <w:spacing w:line="360" w:lineRule="exact"/>
        <w:rPr>
          <w:rFonts w:ascii="宋体" w:hAnsi="宋体" w:eastAsia="宋体"/>
        </w:rPr>
      </w:pPr>
      <w:bookmarkStart w:id="96" w:name="_Toc73521675"/>
      <w:bookmarkStart w:id="97" w:name="_Toc73521587"/>
      <w:bookmarkStart w:id="98" w:name="_Toc100052409"/>
      <w:bookmarkStart w:id="99" w:name="_Toc73518158"/>
      <w:bookmarkStart w:id="100" w:name="_Toc73517680"/>
      <w:r>
        <w:rPr>
          <w:rFonts w:hint="eastAsia" w:ascii="宋体" w:hAnsi="宋体" w:eastAsia="宋体"/>
        </w:rPr>
        <w:t>44．</w:t>
      </w:r>
      <w:bookmarkEnd w:id="96"/>
      <w:bookmarkEnd w:id="97"/>
      <w:bookmarkEnd w:id="98"/>
      <w:bookmarkEnd w:id="99"/>
      <w:bookmarkEnd w:id="100"/>
      <w:r>
        <w:rPr>
          <w:rFonts w:hint="eastAsia" w:ascii="宋体" w:hAnsi="宋体" w:eastAsia="宋体"/>
        </w:rPr>
        <w:t>接受和拒绝任何或所有投标的权力</w:t>
      </w:r>
    </w:p>
    <w:p w14:paraId="5B6428BD">
      <w:pPr>
        <w:spacing w:line="360" w:lineRule="exact"/>
        <w:ind w:firstLine="470" w:firstLineChars="196"/>
        <w:rPr>
          <w:rFonts w:ascii="宋体" w:hAnsi="宋体" w:eastAsia="宋体"/>
          <w:szCs w:val="21"/>
        </w:rPr>
      </w:pPr>
      <w:r>
        <w:rPr>
          <w:rFonts w:hint="eastAsia" w:ascii="宋体" w:hAnsi="宋体" w:eastAsia="宋体"/>
          <w:szCs w:val="21"/>
        </w:rPr>
        <w:t>政府采购机构和采购人保留在投标之前任何时候接受或拒绝任何投标或所有投标，以及宣布招标无效的权力，对受影响的投标人不承担任何责任，也无义务向受影响的投标人解释采取这一行动的理由。</w:t>
      </w:r>
    </w:p>
    <w:p w14:paraId="32BD703B">
      <w:pPr>
        <w:spacing w:line="360" w:lineRule="exact"/>
        <w:rPr>
          <w:rFonts w:ascii="宋体" w:hAnsi="宋体" w:eastAsia="宋体"/>
        </w:rPr>
      </w:pPr>
      <w:bookmarkStart w:id="101" w:name="_Toc73521677"/>
      <w:bookmarkStart w:id="102" w:name="_Toc73518160"/>
      <w:bookmarkStart w:id="103" w:name="_Toc73517682"/>
      <w:bookmarkStart w:id="104" w:name="_Toc73521589"/>
      <w:bookmarkStart w:id="105" w:name="_Toc100052410"/>
      <w:r>
        <w:rPr>
          <w:rFonts w:hint="eastAsia" w:ascii="宋体" w:hAnsi="宋体" w:eastAsia="宋体"/>
        </w:rPr>
        <w:t>45．合同的签订</w:t>
      </w:r>
      <w:bookmarkEnd w:id="101"/>
      <w:bookmarkEnd w:id="102"/>
      <w:bookmarkEnd w:id="103"/>
      <w:bookmarkEnd w:id="104"/>
      <w:bookmarkEnd w:id="105"/>
    </w:p>
    <w:p w14:paraId="1A9FE585">
      <w:pPr>
        <w:spacing w:line="360" w:lineRule="exact"/>
        <w:ind w:firstLine="470" w:firstLineChars="196"/>
        <w:rPr>
          <w:rFonts w:ascii="宋体" w:hAnsi="宋体" w:eastAsia="宋体"/>
          <w:szCs w:val="21"/>
        </w:rPr>
      </w:pPr>
      <w:r>
        <w:rPr>
          <w:rFonts w:hint="eastAsia" w:ascii="宋体" w:hAnsi="宋体" w:eastAsia="宋体"/>
          <w:szCs w:val="21"/>
        </w:rPr>
        <w:t>45.1中标人将于中标通知书发出之日起十个工作日内，按照采购文件（招标文件和投标文件等）内容与采购人签订政府采购合同；合同的实质性内容应当符合招标文件的规定；</w:t>
      </w:r>
    </w:p>
    <w:p w14:paraId="7C8DCCF2">
      <w:pPr>
        <w:spacing w:line="360" w:lineRule="exact"/>
        <w:ind w:firstLine="470" w:firstLineChars="196"/>
        <w:rPr>
          <w:rFonts w:ascii="宋体" w:hAnsi="宋体" w:eastAsia="宋体"/>
          <w:szCs w:val="21"/>
        </w:rPr>
      </w:pPr>
      <w:r>
        <w:rPr>
          <w:rFonts w:hint="eastAsia" w:ascii="宋体" w:hAnsi="宋体" w:eastAsia="宋体"/>
          <w:szCs w:val="21"/>
        </w:rPr>
        <w:t>45.2中标人如不按本通用条款第45</w:t>
      </w:r>
      <w:r>
        <w:rPr>
          <w:rFonts w:ascii="宋体" w:hAnsi="宋体" w:eastAsia="宋体"/>
          <w:szCs w:val="21"/>
        </w:rPr>
        <w:t>.1</w:t>
      </w:r>
      <w:r>
        <w:rPr>
          <w:rFonts w:hint="eastAsia" w:ascii="宋体" w:hAnsi="宋体" w:eastAsia="宋体"/>
          <w:szCs w:val="21"/>
        </w:rPr>
        <w:t>款的规定与采购人签订合同，</w:t>
      </w:r>
      <w:r>
        <w:rPr>
          <w:rFonts w:ascii="宋体" w:hAnsi="宋体" w:eastAsia="宋体" w:cs="宋体"/>
          <w:szCs w:val="21"/>
        </w:rPr>
        <w:t>情节严重的，由</w:t>
      </w:r>
      <w:r>
        <w:rPr>
          <w:rFonts w:hint="eastAsia" w:ascii="宋体" w:hAnsi="宋体" w:eastAsia="宋体" w:cs="宋体"/>
          <w:szCs w:val="21"/>
        </w:rPr>
        <w:t>同级财政</w:t>
      </w:r>
      <w:r>
        <w:rPr>
          <w:rFonts w:ascii="宋体" w:hAnsi="宋体" w:eastAsia="宋体" w:cs="宋体"/>
          <w:szCs w:val="21"/>
        </w:rPr>
        <w:t>部门记入供应商诚信档案，予以通报</w:t>
      </w:r>
      <w:r>
        <w:rPr>
          <w:rFonts w:hint="eastAsia" w:ascii="宋体" w:hAnsi="宋体" w:eastAsia="宋体"/>
          <w:szCs w:val="21"/>
        </w:rPr>
        <w:t>；</w:t>
      </w:r>
    </w:p>
    <w:p w14:paraId="751F6E38">
      <w:pPr>
        <w:spacing w:line="360" w:lineRule="exact"/>
        <w:ind w:firstLine="470" w:firstLineChars="196"/>
        <w:rPr>
          <w:rFonts w:ascii="宋体" w:hAnsi="宋体" w:eastAsia="宋体"/>
          <w:szCs w:val="21"/>
        </w:rPr>
      </w:pPr>
      <w:r>
        <w:rPr>
          <w:rFonts w:hint="eastAsia" w:ascii="宋体" w:hAnsi="宋体" w:eastAsia="宋体"/>
          <w:szCs w:val="21"/>
        </w:rPr>
        <w:t>45.3中标人应当按照合同约定履行义务，完成中标项目，不得将中标项目转让（转包）给他人。</w:t>
      </w:r>
    </w:p>
    <w:p w14:paraId="371E8173">
      <w:pPr>
        <w:spacing w:line="360" w:lineRule="exact"/>
        <w:rPr>
          <w:rFonts w:ascii="宋体" w:hAnsi="宋体" w:eastAsia="宋体"/>
        </w:rPr>
      </w:pPr>
      <w:bookmarkStart w:id="106" w:name="_Toc73517683"/>
      <w:bookmarkStart w:id="107" w:name="_Toc73521590"/>
      <w:bookmarkStart w:id="108" w:name="_Toc100052411"/>
      <w:bookmarkStart w:id="109" w:name="_Toc73521678"/>
      <w:bookmarkStart w:id="110" w:name="_Toc73518161"/>
      <w:r>
        <w:rPr>
          <w:rFonts w:hint="eastAsia" w:ascii="宋体" w:hAnsi="宋体" w:eastAsia="宋体"/>
        </w:rPr>
        <w:t>46．履约担保</w:t>
      </w:r>
      <w:bookmarkEnd w:id="106"/>
      <w:bookmarkEnd w:id="107"/>
      <w:bookmarkEnd w:id="108"/>
      <w:bookmarkEnd w:id="109"/>
      <w:bookmarkEnd w:id="110"/>
    </w:p>
    <w:p w14:paraId="7D35151F">
      <w:pPr>
        <w:spacing w:line="360" w:lineRule="exact"/>
        <w:ind w:firstLine="470" w:firstLineChars="196"/>
        <w:rPr>
          <w:rFonts w:ascii="宋体" w:hAnsi="宋体" w:eastAsia="宋体"/>
          <w:szCs w:val="21"/>
        </w:rPr>
      </w:pPr>
      <w:r>
        <w:rPr>
          <w:rFonts w:hint="eastAsia" w:ascii="宋体" w:hAnsi="宋体" w:eastAsia="宋体"/>
          <w:szCs w:val="21"/>
        </w:rPr>
        <w:t>46.1在签订项目合同的同时，中标人应按“对通用条款的补充内容”中规定的金额向采购人提交履约担保；</w:t>
      </w:r>
    </w:p>
    <w:p w14:paraId="326385FF">
      <w:pPr>
        <w:spacing w:line="360" w:lineRule="exact"/>
        <w:ind w:firstLine="470" w:firstLineChars="196"/>
        <w:rPr>
          <w:rFonts w:ascii="宋体" w:hAnsi="宋体" w:eastAsia="宋体"/>
          <w:szCs w:val="21"/>
        </w:rPr>
      </w:pPr>
      <w:r>
        <w:rPr>
          <w:rFonts w:hint="eastAsia" w:ascii="宋体" w:hAnsi="宋体" w:eastAsia="宋体"/>
          <w:szCs w:val="21"/>
        </w:rPr>
        <w:t>46.2，允许供应商自主选择以支票、汇票、本票、保函等非现金方式提交履约担保；</w:t>
      </w:r>
      <w:r>
        <w:rPr>
          <w:rFonts w:ascii="宋体" w:hAnsi="宋体" w:eastAsia="宋体"/>
        </w:rPr>
        <w:t>中标</w:t>
      </w:r>
      <w:r>
        <w:rPr>
          <w:rFonts w:hint="eastAsia" w:ascii="宋体" w:hAnsi="宋体" w:eastAsia="宋体"/>
        </w:rPr>
        <w:t>人</w:t>
      </w:r>
      <w:r>
        <w:rPr>
          <w:rFonts w:ascii="宋体" w:hAnsi="宋体" w:eastAsia="宋体"/>
        </w:rPr>
        <w:t>提交履约</w:t>
      </w:r>
      <w:r>
        <w:rPr>
          <w:rFonts w:hint="eastAsia" w:ascii="宋体" w:hAnsi="宋体" w:eastAsia="宋体"/>
        </w:rPr>
        <w:t>担保不是</w:t>
      </w:r>
      <w:r>
        <w:rPr>
          <w:rFonts w:ascii="宋体" w:hAnsi="宋体" w:eastAsia="宋体"/>
        </w:rPr>
        <w:t>合同签订的</w:t>
      </w:r>
      <w:r>
        <w:rPr>
          <w:rFonts w:hint="eastAsia" w:ascii="宋体" w:hAnsi="宋体" w:eastAsia="宋体"/>
        </w:rPr>
        <w:t>前提</w:t>
      </w:r>
      <w:r>
        <w:rPr>
          <w:rFonts w:ascii="宋体" w:hAnsi="宋体" w:eastAsia="宋体"/>
        </w:rPr>
        <w:t>条件，不要求中标</w:t>
      </w:r>
      <w:r>
        <w:rPr>
          <w:rFonts w:hint="eastAsia" w:ascii="宋体" w:hAnsi="宋体" w:eastAsia="宋体"/>
        </w:rPr>
        <w:t>人</w:t>
      </w:r>
      <w:r>
        <w:rPr>
          <w:rFonts w:ascii="宋体" w:hAnsi="宋体" w:eastAsia="宋体"/>
        </w:rPr>
        <w:t>提供除法律、法规明确规定外的其他担保</w:t>
      </w:r>
      <w:r>
        <w:rPr>
          <w:rFonts w:hint="eastAsia" w:ascii="宋体" w:hAnsi="宋体" w:eastAsia="宋体"/>
        </w:rPr>
        <w:t>。</w:t>
      </w:r>
    </w:p>
    <w:p w14:paraId="46E8793A">
      <w:pPr>
        <w:spacing w:line="360" w:lineRule="exact"/>
        <w:rPr>
          <w:rFonts w:ascii="宋体" w:hAnsi="宋体" w:eastAsia="宋体"/>
        </w:rPr>
      </w:pPr>
      <w:r>
        <w:rPr>
          <w:rFonts w:hint="eastAsia" w:ascii="宋体" w:hAnsi="宋体" w:eastAsia="宋体"/>
        </w:rPr>
        <w:t>47. 合同备案</w:t>
      </w:r>
    </w:p>
    <w:p w14:paraId="1BE072D8">
      <w:pPr>
        <w:spacing w:line="360" w:lineRule="exact"/>
        <w:ind w:firstLine="470" w:firstLineChars="196"/>
        <w:rPr>
          <w:rFonts w:ascii="宋体" w:hAnsi="宋体" w:eastAsia="宋体"/>
          <w:szCs w:val="21"/>
        </w:rPr>
      </w:pPr>
      <w:r>
        <w:rPr>
          <w:rFonts w:hint="eastAsia" w:ascii="宋体" w:hAnsi="宋体" w:eastAsia="宋体"/>
          <w:szCs w:val="21"/>
        </w:rPr>
        <w:t>采购人与中标人应于合同签订之日起十日内，由采购人或委托中标人将采购合同副本抄送合同备案工作实施机构备案。</w:t>
      </w:r>
    </w:p>
    <w:p w14:paraId="4C49B91E">
      <w:pPr>
        <w:spacing w:line="360" w:lineRule="exact"/>
        <w:rPr>
          <w:rFonts w:ascii="宋体" w:hAnsi="宋体" w:eastAsia="宋体"/>
        </w:rPr>
      </w:pPr>
      <w:r>
        <w:rPr>
          <w:rFonts w:hint="eastAsia" w:ascii="宋体" w:hAnsi="宋体" w:eastAsia="宋体"/>
        </w:rPr>
        <w:t>48. 合同变更</w:t>
      </w:r>
    </w:p>
    <w:p w14:paraId="033AB9C5">
      <w:pPr>
        <w:spacing w:line="360" w:lineRule="exact"/>
        <w:ind w:firstLine="470" w:firstLineChars="196"/>
        <w:rPr>
          <w:rFonts w:ascii="宋体" w:hAnsi="宋体" w:eastAsia="宋体"/>
          <w:szCs w:val="21"/>
        </w:rPr>
      </w:pPr>
      <w:r>
        <w:rPr>
          <w:rFonts w:hint="eastAsia" w:ascii="宋体" w:hAnsi="宋体" w:eastAsia="宋体"/>
          <w:szCs w:val="21"/>
        </w:rPr>
        <w:t>合同变更事宜按《深圳市财政局关于优化政府采购合同备案的通知》（深财发保〔2022〕2号）相关规定执行。</w:t>
      </w:r>
    </w:p>
    <w:p w14:paraId="6F5B29BC">
      <w:pPr>
        <w:spacing w:line="360" w:lineRule="exact"/>
        <w:rPr>
          <w:rFonts w:ascii="宋体" w:hAnsi="宋体" w:eastAsia="宋体"/>
        </w:rPr>
      </w:pPr>
      <w:r>
        <w:rPr>
          <w:rFonts w:hint="eastAsia" w:ascii="宋体" w:hAnsi="宋体" w:eastAsia="宋体"/>
        </w:rPr>
        <w:t>49. 项目验收</w:t>
      </w:r>
    </w:p>
    <w:p w14:paraId="3836D714">
      <w:pPr>
        <w:spacing w:line="360" w:lineRule="exact"/>
        <w:ind w:firstLine="420"/>
        <w:rPr>
          <w:rFonts w:ascii="宋体" w:hAnsi="宋体" w:eastAsia="宋体"/>
        </w:rPr>
      </w:pPr>
      <w:r>
        <w:rPr>
          <w:rFonts w:hint="eastAsia" w:ascii="宋体" w:hAnsi="宋体" w:eastAsia="宋体"/>
        </w:rPr>
        <w:t>49.1采购人应当按照招标文件和合同规定的标准和方法，及时组织验收。</w:t>
      </w:r>
    </w:p>
    <w:p w14:paraId="39F5426E">
      <w:pPr>
        <w:spacing w:line="360" w:lineRule="exact"/>
        <w:rPr>
          <w:rFonts w:ascii="宋体" w:hAnsi="宋体" w:eastAsia="宋体"/>
        </w:rPr>
      </w:pPr>
      <w:r>
        <w:rPr>
          <w:rFonts w:hint="eastAsia" w:ascii="宋体" w:hAnsi="宋体" w:eastAsia="宋体"/>
        </w:rPr>
        <w:t>50. 宣传</w:t>
      </w:r>
    </w:p>
    <w:p w14:paraId="4B580AF3">
      <w:pPr>
        <w:spacing w:line="360" w:lineRule="exact"/>
        <w:ind w:firstLine="470" w:firstLineChars="196"/>
        <w:rPr>
          <w:rFonts w:ascii="宋体" w:hAnsi="宋体" w:eastAsia="宋体"/>
        </w:rPr>
      </w:pPr>
      <w:r>
        <w:rPr>
          <w:rFonts w:hint="eastAsia" w:ascii="宋体" w:hAnsi="宋体" w:eastAsia="宋体"/>
        </w:rPr>
        <w:t>凡与政府采购活动有关的宣传或广告，若当中提及政府采购，</w:t>
      </w:r>
      <w:r>
        <w:rPr>
          <w:rFonts w:ascii="宋体" w:hAnsi="宋体" w:eastAsia="宋体"/>
        </w:rPr>
        <w:t>必须事先将具体对外宣传方案报</w:t>
      </w:r>
      <w:r>
        <w:rPr>
          <w:rFonts w:hint="eastAsia" w:ascii="宋体" w:hAnsi="宋体" w:eastAsia="宋体"/>
        </w:rPr>
        <w:t>同级财政部门</w:t>
      </w:r>
      <w:r>
        <w:rPr>
          <w:rFonts w:ascii="宋体" w:hAnsi="宋体" w:eastAsia="宋体"/>
        </w:rPr>
        <w:t>和</w:t>
      </w:r>
      <w:r>
        <w:rPr>
          <w:rFonts w:hint="eastAsia" w:ascii="宋体" w:hAnsi="宋体" w:eastAsia="宋体"/>
        </w:rPr>
        <w:t>政府采购机构</w:t>
      </w:r>
      <w:r>
        <w:rPr>
          <w:rFonts w:ascii="宋体" w:hAnsi="宋体" w:eastAsia="宋体"/>
        </w:rPr>
        <w:t>，并征得其同意。对外市场宣传包括但不限于以下形式：</w:t>
      </w:r>
    </w:p>
    <w:p w14:paraId="0FD7B2DD">
      <w:pPr>
        <w:spacing w:line="360" w:lineRule="exact"/>
        <w:ind w:firstLine="470" w:firstLineChars="196"/>
        <w:rPr>
          <w:rFonts w:ascii="宋体" w:hAnsi="宋体" w:eastAsia="宋体"/>
        </w:rPr>
      </w:pPr>
      <w:r>
        <w:rPr>
          <w:rFonts w:ascii="宋体" w:hAnsi="宋体" w:eastAsia="宋体"/>
        </w:rPr>
        <w:t>a.名片、宣传册、广告标语等；</w:t>
      </w:r>
    </w:p>
    <w:p w14:paraId="5915A238">
      <w:pPr>
        <w:spacing w:line="360" w:lineRule="exact"/>
        <w:ind w:firstLine="470" w:firstLineChars="196"/>
        <w:rPr>
          <w:rFonts w:ascii="宋体" w:hAnsi="宋体" w:eastAsia="宋体"/>
        </w:rPr>
      </w:pPr>
      <w:r>
        <w:rPr>
          <w:rFonts w:ascii="宋体" w:hAnsi="宋体" w:eastAsia="宋体"/>
        </w:rPr>
        <w:t>b.案例介绍、推广等；</w:t>
      </w:r>
    </w:p>
    <w:p w14:paraId="25659A27">
      <w:pPr>
        <w:spacing w:line="360" w:lineRule="exact"/>
        <w:ind w:firstLine="470" w:firstLineChars="196"/>
        <w:rPr>
          <w:rFonts w:ascii="宋体" w:hAnsi="宋体" w:eastAsia="宋体"/>
        </w:rPr>
      </w:pPr>
      <w:r>
        <w:rPr>
          <w:rFonts w:hint="eastAsia" w:ascii="宋体" w:hAnsi="宋体" w:eastAsia="宋体"/>
        </w:rPr>
        <w:t>c.工作</w:t>
      </w:r>
      <w:r>
        <w:rPr>
          <w:rFonts w:ascii="宋体" w:hAnsi="宋体" w:eastAsia="宋体"/>
        </w:rPr>
        <w:t>人员向其他消费群体宣传。</w:t>
      </w:r>
    </w:p>
    <w:p w14:paraId="0DBCBCE2">
      <w:pPr>
        <w:spacing w:line="360" w:lineRule="exact"/>
        <w:rPr>
          <w:rFonts w:ascii="宋体" w:hAnsi="宋体" w:eastAsia="宋体"/>
        </w:rPr>
      </w:pPr>
      <w:r>
        <w:rPr>
          <w:rFonts w:hint="eastAsia" w:ascii="宋体" w:hAnsi="宋体" w:eastAsia="宋体"/>
        </w:rPr>
        <w:t>51. 供应商违法责任</w:t>
      </w:r>
    </w:p>
    <w:p w14:paraId="22194298">
      <w:pPr>
        <w:spacing w:line="360" w:lineRule="exact"/>
        <w:ind w:firstLine="470" w:firstLineChars="196"/>
        <w:rPr>
          <w:rFonts w:ascii="宋体" w:hAnsi="宋体" w:eastAsia="宋体"/>
          <w:szCs w:val="21"/>
        </w:rPr>
      </w:pPr>
      <w:r>
        <w:rPr>
          <w:rFonts w:hint="eastAsia" w:ascii="宋体" w:hAnsi="宋体" w:eastAsia="宋体"/>
          <w:szCs w:val="21"/>
        </w:rPr>
        <w:t>5</w:t>
      </w:r>
      <w:r>
        <w:rPr>
          <w:rFonts w:ascii="宋体" w:hAnsi="宋体" w:eastAsia="宋体"/>
          <w:szCs w:val="21"/>
        </w:rPr>
        <w:t>1.1</w:t>
      </w:r>
      <w:r>
        <w:rPr>
          <w:rFonts w:hint="eastAsia" w:ascii="宋体" w:hAnsi="宋体" w:eastAsia="宋体"/>
          <w:szCs w:val="21"/>
        </w:rPr>
        <w:t>《深圳经济特区政府采购条例》第五十七条 供应商在政府采购中，有下列行为之一的，一至三年内禁止其参与本市政府采购，并由主管部门记入供应商诚信档案，处以采购金额千分之十以上千分之二十以下的罚款；情节严重的，取消其参与本市政府采购资格，处以采购金额千分之二十以上千分之三十以下的罚款，并由市场监管部门依法吊销其营业执照；给他人造成损失的，依法承担赔偿责任；构成犯罪的，依法追究刑事责任：</w:t>
      </w:r>
    </w:p>
    <w:p w14:paraId="10FD49B1">
      <w:pPr>
        <w:spacing w:line="360" w:lineRule="exact"/>
        <w:ind w:firstLine="470" w:firstLineChars="196"/>
        <w:rPr>
          <w:rFonts w:ascii="宋体" w:hAnsi="宋体" w:eastAsia="宋体"/>
          <w:szCs w:val="21"/>
        </w:rPr>
      </w:pPr>
      <w:r>
        <w:rPr>
          <w:rFonts w:hint="eastAsia" w:ascii="宋体" w:hAnsi="宋体" w:eastAsia="宋体"/>
          <w:szCs w:val="21"/>
        </w:rPr>
        <w:t>（1）在采购活动中应当回避而未回避的；</w:t>
      </w:r>
    </w:p>
    <w:p w14:paraId="6296ABC4">
      <w:pPr>
        <w:spacing w:line="360" w:lineRule="exact"/>
        <w:ind w:firstLine="470" w:firstLineChars="196"/>
        <w:rPr>
          <w:rFonts w:ascii="宋体" w:hAnsi="宋体" w:eastAsia="宋体"/>
          <w:szCs w:val="21"/>
        </w:rPr>
      </w:pPr>
      <w:r>
        <w:rPr>
          <w:rFonts w:hint="eastAsia" w:ascii="宋体" w:hAnsi="宋体" w:eastAsia="宋体"/>
          <w:szCs w:val="21"/>
        </w:rPr>
        <w:t>（2）未按本条例规定签订、履行采购合同，造成严重后果的；</w:t>
      </w:r>
    </w:p>
    <w:p w14:paraId="3B81ED1C">
      <w:pPr>
        <w:spacing w:line="360" w:lineRule="exact"/>
        <w:ind w:firstLine="470" w:firstLineChars="196"/>
        <w:rPr>
          <w:rFonts w:ascii="宋体" w:hAnsi="宋体" w:eastAsia="宋体"/>
          <w:szCs w:val="21"/>
        </w:rPr>
      </w:pPr>
      <w:r>
        <w:rPr>
          <w:rFonts w:hint="eastAsia" w:ascii="宋体" w:hAnsi="宋体" w:eastAsia="宋体"/>
          <w:szCs w:val="21"/>
        </w:rPr>
        <w:t>（3）隐瞒真实情况，提供虚假资料的；</w:t>
      </w:r>
    </w:p>
    <w:p w14:paraId="6AA91B63">
      <w:pPr>
        <w:spacing w:line="360" w:lineRule="exact"/>
        <w:ind w:firstLine="470" w:firstLineChars="196"/>
        <w:rPr>
          <w:rFonts w:ascii="宋体" w:hAnsi="宋体" w:eastAsia="宋体"/>
          <w:szCs w:val="21"/>
        </w:rPr>
      </w:pPr>
      <w:r>
        <w:rPr>
          <w:rFonts w:hint="eastAsia" w:ascii="宋体" w:hAnsi="宋体" w:eastAsia="宋体"/>
          <w:szCs w:val="21"/>
        </w:rPr>
        <w:t>（4）以非法手段排斥其他供应商参与竞争的；</w:t>
      </w:r>
    </w:p>
    <w:p w14:paraId="3B5100D8">
      <w:pPr>
        <w:spacing w:line="360" w:lineRule="exact"/>
        <w:ind w:firstLine="470" w:firstLineChars="196"/>
        <w:rPr>
          <w:rFonts w:ascii="宋体" w:hAnsi="宋体" w:eastAsia="宋体"/>
          <w:szCs w:val="21"/>
        </w:rPr>
      </w:pPr>
      <w:r>
        <w:rPr>
          <w:rFonts w:hint="eastAsia" w:ascii="宋体" w:hAnsi="宋体" w:eastAsia="宋体"/>
          <w:szCs w:val="21"/>
        </w:rPr>
        <w:t>（5）与其他采购参加人串通投标的；</w:t>
      </w:r>
    </w:p>
    <w:p w14:paraId="56CF7B7E">
      <w:pPr>
        <w:spacing w:line="360" w:lineRule="exact"/>
        <w:ind w:firstLine="470" w:firstLineChars="196"/>
        <w:rPr>
          <w:rFonts w:ascii="宋体" w:hAnsi="宋体" w:eastAsia="宋体"/>
          <w:szCs w:val="21"/>
        </w:rPr>
      </w:pPr>
      <w:r>
        <w:rPr>
          <w:rFonts w:hint="eastAsia" w:ascii="宋体" w:hAnsi="宋体" w:eastAsia="宋体"/>
          <w:szCs w:val="21"/>
        </w:rPr>
        <w:t>（6）恶意投诉的；</w:t>
      </w:r>
    </w:p>
    <w:p w14:paraId="1EBD90E3">
      <w:pPr>
        <w:spacing w:line="360" w:lineRule="exact"/>
        <w:ind w:firstLine="470" w:firstLineChars="196"/>
        <w:rPr>
          <w:rFonts w:ascii="宋体" w:hAnsi="宋体" w:eastAsia="宋体"/>
          <w:szCs w:val="21"/>
        </w:rPr>
      </w:pPr>
      <w:r>
        <w:rPr>
          <w:rFonts w:hint="eastAsia" w:ascii="宋体" w:hAnsi="宋体" w:eastAsia="宋体"/>
          <w:szCs w:val="21"/>
        </w:rPr>
        <w:t>（7）向采购项目相关人行贿或者提供其他不当利益的；</w:t>
      </w:r>
    </w:p>
    <w:p w14:paraId="6FAB5627">
      <w:pPr>
        <w:spacing w:line="360" w:lineRule="exact"/>
        <w:ind w:firstLine="470" w:firstLineChars="196"/>
        <w:rPr>
          <w:rFonts w:ascii="宋体" w:hAnsi="宋体" w:eastAsia="宋体"/>
          <w:szCs w:val="21"/>
        </w:rPr>
      </w:pPr>
      <w:r>
        <w:rPr>
          <w:rFonts w:hint="eastAsia" w:ascii="宋体" w:hAnsi="宋体" w:eastAsia="宋体"/>
          <w:szCs w:val="21"/>
        </w:rPr>
        <w:t>（8）阻碍、抗拒主管部门监督检查的；</w:t>
      </w:r>
    </w:p>
    <w:p w14:paraId="4EBEAE07">
      <w:pPr>
        <w:spacing w:line="360" w:lineRule="exact"/>
        <w:ind w:firstLine="470" w:firstLineChars="196"/>
        <w:rPr>
          <w:rFonts w:ascii="宋体" w:hAnsi="宋体" w:eastAsia="宋体"/>
          <w:szCs w:val="21"/>
        </w:rPr>
      </w:pPr>
      <w:r>
        <w:rPr>
          <w:rFonts w:hint="eastAsia" w:ascii="宋体" w:hAnsi="宋体" w:eastAsia="宋体"/>
          <w:szCs w:val="21"/>
        </w:rPr>
        <w:t>（9）其他违反本条例规定的行为。</w:t>
      </w:r>
    </w:p>
    <w:p w14:paraId="7402169A">
      <w:pPr>
        <w:spacing w:line="360" w:lineRule="exact"/>
        <w:ind w:firstLine="470" w:firstLineChars="196"/>
        <w:rPr>
          <w:rFonts w:ascii="宋体" w:hAnsi="宋体" w:eastAsia="宋体"/>
          <w:szCs w:val="21"/>
        </w:rPr>
      </w:pPr>
      <w:r>
        <w:rPr>
          <w:rFonts w:hint="eastAsia" w:ascii="宋体" w:hAnsi="宋体" w:eastAsia="宋体"/>
          <w:szCs w:val="21"/>
        </w:rPr>
        <w:t>5</w:t>
      </w:r>
      <w:r>
        <w:rPr>
          <w:rFonts w:ascii="宋体" w:hAnsi="宋体" w:eastAsia="宋体"/>
          <w:szCs w:val="21"/>
        </w:rPr>
        <w:t xml:space="preserve">1.2 </w:t>
      </w:r>
      <w:r>
        <w:rPr>
          <w:rFonts w:hint="eastAsia" w:ascii="宋体" w:hAnsi="宋体" w:eastAsia="宋体"/>
          <w:szCs w:val="21"/>
        </w:rPr>
        <w:t>根据《深圳市财政局关于明确政府采购保证金管理工作的通知》（深财购[2019]42号）的要求，供应商在政府采购活动中出现《深圳经济特区政府采购条例实施细则》第八十四条所列情形的，</w:t>
      </w:r>
      <w:bookmarkStart w:id="111" w:name="_Hlk72440769"/>
      <w:r>
        <w:rPr>
          <w:rFonts w:hint="eastAsia" w:ascii="宋体" w:hAnsi="宋体" w:eastAsia="宋体"/>
          <w:szCs w:val="21"/>
        </w:rPr>
        <w:t>采购人或</w:t>
      </w:r>
      <w:bookmarkEnd w:id="111"/>
      <w:r>
        <w:rPr>
          <w:rFonts w:hint="eastAsia" w:ascii="宋体" w:hAnsi="宋体" w:eastAsia="宋体"/>
          <w:szCs w:val="21"/>
        </w:rPr>
        <w:t>政府采购机构可将有关情况报同级财政部门，由财政部门根据实际情况记入供应商诚信档案，予以通报：</w:t>
      </w:r>
    </w:p>
    <w:p w14:paraId="119B226A">
      <w:pPr>
        <w:spacing w:line="360" w:lineRule="exact"/>
        <w:ind w:firstLine="470" w:firstLineChars="196"/>
        <w:rPr>
          <w:rFonts w:ascii="宋体" w:hAnsi="宋体" w:eastAsia="宋体"/>
          <w:szCs w:val="21"/>
        </w:rPr>
      </w:pPr>
      <w:r>
        <w:rPr>
          <w:rFonts w:hint="eastAsia" w:ascii="宋体" w:hAnsi="宋体" w:eastAsia="宋体"/>
          <w:szCs w:val="21"/>
        </w:rPr>
        <w:t>（1</w:t>
      </w:r>
      <w:r>
        <w:rPr>
          <w:rFonts w:ascii="宋体" w:hAnsi="宋体" w:eastAsia="宋体"/>
          <w:szCs w:val="21"/>
        </w:rPr>
        <w:t>）投标截止后，撤销投标的；</w:t>
      </w:r>
    </w:p>
    <w:p w14:paraId="310BF83F">
      <w:pPr>
        <w:spacing w:line="360" w:lineRule="exact"/>
        <w:ind w:firstLine="470" w:firstLineChars="196"/>
        <w:rPr>
          <w:rFonts w:ascii="宋体" w:hAnsi="宋体" w:eastAsia="宋体"/>
          <w:szCs w:val="21"/>
        </w:rPr>
      </w:pPr>
      <w:r>
        <w:rPr>
          <w:rFonts w:ascii="宋体" w:hAnsi="宋体" w:eastAsia="宋体"/>
          <w:szCs w:val="21"/>
        </w:rPr>
        <w:t>（</w:t>
      </w:r>
      <w:r>
        <w:rPr>
          <w:rFonts w:hint="eastAsia" w:ascii="宋体" w:hAnsi="宋体" w:eastAsia="宋体"/>
          <w:szCs w:val="21"/>
        </w:rPr>
        <w:t>2</w:t>
      </w:r>
      <w:r>
        <w:rPr>
          <w:rFonts w:ascii="宋体" w:hAnsi="宋体" w:eastAsia="宋体"/>
          <w:szCs w:val="21"/>
        </w:rPr>
        <w:t>）中标后无正当理由未在规定期限内签订合同的；</w:t>
      </w:r>
    </w:p>
    <w:p w14:paraId="78FF5745">
      <w:pPr>
        <w:spacing w:line="360" w:lineRule="exact"/>
        <w:ind w:firstLine="470" w:firstLineChars="196"/>
        <w:rPr>
          <w:rFonts w:ascii="宋体" w:hAnsi="宋体" w:eastAsia="宋体"/>
          <w:szCs w:val="21"/>
        </w:rPr>
      </w:pPr>
      <w:r>
        <w:rPr>
          <w:rFonts w:ascii="宋体" w:hAnsi="宋体" w:eastAsia="宋体"/>
          <w:szCs w:val="21"/>
        </w:rPr>
        <w:t>（</w:t>
      </w:r>
      <w:r>
        <w:rPr>
          <w:rFonts w:hint="eastAsia" w:ascii="宋体" w:hAnsi="宋体" w:eastAsia="宋体"/>
          <w:szCs w:val="21"/>
        </w:rPr>
        <w:t>3</w:t>
      </w:r>
      <w:r>
        <w:rPr>
          <w:rFonts w:ascii="宋体" w:hAnsi="宋体" w:eastAsia="宋体"/>
          <w:szCs w:val="21"/>
        </w:rPr>
        <w:t>）将中标项目转让给他人、或者在投标文件中未说明且未经采购人、采购招标机构同意，将中标项目分包给他人的；</w:t>
      </w:r>
    </w:p>
    <w:p w14:paraId="51EE9452">
      <w:pPr>
        <w:spacing w:line="360" w:lineRule="exact"/>
        <w:ind w:firstLine="470" w:firstLineChars="196"/>
        <w:rPr>
          <w:rFonts w:ascii="宋体" w:hAnsi="宋体" w:eastAsia="宋体"/>
          <w:szCs w:val="21"/>
        </w:rPr>
      </w:pPr>
      <w:r>
        <w:rPr>
          <w:rFonts w:ascii="宋体" w:hAnsi="宋体" w:eastAsia="宋体"/>
          <w:szCs w:val="21"/>
        </w:rPr>
        <w:t>（</w:t>
      </w:r>
      <w:r>
        <w:rPr>
          <w:rFonts w:hint="eastAsia" w:ascii="宋体" w:hAnsi="宋体" w:eastAsia="宋体"/>
          <w:szCs w:val="21"/>
        </w:rPr>
        <w:t>4</w:t>
      </w:r>
      <w:r>
        <w:rPr>
          <w:rFonts w:ascii="宋体" w:hAnsi="宋体" w:eastAsia="宋体"/>
          <w:szCs w:val="21"/>
        </w:rPr>
        <w:t>）拒绝履行合同义务的</w:t>
      </w:r>
      <w:r>
        <w:rPr>
          <w:rFonts w:hint="eastAsia" w:ascii="宋体" w:hAnsi="宋体" w:eastAsia="宋体"/>
          <w:szCs w:val="21"/>
        </w:rPr>
        <w:t>。</w:t>
      </w:r>
    </w:p>
    <w:bookmarkEnd w:id="95"/>
    <w:p w14:paraId="6A18927D">
      <w:pPr>
        <w:pStyle w:val="5"/>
        <w:keepNext/>
        <w:keepLines/>
        <w:widowControl w:val="0"/>
        <w:numPr>
          <w:ilvl w:val="0"/>
          <w:numId w:val="10"/>
        </w:numPr>
        <w:spacing w:line="360" w:lineRule="exact"/>
        <w:ind w:left="0" w:hanging="562"/>
        <w:rPr>
          <w:rFonts w:eastAsia="宋体"/>
          <w:sz w:val="28"/>
          <w:szCs w:val="28"/>
        </w:rPr>
      </w:pPr>
      <w:r>
        <w:rPr>
          <w:rFonts w:hint="eastAsia" w:eastAsia="宋体"/>
          <w:sz w:val="28"/>
          <w:szCs w:val="28"/>
        </w:rPr>
        <w:t>质疑处理</w:t>
      </w:r>
    </w:p>
    <w:p w14:paraId="74B54555">
      <w:pPr>
        <w:spacing w:line="360" w:lineRule="exact"/>
        <w:rPr>
          <w:rFonts w:ascii="宋体" w:hAnsi="宋体" w:eastAsia="宋体"/>
        </w:rPr>
      </w:pPr>
      <w:r>
        <w:rPr>
          <w:rFonts w:hint="eastAsia" w:ascii="宋体" w:hAnsi="宋体" w:eastAsia="宋体"/>
        </w:rPr>
        <w:t>52.质疑提出与答复</w:t>
      </w:r>
    </w:p>
    <w:p w14:paraId="6FA6ACE5">
      <w:pPr>
        <w:spacing w:line="360" w:lineRule="exact"/>
        <w:rPr>
          <w:rFonts w:ascii="宋体" w:hAnsi="宋体" w:eastAsia="宋体"/>
          <w:szCs w:val="21"/>
        </w:rPr>
      </w:pPr>
      <w:r>
        <w:rPr>
          <w:rFonts w:hint="eastAsia" w:ascii="宋体" w:hAnsi="宋体" w:eastAsia="宋体"/>
          <w:szCs w:val="21"/>
        </w:rPr>
        <w:t xml:space="preserve">    52.1提出质疑</w:t>
      </w:r>
    </w:p>
    <w:p w14:paraId="08677DF1">
      <w:pPr>
        <w:spacing w:line="360" w:lineRule="exact"/>
        <w:rPr>
          <w:rFonts w:ascii="宋体" w:hAnsi="宋体" w:eastAsia="宋体"/>
          <w:szCs w:val="21"/>
        </w:rPr>
      </w:pPr>
      <w:r>
        <w:rPr>
          <w:rFonts w:hint="eastAsia" w:ascii="宋体" w:hAnsi="宋体" w:eastAsia="宋体"/>
          <w:szCs w:val="21"/>
        </w:rPr>
        <w:t xml:space="preserve">    参与政府采购活动的供应商认为自己的权益在采购活动中受到损害的，应当自知道或者应当知道其权益受到损害之日起七个工作日内向采购人、政府采购机构以书面形式提出质疑。</w:t>
      </w:r>
    </w:p>
    <w:p w14:paraId="738806A6">
      <w:pPr>
        <w:spacing w:line="360" w:lineRule="exact"/>
        <w:rPr>
          <w:rFonts w:ascii="宋体" w:hAnsi="宋体" w:eastAsia="宋体"/>
          <w:szCs w:val="21"/>
        </w:rPr>
      </w:pPr>
      <w:r>
        <w:rPr>
          <w:rFonts w:hint="eastAsia" w:ascii="宋体" w:hAnsi="宋体" w:eastAsia="宋体"/>
          <w:szCs w:val="21"/>
        </w:rPr>
        <w:t xml:space="preserve">    52.2</w:t>
      </w:r>
      <w:r>
        <w:rPr>
          <w:rFonts w:ascii="宋体" w:hAnsi="宋体" w:eastAsia="宋体"/>
          <w:szCs w:val="21"/>
        </w:rPr>
        <w:t>法律依据</w:t>
      </w:r>
    </w:p>
    <w:p w14:paraId="6FDE5E3E">
      <w:pPr>
        <w:spacing w:line="360" w:lineRule="exact"/>
        <w:rPr>
          <w:rFonts w:ascii="宋体" w:hAnsi="宋体" w:eastAsia="宋体"/>
          <w:szCs w:val="21"/>
        </w:rPr>
      </w:pPr>
      <w:r>
        <w:rPr>
          <w:rFonts w:hint="eastAsia" w:ascii="宋体" w:hAnsi="宋体" w:eastAsia="宋体"/>
          <w:szCs w:val="21"/>
        </w:rPr>
        <w:t xml:space="preserve">    《中华人民共和国政府采购法》、《中华人民共和国政府采购法实施条例》、</w:t>
      </w:r>
      <w:r>
        <w:rPr>
          <w:rFonts w:ascii="宋体" w:hAnsi="宋体" w:eastAsia="宋体"/>
          <w:szCs w:val="21"/>
        </w:rPr>
        <w:t>《</w:t>
      </w:r>
      <w:r>
        <w:rPr>
          <w:rFonts w:hint="eastAsia" w:ascii="宋体" w:hAnsi="宋体" w:eastAsia="宋体"/>
          <w:szCs w:val="21"/>
        </w:rPr>
        <w:t>深圳经济特区政府采购</w:t>
      </w:r>
      <w:r>
        <w:rPr>
          <w:rFonts w:ascii="宋体" w:hAnsi="宋体" w:eastAsia="宋体"/>
          <w:szCs w:val="21"/>
        </w:rPr>
        <w:t>条例</w:t>
      </w:r>
      <w:r>
        <w:rPr>
          <w:rFonts w:hint="eastAsia" w:ascii="宋体" w:hAnsi="宋体" w:eastAsia="宋体"/>
          <w:szCs w:val="21"/>
        </w:rPr>
        <w:t>》、《深圳经济特区政府采购条例实施细则》、《政府采购质疑和投诉办法》（财政部令第94号）和其他有关法律法规规定。</w:t>
      </w:r>
    </w:p>
    <w:p w14:paraId="712791AC">
      <w:pPr>
        <w:spacing w:line="360" w:lineRule="exact"/>
        <w:rPr>
          <w:rFonts w:ascii="宋体" w:hAnsi="宋体" w:eastAsia="宋体"/>
          <w:szCs w:val="21"/>
        </w:rPr>
      </w:pPr>
      <w:r>
        <w:rPr>
          <w:rFonts w:hint="eastAsia" w:ascii="宋体" w:hAnsi="宋体" w:eastAsia="宋体"/>
          <w:szCs w:val="21"/>
        </w:rPr>
        <w:t>52.3质疑条件</w:t>
      </w:r>
    </w:p>
    <w:p w14:paraId="04FACED0">
      <w:pPr>
        <w:spacing w:line="360" w:lineRule="exact"/>
        <w:rPr>
          <w:rFonts w:ascii="宋体" w:hAnsi="宋体" w:eastAsia="宋体"/>
          <w:szCs w:val="21"/>
        </w:rPr>
      </w:pPr>
      <w:r>
        <w:rPr>
          <w:rFonts w:hint="eastAsia" w:ascii="宋体" w:hAnsi="宋体" w:eastAsia="宋体"/>
          <w:szCs w:val="21"/>
        </w:rPr>
        <w:t xml:space="preserve">    52.3.1提出质疑的供应商应当是参与所质疑项目采购活动的供应商；</w:t>
      </w:r>
      <w:bookmarkStart w:id="112" w:name="_Hlk75374941"/>
      <w:r>
        <w:rPr>
          <w:rFonts w:hint="eastAsia" w:ascii="宋体" w:hAnsi="宋体" w:eastAsia="宋体"/>
          <w:szCs w:val="21"/>
        </w:rPr>
        <w:t>以联合体形式参与的，质疑应当由组成联合体的所有成员共同提出</w:t>
      </w:r>
      <w:bookmarkEnd w:id="112"/>
      <w:r>
        <w:rPr>
          <w:rFonts w:hint="eastAsia" w:ascii="宋体" w:hAnsi="宋体" w:eastAsia="宋体"/>
          <w:szCs w:val="21"/>
        </w:rPr>
        <w:t>；</w:t>
      </w:r>
    </w:p>
    <w:p w14:paraId="55FAB63B">
      <w:pPr>
        <w:spacing w:line="360" w:lineRule="exact"/>
        <w:rPr>
          <w:rFonts w:ascii="宋体" w:hAnsi="宋体" w:eastAsia="宋体"/>
          <w:szCs w:val="21"/>
        </w:rPr>
      </w:pPr>
      <w:r>
        <w:rPr>
          <w:rFonts w:hint="eastAsia" w:ascii="宋体" w:hAnsi="宋体" w:eastAsia="宋体"/>
          <w:szCs w:val="21"/>
        </w:rPr>
        <w:t xml:space="preserve">    52.3.2应当在法定质疑期内一次性提出针对同一采购程序环节的质疑，法定质疑期为自知道或应当知道权益受到损害之日起7个工作日内。应当知道其权益受到损害之日是指：对招标文件的质疑，为招标文件公布之日；对采购过程的质疑，为各采购程序环节结束之日；对中标结果以及评审委员会组成人员的质疑，为中标结果公示之日；</w:t>
      </w:r>
    </w:p>
    <w:p w14:paraId="1B31B977">
      <w:pPr>
        <w:spacing w:line="360" w:lineRule="exact"/>
        <w:ind w:firstLine="420"/>
        <w:rPr>
          <w:rFonts w:ascii="宋体" w:hAnsi="宋体" w:eastAsia="宋体"/>
          <w:szCs w:val="21"/>
        </w:rPr>
      </w:pPr>
      <w:r>
        <w:rPr>
          <w:rFonts w:hint="eastAsia" w:ascii="宋体" w:hAnsi="宋体" w:eastAsia="宋体"/>
          <w:szCs w:val="21"/>
        </w:rPr>
        <w:t>52.3.3应提交书面质疑函，质疑函应当包括以下内容：</w:t>
      </w:r>
    </w:p>
    <w:p w14:paraId="64EB7F59">
      <w:pPr>
        <w:spacing w:line="360" w:lineRule="exact"/>
        <w:ind w:firstLine="420"/>
        <w:rPr>
          <w:rFonts w:ascii="宋体" w:hAnsi="宋体" w:eastAsia="宋体"/>
          <w:szCs w:val="21"/>
        </w:rPr>
      </w:pPr>
      <w:r>
        <w:rPr>
          <w:rFonts w:hint="eastAsia" w:ascii="宋体" w:hAnsi="宋体" w:eastAsia="宋体"/>
          <w:szCs w:val="21"/>
        </w:rPr>
        <w:t>（1）供应商的名称（或者姓名）、地址、邮编、邮箱、联系人及联系电话；</w:t>
      </w:r>
    </w:p>
    <w:p w14:paraId="366ABC48">
      <w:pPr>
        <w:spacing w:line="360" w:lineRule="exact"/>
        <w:ind w:firstLine="480" w:firstLineChars="200"/>
        <w:rPr>
          <w:rFonts w:ascii="宋体" w:hAnsi="宋体" w:eastAsia="宋体"/>
          <w:szCs w:val="21"/>
        </w:rPr>
      </w:pPr>
      <w:r>
        <w:rPr>
          <w:rFonts w:hint="eastAsia" w:ascii="宋体" w:hAnsi="宋体" w:eastAsia="宋体"/>
          <w:szCs w:val="21"/>
        </w:rPr>
        <w:t>（2）质疑项目的名称、编号；</w:t>
      </w:r>
    </w:p>
    <w:p w14:paraId="34CEA763">
      <w:pPr>
        <w:spacing w:line="360" w:lineRule="exact"/>
        <w:ind w:firstLine="480" w:firstLineChars="200"/>
        <w:rPr>
          <w:rFonts w:ascii="宋体" w:hAnsi="宋体" w:eastAsia="宋体"/>
          <w:szCs w:val="21"/>
        </w:rPr>
      </w:pPr>
      <w:r>
        <w:rPr>
          <w:rFonts w:hint="eastAsia" w:ascii="宋体" w:hAnsi="宋体" w:eastAsia="宋体"/>
          <w:szCs w:val="21"/>
        </w:rPr>
        <w:t>（3）具体、明确的质疑对象、质疑事项和质疑请求；</w:t>
      </w:r>
    </w:p>
    <w:p w14:paraId="29C5C4A7">
      <w:pPr>
        <w:spacing w:line="360" w:lineRule="exact"/>
        <w:ind w:firstLine="480" w:firstLineChars="200"/>
        <w:rPr>
          <w:rFonts w:ascii="宋体" w:hAnsi="宋体" w:eastAsia="宋体"/>
          <w:szCs w:val="21"/>
        </w:rPr>
      </w:pPr>
      <w:r>
        <w:rPr>
          <w:rFonts w:hint="eastAsia" w:ascii="宋体" w:hAnsi="宋体" w:eastAsia="宋体"/>
          <w:szCs w:val="21"/>
        </w:rPr>
        <w:t>（4）因质疑事项而受损害的权益；</w:t>
      </w:r>
    </w:p>
    <w:p w14:paraId="3882013F">
      <w:pPr>
        <w:spacing w:line="360" w:lineRule="exact"/>
        <w:ind w:firstLine="480" w:firstLineChars="200"/>
        <w:rPr>
          <w:rFonts w:ascii="宋体" w:hAnsi="宋体" w:eastAsia="宋体"/>
          <w:szCs w:val="21"/>
        </w:rPr>
      </w:pPr>
      <w:r>
        <w:rPr>
          <w:rFonts w:hint="eastAsia" w:ascii="宋体" w:hAnsi="宋体" w:eastAsia="宋体"/>
          <w:szCs w:val="21"/>
        </w:rPr>
        <w:t>（5）事实依据；</w:t>
      </w:r>
    </w:p>
    <w:p w14:paraId="6221985A">
      <w:pPr>
        <w:spacing w:line="360" w:lineRule="exact"/>
        <w:ind w:firstLine="480" w:firstLineChars="200"/>
        <w:rPr>
          <w:rFonts w:ascii="宋体" w:hAnsi="宋体" w:eastAsia="宋体"/>
          <w:szCs w:val="21"/>
        </w:rPr>
      </w:pPr>
      <w:r>
        <w:rPr>
          <w:rFonts w:hint="eastAsia" w:ascii="宋体" w:hAnsi="宋体" w:eastAsia="宋体"/>
          <w:szCs w:val="21"/>
        </w:rPr>
        <w:t>（6）必要的法律依据；</w:t>
      </w:r>
    </w:p>
    <w:p w14:paraId="572A1646">
      <w:pPr>
        <w:spacing w:line="360" w:lineRule="exact"/>
        <w:ind w:firstLine="480" w:firstLineChars="200"/>
        <w:rPr>
          <w:rFonts w:ascii="宋体" w:hAnsi="宋体" w:eastAsia="宋体"/>
          <w:szCs w:val="21"/>
        </w:rPr>
      </w:pPr>
      <w:r>
        <w:rPr>
          <w:rFonts w:hint="eastAsia" w:ascii="宋体" w:hAnsi="宋体" w:eastAsia="宋体"/>
          <w:szCs w:val="21"/>
        </w:rPr>
        <w:t>（7）提出质疑的日期。</w:t>
      </w:r>
    </w:p>
    <w:p w14:paraId="3D56DEB5">
      <w:pPr>
        <w:spacing w:line="360" w:lineRule="exact"/>
        <w:ind w:firstLine="480" w:firstLineChars="200"/>
        <w:rPr>
          <w:rFonts w:ascii="宋体" w:hAnsi="宋体" w:eastAsia="宋体"/>
          <w:szCs w:val="21"/>
        </w:rPr>
      </w:pPr>
      <w:r>
        <w:rPr>
          <w:rFonts w:hint="eastAsia" w:ascii="宋体" w:hAnsi="宋体" w:eastAsia="宋体"/>
          <w:szCs w:val="21"/>
        </w:rPr>
        <w:t>供应商为自然人的，应当由本人签字；供应商为法人或者其他组织的，应当由法定代表人（负责人），或者其授权代理人签字或者盖章，并加盖公章。</w:t>
      </w:r>
    </w:p>
    <w:p w14:paraId="2BDA0C50">
      <w:pPr>
        <w:spacing w:line="360" w:lineRule="exact"/>
        <w:ind w:firstLine="480" w:firstLineChars="200"/>
        <w:rPr>
          <w:rFonts w:ascii="宋体" w:hAnsi="宋体" w:eastAsia="宋体"/>
          <w:szCs w:val="21"/>
        </w:rPr>
      </w:pPr>
      <w:r>
        <w:rPr>
          <w:rFonts w:hint="eastAsia" w:ascii="宋体" w:hAnsi="宋体" w:eastAsia="宋体"/>
          <w:szCs w:val="21"/>
        </w:rPr>
        <w:t>52.4提交</w:t>
      </w:r>
      <w:r>
        <w:rPr>
          <w:rFonts w:ascii="宋体" w:hAnsi="宋体" w:eastAsia="宋体"/>
          <w:szCs w:val="21"/>
        </w:rPr>
        <w:t>材料</w:t>
      </w:r>
    </w:p>
    <w:p w14:paraId="32BA6FB2">
      <w:pPr>
        <w:spacing w:line="360" w:lineRule="exact"/>
        <w:ind w:firstLine="480" w:firstLineChars="200"/>
        <w:rPr>
          <w:rFonts w:ascii="宋体" w:hAnsi="宋体" w:eastAsia="宋体"/>
          <w:szCs w:val="21"/>
        </w:rPr>
      </w:pPr>
      <w:r>
        <w:rPr>
          <w:rFonts w:hint="eastAsia" w:ascii="宋体" w:hAnsi="宋体" w:eastAsia="宋体"/>
          <w:szCs w:val="21"/>
        </w:rPr>
        <w:t>供应商质疑实行实名制。供应商为自然人的，应当提交本人身份证复印件；供应商为法人或者其他组织的，应当根据自身性质提交营业执照复印件或者其他证明文件（如事业单位法人证书等）复印件。</w:t>
      </w:r>
    </w:p>
    <w:p w14:paraId="71AFDC3D">
      <w:pPr>
        <w:spacing w:line="360" w:lineRule="exact"/>
        <w:ind w:firstLine="480" w:firstLineChars="200"/>
        <w:rPr>
          <w:rFonts w:ascii="宋体" w:hAnsi="宋体" w:eastAsia="宋体"/>
          <w:szCs w:val="21"/>
        </w:rPr>
      </w:pPr>
      <w:r>
        <w:rPr>
          <w:rFonts w:hint="eastAsia" w:ascii="宋体" w:hAnsi="宋体" w:eastAsia="宋体"/>
          <w:szCs w:val="21"/>
        </w:rPr>
        <w:t>供应商可以委托代理人进行质疑。</w:t>
      </w:r>
      <w:r>
        <w:rPr>
          <w:rFonts w:ascii="宋体" w:hAnsi="宋体" w:eastAsia="宋体"/>
          <w:szCs w:val="21"/>
        </w:rPr>
        <w:t>其授权委托书应当载明代理人的姓名或者名称、代理事项、具体权限、期限和相关事项。供应商为自然人的，应当由本人签字；供应商为法人或者其他组织的，应当由法定代表人、主要负责人签字或者盖章，并加盖公章。</w:t>
      </w:r>
    </w:p>
    <w:p w14:paraId="6316B2A5">
      <w:pPr>
        <w:spacing w:line="360" w:lineRule="exact"/>
        <w:ind w:firstLine="480" w:firstLineChars="200"/>
        <w:rPr>
          <w:rFonts w:ascii="宋体" w:hAnsi="宋体" w:eastAsia="宋体"/>
          <w:szCs w:val="21"/>
        </w:rPr>
      </w:pPr>
      <w:r>
        <w:rPr>
          <w:rFonts w:hint="eastAsia" w:ascii="宋体" w:hAnsi="宋体" w:eastAsia="宋体"/>
          <w:szCs w:val="21"/>
        </w:rPr>
        <w:t>52.5提交方式</w:t>
      </w:r>
    </w:p>
    <w:p w14:paraId="4D19F70A">
      <w:pPr>
        <w:topLinePunct/>
        <w:spacing w:line="360" w:lineRule="exact"/>
        <w:ind w:firstLine="480" w:firstLineChars="200"/>
        <w:rPr>
          <w:rFonts w:ascii="宋体" w:hAnsi="宋体" w:eastAsia="宋体"/>
          <w:b/>
          <w:bCs/>
          <w:szCs w:val="21"/>
        </w:rPr>
      </w:pPr>
      <w:r>
        <w:rPr>
          <w:rFonts w:hint="eastAsia" w:ascii="宋体" w:hAnsi="宋体" w:eastAsia="宋体"/>
          <w:szCs w:val="21"/>
        </w:rPr>
        <w:t>5</w:t>
      </w:r>
      <w:r>
        <w:rPr>
          <w:rFonts w:ascii="宋体" w:hAnsi="宋体" w:eastAsia="宋体"/>
          <w:szCs w:val="21"/>
        </w:rPr>
        <w:t>2.5.1</w:t>
      </w:r>
      <w:r>
        <w:rPr>
          <w:rFonts w:hint="eastAsia" w:ascii="宋体" w:hAnsi="宋体" w:eastAsia="宋体"/>
          <w:szCs w:val="21"/>
        </w:rPr>
        <w:t>登录“深圳政府采购智慧平台用户网上办事子系统（http://zfcg.szggzy.com/TPBidder/memberLogin）”提出或以书面形式向采购人或者采购代理机构一次性提出针对同一采购程序环节的质疑。</w:t>
      </w:r>
    </w:p>
    <w:p w14:paraId="60ACE9D6">
      <w:pPr>
        <w:spacing w:line="360" w:lineRule="exact"/>
        <w:ind w:firstLine="480" w:firstLineChars="200"/>
        <w:rPr>
          <w:rFonts w:ascii="宋体" w:hAnsi="宋体" w:eastAsia="宋体"/>
          <w:szCs w:val="21"/>
        </w:rPr>
      </w:pPr>
      <w:r>
        <w:rPr>
          <w:rFonts w:hint="eastAsia" w:ascii="宋体" w:hAnsi="宋体" w:eastAsia="宋体"/>
          <w:szCs w:val="21"/>
        </w:rPr>
        <w:t>52.6收文办理</w:t>
      </w:r>
      <w:r>
        <w:rPr>
          <w:rFonts w:ascii="宋体" w:hAnsi="宋体" w:eastAsia="宋体"/>
          <w:szCs w:val="21"/>
        </w:rPr>
        <w:t>程序</w:t>
      </w:r>
    </w:p>
    <w:p w14:paraId="7FDB494F">
      <w:pPr>
        <w:spacing w:line="360" w:lineRule="exact"/>
        <w:ind w:firstLine="480" w:firstLineChars="200"/>
        <w:rPr>
          <w:rFonts w:ascii="宋体" w:hAnsi="宋体" w:eastAsia="宋体"/>
          <w:szCs w:val="21"/>
        </w:rPr>
      </w:pPr>
      <w:r>
        <w:rPr>
          <w:rFonts w:hint="eastAsia" w:ascii="宋体" w:hAnsi="宋体" w:eastAsia="宋体"/>
          <w:szCs w:val="21"/>
        </w:rPr>
        <w:t>52.6.1供应商提交的质疑符合受理条件的，政府采购机构自收到质疑材料之日起即为受理，应当向供应商出具质疑函收文回执并可以要求其递交质疑的法定代表人（负责人）或者授权代理人签署质疑文书送达地址确认书。</w:t>
      </w:r>
    </w:p>
    <w:p w14:paraId="39BE0D0F">
      <w:pPr>
        <w:spacing w:line="360" w:lineRule="exact"/>
        <w:ind w:firstLine="480" w:firstLineChars="200"/>
        <w:rPr>
          <w:rFonts w:ascii="宋体" w:hAnsi="宋体" w:eastAsia="宋体"/>
          <w:sz w:val="28"/>
          <w:szCs w:val="28"/>
        </w:rPr>
      </w:pPr>
      <w:r>
        <w:rPr>
          <w:rFonts w:hint="eastAsia" w:ascii="宋体" w:hAnsi="宋体" w:eastAsia="宋体"/>
          <w:szCs w:val="21"/>
        </w:rPr>
        <w:t>52.6.2供应商提交的质疑材料不符合质疑条件的，视情况处理：</w:t>
      </w:r>
    </w:p>
    <w:p w14:paraId="4BDAEC82">
      <w:pPr>
        <w:spacing w:line="360" w:lineRule="exact"/>
        <w:ind w:firstLine="480" w:firstLineChars="200"/>
        <w:rPr>
          <w:rFonts w:ascii="宋体" w:hAnsi="宋体" w:eastAsia="宋体"/>
          <w:szCs w:val="21"/>
        </w:rPr>
      </w:pPr>
      <w:r>
        <w:rPr>
          <w:rFonts w:hint="eastAsia" w:ascii="宋体" w:hAnsi="宋体" w:eastAsia="宋体"/>
          <w:szCs w:val="21"/>
        </w:rPr>
        <w:t>供应商提交的质疑材料不全或者未按要求签字或者盖章的，政府采购机构应当一次性告知供应商需补正的内容和补正期限。</w:t>
      </w:r>
    </w:p>
    <w:p w14:paraId="38FE15B0">
      <w:pPr>
        <w:spacing w:line="360" w:lineRule="exact"/>
        <w:ind w:firstLine="480" w:firstLineChars="200"/>
        <w:rPr>
          <w:rFonts w:ascii="宋体" w:hAnsi="宋体" w:eastAsia="宋体"/>
          <w:szCs w:val="21"/>
        </w:rPr>
      </w:pPr>
      <w:r>
        <w:rPr>
          <w:rFonts w:hint="eastAsia" w:ascii="宋体" w:hAnsi="宋体" w:eastAsia="宋体"/>
          <w:szCs w:val="21"/>
        </w:rPr>
        <w:t>供应商提交的质疑存在下列情形之一的，不予受理：</w:t>
      </w:r>
    </w:p>
    <w:p w14:paraId="02758CD7">
      <w:pPr>
        <w:spacing w:line="360" w:lineRule="exact"/>
        <w:ind w:firstLine="480" w:firstLineChars="200"/>
        <w:rPr>
          <w:rFonts w:ascii="宋体" w:hAnsi="宋体" w:eastAsia="宋体"/>
          <w:szCs w:val="21"/>
        </w:rPr>
      </w:pPr>
      <w:r>
        <w:rPr>
          <w:rFonts w:hint="eastAsia" w:ascii="宋体" w:hAnsi="宋体" w:eastAsia="宋体"/>
          <w:szCs w:val="21"/>
        </w:rPr>
        <w:t>（1）质疑主体不满足要求的；</w:t>
      </w:r>
    </w:p>
    <w:p w14:paraId="044FFA07">
      <w:pPr>
        <w:spacing w:line="360" w:lineRule="exact"/>
        <w:ind w:firstLine="480" w:firstLineChars="200"/>
        <w:rPr>
          <w:rFonts w:ascii="宋体" w:hAnsi="宋体" w:eastAsia="宋体"/>
          <w:szCs w:val="21"/>
        </w:rPr>
      </w:pPr>
      <w:r>
        <w:rPr>
          <w:rFonts w:hint="eastAsia" w:ascii="宋体" w:hAnsi="宋体" w:eastAsia="宋体"/>
          <w:szCs w:val="21"/>
        </w:rPr>
        <w:t>（2）供应商自身权益未受到损害的；</w:t>
      </w:r>
    </w:p>
    <w:p w14:paraId="0790F06E">
      <w:pPr>
        <w:spacing w:line="360" w:lineRule="exact"/>
        <w:ind w:firstLine="480" w:firstLineChars="200"/>
        <w:rPr>
          <w:rFonts w:ascii="宋体" w:hAnsi="宋体" w:eastAsia="宋体"/>
          <w:szCs w:val="21"/>
        </w:rPr>
      </w:pPr>
      <w:r>
        <w:rPr>
          <w:rFonts w:hint="eastAsia" w:ascii="宋体" w:hAnsi="宋体" w:eastAsia="宋体"/>
          <w:szCs w:val="21"/>
        </w:rPr>
        <w:t>（3）供应商未在法定质疑期限内提出质疑的；</w:t>
      </w:r>
    </w:p>
    <w:p w14:paraId="349C0F80">
      <w:pPr>
        <w:spacing w:line="360" w:lineRule="exact"/>
        <w:ind w:firstLine="480" w:firstLineChars="200"/>
        <w:rPr>
          <w:rFonts w:ascii="宋体" w:hAnsi="宋体" w:eastAsia="宋体"/>
          <w:szCs w:val="21"/>
        </w:rPr>
      </w:pPr>
      <w:r>
        <w:rPr>
          <w:rFonts w:hint="eastAsia" w:ascii="宋体" w:hAnsi="宋体" w:eastAsia="宋体"/>
          <w:szCs w:val="21"/>
        </w:rPr>
        <w:t>（4）质疑材料不全或者未按要求签字或者盖章的情况下，要求补正后，逾期未补正或者补正后仍不符合规定的；</w:t>
      </w:r>
    </w:p>
    <w:p w14:paraId="5BC0A48E">
      <w:pPr>
        <w:spacing w:line="360" w:lineRule="exact"/>
        <w:ind w:firstLine="480" w:firstLineChars="200"/>
        <w:rPr>
          <w:rFonts w:ascii="宋体" w:hAnsi="宋体" w:eastAsia="宋体"/>
          <w:szCs w:val="21"/>
        </w:rPr>
      </w:pPr>
      <w:r>
        <w:rPr>
          <w:rFonts w:hint="eastAsia" w:ascii="宋体" w:hAnsi="宋体" w:eastAsia="宋体"/>
          <w:szCs w:val="21"/>
        </w:rPr>
        <w:t>（5）其他不符合受理条件情形的。</w:t>
      </w:r>
    </w:p>
    <w:p w14:paraId="1A71738F">
      <w:pPr>
        <w:spacing w:line="360" w:lineRule="exact"/>
        <w:ind w:firstLine="480" w:firstLineChars="200"/>
        <w:rPr>
          <w:rFonts w:ascii="宋体" w:hAnsi="宋体" w:eastAsia="宋体"/>
          <w:szCs w:val="21"/>
        </w:rPr>
      </w:pPr>
      <w:r>
        <w:rPr>
          <w:rFonts w:hint="eastAsia" w:ascii="宋体" w:hAnsi="宋体" w:eastAsia="宋体"/>
          <w:szCs w:val="21"/>
        </w:rPr>
        <w:t>质疑事项不予受理的，政府采购机构应当向供应商出具不符合质疑条件告知书。</w:t>
      </w:r>
    </w:p>
    <w:p w14:paraId="0706F2EA">
      <w:pPr>
        <w:spacing w:line="360" w:lineRule="exact"/>
        <w:rPr>
          <w:rFonts w:ascii="宋体" w:hAnsi="宋体" w:eastAsia="宋体"/>
          <w:szCs w:val="21"/>
        </w:rPr>
      </w:pPr>
      <w:r>
        <w:rPr>
          <w:rFonts w:hint="eastAsia" w:ascii="宋体" w:hAnsi="宋体" w:eastAsia="宋体"/>
          <w:szCs w:val="21"/>
        </w:rPr>
        <w:t xml:space="preserve">  52.7质疑答复时限</w:t>
      </w:r>
    </w:p>
    <w:p w14:paraId="5D16B2DF">
      <w:pPr>
        <w:spacing w:line="360" w:lineRule="exact"/>
        <w:rPr>
          <w:rFonts w:ascii="宋体" w:hAnsi="宋体" w:eastAsia="宋体"/>
          <w:szCs w:val="21"/>
        </w:rPr>
      </w:pPr>
      <w:r>
        <w:rPr>
          <w:rFonts w:hint="eastAsia" w:ascii="宋体" w:hAnsi="宋体" w:eastAsia="宋体"/>
          <w:szCs w:val="21"/>
        </w:rPr>
        <w:t xml:space="preserve">    自收文之日起七个工作日内。</w:t>
      </w:r>
    </w:p>
    <w:p w14:paraId="480A625F">
      <w:pPr>
        <w:spacing w:line="360" w:lineRule="exact"/>
        <w:rPr>
          <w:rFonts w:ascii="宋体" w:hAnsi="宋体" w:eastAsia="宋体"/>
          <w:szCs w:val="21"/>
        </w:rPr>
      </w:pPr>
      <w:r>
        <w:rPr>
          <w:rFonts w:hint="eastAsia" w:ascii="宋体" w:hAnsi="宋体" w:eastAsia="宋体"/>
          <w:szCs w:val="21"/>
        </w:rPr>
        <w:t xml:space="preserve">    52.8投诉</w:t>
      </w:r>
    </w:p>
    <w:p w14:paraId="24BC2AB4">
      <w:pPr>
        <w:spacing w:line="360" w:lineRule="exact"/>
        <w:rPr>
          <w:rFonts w:ascii="宋体" w:hAnsi="宋体" w:eastAsia="宋体"/>
          <w:szCs w:val="21"/>
        </w:rPr>
      </w:pPr>
      <w:r>
        <w:rPr>
          <w:rFonts w:hint="eastAsia" w:ascii="宋体" w:hAnsi="宋体" w:eastAsia="宋体"/>
          <w:szCs w:val="21"/>
        </w:rPr>
        <w:t xml:space="preserve">    对质疑答复不满意或者未在规定时间内答复的，提出质疑的供应商可以在答复期满后15个工作日内向同级财政部门投诉。</w:t>
      </w:r>
    </w:p>
    <w:p w14:paraId="268458DC">
      <w:pPr>
        <w:spacing w:line="360" w:lineRule="exact"/>
        <w:rPr>
          <w:rFonts w:ascii="宋体" w:hAnsi="宋体" w:eastAsia="宋体"/>
        </w:rPr>
      </w:pPr>
      <w:r>
        <w:rPr>
          <w:rFonts w:hint="eastAsia" w:ascii="宋体" w:hAnsi="宋体" w:eastAsia="宋体"/>
        </w:rPr>
        <w:t>53. 质疑后续处理</w:t>
      </w:r>
    </w:p>
    <w:p w14:paraId="25C1A4B5">
      <w:pPr>
        <w:spacing w:line="360" w:lineRule="exact"/>
        <w:rPr>
          <w:rFonts w:ascii="宋体" w:hAnsi="宋体" w:eastAsia="宋体"/>
          <w:szCs w:val="21"/>
        </w:rPr>
      </w:pPr>
      <w:r>
        <w:rPr>
          <w:rFonts w:hint="eastAsia" w:ascii="宋体" w:hAnsi="宋体" w:eastAsia="宋体"/>
          <w:szCs w:val="21"/>
        </w:rPr>
        <w:t xml:space="preserve">    53.1供应商质疑不成立，或者成立但未对中标、成交结果构成影响的，继续开展采购活动。</w:t>
      </w:r>
    </w:p>
    <w:p w14:paraId="7BBAB1E0">
      <w:pPr>
        <w:spacing w:line="360" w:lineRule="exact"/>
        <w:rPr>
          <w:rFonts w:ascii="宋体" w:hAnsi="宋体" w:eastAsia="宋体"/>
          <w:szCs w:val="21"/>
        </w:rPr>
      </w:pPr>
      <w:r>
        <w:rPr>
          <w:rFonts w:hint="eastAsia" w:ascii="宋体" w:hAnsi="宋体" w:eastAsia="宋体"/>
          <w:szCs w:val="21"/>
        </w:rPr>
        <w:t xml:space="preserve">    53.2供应商质疑成立且影响或者可能影响中标、成交结果的，按照下列情况处理：（1）对采购文件提出的质疑，依法通过澄清或者修改可以继续开展采购活动的，澄清或者修改采购文件后继续开展采购活动；否则应当修改采购文件后重新开展采购活动。（2）对采购过程、中标或者成交结果提出的质疑，合格供应商符合法定数量时，可以从合格的中标或者成交候选人中另行确定中标、成交供应商的，应当依法另行确定中标、成交供应商。否则应当重新开展采购活动。</w:t>
      </w:r>
    </w:p>
    <w:p w14:paraId="5FF287B0"/>
    <w:p w14:paraId="13926B05">
      <w:pPr>
        <w:keepNext/>
        <w:keepLines/>
        <w:adjustRightInd w:val="0"/>
        <w:spacing w:before="120" w:beforeLines="50" w:after="120" w:afterLines="50"/>
        <w:ind w:left="562"/>
        <w:jc w:val="center"/>
        <w:textAlignment w:val="baseline"/>
        <w:outlineLvl w:val="1"/>
      </w:pPr>
      <w:r>
        <w:t>---- END ----</w:t>
      </w:r>
      <w:bookmarkEnd w:id="56"/>
    </w:p>
    <w:p w14:paraId="79CCD37F"/>
    <w:p w14:paraId="1E0CD9F3"/>
    <w:bookmarkEnd w:id="57"/>
    <w:p w14:paraId="2E84673E"/>
    <w:sectPr>
      <w:footerReference r:id="rId3" w:type="default"/>
      <w:pgSz w:w="11906" w:h="16838"/>
      <w:pgMar w:top="1440" w:right="1800" w:bottom="1440" w:left="1800" w:header="720" w:footer="720"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隶书">
    <w:altName w:val="微软雅黑"/>
    <w:panose1 w:val="0201050906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onsolas">
    <w:panose1 w:val="020B0609020204030204"/>
    <w:charset w:val="00"/>
    <w:family w:val="modern"/>
    <w:pitch w:val="default"/>
    <w:sig w:usb0="E10002FF" w:usb1="4000FCFF" w:usb2="00000009" w:usb3="00000000" w:csb0="6000019F" w:csb1="DFD70000"/>
  </w:font>
  <w:font w:name="长城仿宋">
    <w:altName w:val="宋体"/>
    <w:panose1 w:val="00000000000000000000"/>
    <w:charset w:val="86"/>
    <w:family w:val="modern"/>
    <w:pitch w:val="default"/>
    <w:sig w:usb0="00000000" w:usb1="00000000" w:usb2="00000010" w:usb3="00000000" w:csb0="00040000" w:csb1="00000000"/>
  </w:font>
  <w:font w:name="H Yb 2gj">
    <w:altName w:val="黑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 w:name="仿宋_GB2312">
    <w:panose1 w:val="02010609030101010101"/>
    <w:charset w:val="86"/>
    <w:family w:val="modern"/>
    <w:pitch w:val="default"/>
    <w:sig w:usb0="00000001" w:usb1="080E0000" w:usb2="00000000" w:usb3="00000000" w:csb0="00040000" w:csb1="00000000"/>
  </w:font>
  <w:font w:name="PMingLiU">
    <w:panose1 w:val="02020500000000000000"/>
    <w:charset w:val="88"/>
    <w:family w:val="roman"/>
    <w:pitch w:val="default"/>
    <w:sig w:usb0="A00002FF" w:usb1="28CFFCFA" w:usb2="00000016" w:usb3="00000000" w:csb0="0010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43BA24">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31445"/>
              <wp:effectExtent l="0" t="0" r="0" b="0"/>
              <wp:wrapNone/>
              <wp:docPr id="6" name="Text Box 1"/>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wps:spPr>
                    <wps:txbx>
                      <w:txbxContent>
                        <w:p w14:paraId="43438512">
                          <w:pPr>
                            <w:pStyle w:val="13"/>
                          </w:pPr>
                          <w:r>
                            <w:fldChar w:fldCharType="begin"/>
                          </w:r>
                          <w:r>
                            <w:instrText xml:space="preserve"> PAGE  \* MERGEFORMAT </w:instrText>
                          </w:r>
                          <w:r>
                            <w:fldChar w:fldCharType="separate"/>
                          </w:r>
                          <w:r>
                            <w:t>58</w:t>
                          </w:r>
                          <w:r>
                            <w:fldChar w:fldCharType="end"/>
                          </w:r>
                        </w:p>
                      </w:txbxContent>
                    </wps:txbx>
                    <wps:bodyPr rot="0" vert="horz" wrap="none" lIns="0" tIns="0" rIns="0" bIns="0" anchor="t" anchorCtr="0" upright="1">
                      <a:spAutoFit/>
                    </wps:bodyPr>
                  </wps:wsp>
                </a:graphicData>
              </a:graphic>
            </wp:anchor>
          </w:drawing>
        </mc:Choice>
        <mc:Fallback>
          <w:pict>
            <v:shape id="Text Box 1" o:spid="_x0000_s1026" o:spt="202" type="#_x0000_t202" style="position:absolute;left:0pt;margin-top:0pt;height:10.35pt;width:4.55pt;mso-position-horizontal:center;mso-position-horizontal-relative:margin;mso-wrap-style:none;z-index:251660288;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Pi91E0AAAAAIBAAAPAAAAAAAAAAEAIAAAACIAAABkcnMvZG93bnJldi54bWxQSwECFAAU&#10;AAAACACHTuJAhDcIWvkBAAAABAAADgAAAAAAAAABACAAAAAfAQAAZHJzL2Uyb0RvYy54bWxQSwUG&#10;AAAAAAYABgBZAQAAigUAAAAA&#10;">
              <v:fill on="f" focussize="0,0"/>
              <v:stroke on="f"/>
              <v:imagedata o:title=""/>
              <o:lock v:ext="edit" aspectratio="f"/>
              <v:textbox inset="0mm,0mm,0mm,0mm" style="mso-fit-shape-to-text:t;">
                <w:txbxContent>
                  <w:p w14:paraId="43438512">
                    <w:pPr>
                      <w:pStyle w:val="13"/>
                    </w:pPr>
                    <w:r>
                      <w:fldChar w:fldCharType="begin"/>
                    </w:r>
                    <w:r>
                      <w:instrText xml:space="preserve"> PAGE  \* MERGEFORMAT </w:instrText>
                    </w:r>
                    <w:r>
                      <w:fldChar w:fldCharType="separate"/>
                    </w:r>
                    <w:r>
                      <w:t>58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23A6AD"/>
    <w:multiLevelType w:val="singleLevel"/>
    <w:tmpl w:val="9823A6AD"/>
    <w:lvl w:ilvl="0" w:tentative="0">
      <w:start w:val="1"/>
      <w:numFmt w:val="decimal"/>
      <w:suff w:val="nothing"/>
      <w:lvlText w:val="(%1)"/>
      <w:lvlJc w:val="left"/>
      <w:pPr>
        <w:ind w:left="425" w:hanging="425"/>
      </w:pPr>
      <w:rPr>
        <w:rFonts w:hint="default"/>
      </w:rPr>
    </w:lvl>
  </w:abstractNum>
  <w:abstractNum w:abstractNumId="1">
    <w:nsid w:val="B7143283"/>
    <w:multiLevelType w:val="singleLevel"/>
    <w:tmpl w:val="B7143283"/>
    <w:lvl w:ilvl="0" w:tentative="0">
      <w:start w:val="1"/>
      <w:numFmt w:val="chineseCounting"/>
      <w:suff w:val="nothing"/>
      <w:lvlText w:val="（%1）"/>
      <w:lvlJc w:val="left"/>
      <w:pPr>
        <w:ind w:left="0" w:firstLine="420"/>
      </w:pPr>
      <w:rPr>
        <w:rFonts w:hint="eastAsia"/>
      </w:rPr>
    </w:lvl>
  </w:abstractNum>
  <w:abstractNum w:abstractNumId="2">
    <w:nsid w:val="D979CBE1"/>
    <w:multiLevelType w:val="singleLevel"/>
    <w:tmpl w:val="D979CBE1"/>
    <w:lvl w:ilvl="0" w:tentative="0">
      <w:start w:val="1"/>
      <w:numFmt w:val="chineseCounting"/>
      <w:suff w:val="nothing"/>
      <w:lvlText w:val="%1、"/>
      <w:lvlJc w:val="left"/>
      <w:pPr>
        <w:ind w:left="0" w:firstLine="420"/>
      </w:pPr>
      <w:rPr>
        <w:rFonts w:hint="eastAsia"/>
      </w:rPr>
    </w:lvl>
  </w:abstractNum>
  <w:abstractNum w:abstractNumId="3">
    <w:nsid w:val="DC73F8B9"/>
    <w:multiLevelType w:val="singleLevel"/>
    <w:tmpl w:val="DC73F8B9"/>
    <w:lvl w:ilvl="0" w:tentative="0">
      <w:start w:val="1"/>
      <w:numFmt w:val="decimal"/>
      <w:lvlText w:val="%1."/>
      <w:lvlJc w:val="left"/>
      <w:pPr>
        <w:ind w:left="425" w:hanging="425"/>
      </w:pPr>
      <w:rPr>
        <w:rFonts w:hint="default"/>
      </w:rPr>
    </w:lvl>
  </w:abstractNum>
  <w:abstractNum w:abstractNumId="4">
    <w:nsid w:val="E7881740"/>
    <w:multiLevelType w:val="singleLevel"/>
    <w:tmpl w:val="E7881740"/>
    <w:lvl w:ilvl="0" w:tentative="0">
      <w:start w:val="1"/>
      <w:numFmt w:val="decimal"/>
      <w:suff w:val="nothing"/>
      <w:lvlText w:val="%1．"/>
      <w:lvlJc w:val="left"/>
      <w:pPr>
        <w:ind w:left="0" w:firstLine="400"/>
      </w:pPr>
      <w:rPr>
        <w:rFonts w:hint="default"/>
      </w:rPr>
    </w:lvl>
  </w:abstractNum>
  <w:abstractNum w:abstractNumId="5">
    <w:nsid w:val="F0A08E64"/>
    <w:multiLevelType w:val="singleLevel"/>
    <w:tmpl w:val="F0A08E64"/>
    <w:lvl w:ilvl="0" w:tentative="0">
      <w:start w:val="1"/>
      <w:numFmt w:val="decimal"/>
      <w:suff w:val="nothing"/>
      <w:lvlText w:val="(%1)"/>
      <w:lvlJc w:val="left"/>
      <w:pPr>
        <w:ind w:left="425" w:hanging="425"/>
      </w:pPr>
      <w:rPr>
        <w:rFonts w:hint="default"/>
      </w:rPr>
    </w:lvl>
  </w:abstractNum>
  <w:abstractNum w:abstractNumId="6">
    <w:nsid w:val="09F81FD3"/>
    <w:multiLevelType w:val="multilevel"/>
    <w:tmpl w:val="09F81FD3"/>
    <w:lvl w:ilvl="0" w:tentative="0">
      <w:start w:val="1"/>
      <w:numFmt w:val="japaneseCounting"/>
      <w:lvlText w:val="第%1章"/>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3A954112"/>
    <w:multiLevelType w:val="singleLevel"/>
    <w:tmpl w:val="3A954112"/>
    <w:lvl w:ilvl="0" w:tentative="0">
      <w:start w:val="2"/>
      <w:numFmt w:val="decimal"/>
      <w:lvlText w:val="%1."/>
      <w:lvlJc w:val="left"/>
      <w:pPr>
        <w:tabs>
          <w:tab w:val="left" w:pos="312"/>
        </w:tabs>
      </w:pPr>
    </w:lvl>
  </w:abstractNum>
  <w:abstractNum w:abstractNumId="8">
    <w:nsid w:val="737AB5CC"/>
    <w:multiLevelType w:val="singleLevel"/>
    <w:tmpl w:val="737AB5CC"/>
    <w:lvl w:ilvl="0" w:tentative="0">
      <w:start w:val="1"/>
      <w:numFmt w:val="chineseCounting"/>
      <w:suff w:val="nothing"/>
      <w:lvlText w:val="%1、"/>
      <w:lvlJc w:val="left"/>
      <w:pPr>
        <w:ind w:left="0" w:firstLine="420"/>
      </w:pPr>
      <w:rPr>
        <w:rFonts w:hint="eastAsia"/>
      </w:rPr>
    </w:lvl>
  </w:abstractNum>
  <w:abstractNum w:abstractNumId="9">
    <w:nsid w:val="792AAD52"/>
    <w:multiLevelType w:val="singleLevel"/>
    <w:tmpl w:val="792AAD52"/>
    <w:lvl w:ilvl="0" w:tentative="0">
      <w:start w:val="1"/>
      <w:numFmt w:val="decimal"/>
      <w:lvlText w:val="%1."/>
      <w:lvlJc w:val="left"/>
      <w:pPr>
        <w:ind w:left="425" w:hanging="425"/>
      </w:pPr>
      <w:rPr>
        <w:rFonts w:hint="default"/>
      </w:rPr>
    </w:lvl>
  </w:abstractNum>
  <w:num w:numId="1">
    <w:abstractNumId w:val="1"/>
  </w:num>
  <w:num w:numId="2">
    <w:abstractNumId w:val="4"/>
  </w:num>
  <w:num w:numId="3">
    <w:abstractNumId w:val="0"/>
  </w:num>
  <w:num w:numId="4">
    <w:abstractNumId w:val="5"/>
  </w:num>
  <w:num w:numId="5">
    <w:abstractNumId w:val="8"/>
  </w:num>
  <w:num w:numId="6">
    <w:abstractNumId w:val="2"/>
  </w:num>
  <w:num w:numId="7">
    <w:abstractNumId w:val="7"/>
  </w:num>
  <w:num w:numId="8">
    <w:abstractNumId w:val="9"/>
  </w:num>
  <w:num w:numId="9">
    <w:abstractNumId w:val="3"/>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BjMTVjMDgyOTBjZGRlMDk5YTFlNzc5YzVlZDk4MTQifQ=="/>
  </w:docVars>
  <w:rsids>
    <w:rsidRoot w:val="00104AD0"/>
    <w:rsid w:val="00001530"/>
    <w:rsid w:val="0003105C"/>
    <w:rsid w:val="00072861"/>
    <w:rsid w:val="00084BB9"/>
    <w:rsid w:val="00104AD0"/>
    <w:rsid w:val="001418A5"/>
    <w:rsid w:val="00143DBB"/>
    <w:rsid w:val="001674D0"/>
    <w:rsid w:val="0018099E"/>
    <w:rsid w:val="00181FAB"/>
    <w:rsid w:val="001E50AF"/>
    <w:rsid w:val="00215030"/>
    <w:rsid w:val="0023680F"/>
    <w:rsid w:val="002446A5"/>
    <w:rsid w:val="002820CF"/>
    <w:rsid w:val="002D1D2D"/>
    <w:rsid w:val="002D7CE3"/>
    <w:rsid w:val="002E683B"/>
    <w:rsid w:val="00366EA9"/>
    <w:rsid w:val="0039108D"/>
    <w:rsid w:val="003967EA"/>
    <w:rsid w:val="00397082"/>
    <w:rsid w:val="003A260D"/>
    <w:rsid w:val="003B2C5E"/>
    <w:rsid w:val="003C4A0F"/>
    <w:rsid w:val="00446BD4"/>
    <w:rsid w:val="004537CD"/>
    <w:rsid w:val="004A3DC4"/>
    <w:rsid w:val="004B4621"/>
    <w:rsid w:val="004F284A"/>
    <w:rsid w:val="00506001"/>
    <w:rsid w:val="005154F9"/>
    <w:rsid w:val="005A3178"/>
    <w:rsid w:val="005C687A"/>
    <w:rsid w:val="00611B0B"/>
    <w:rsid w:val="00627377"/>
    <w:rsid w:val="00635711"/>
    <w:rsid w:val="00642578"/>
    <w:rsid w:val="00663349"/>
    <w:rsid w:val="00664834"/>
    <w:rsid w:val="006C4D7A"/>
    <w:rsid w:val="006D4D86"/>
    <w:rsid w:val="006E662B"/>
    <w:rsid w:val="006F1554"/>
    <w:rsid w:val="00711518"/>
    <w:rsid w:val="007414E1"/>
    <w:rsid w:val="007452C0"/>
    <w:rsid w:val="007558DE"/>
    <w:rsid w:val="00763CED"/>
    <w:rsid w:val="007875F8"/>
    <w:rsid w:val="007F030A"/>
    <w:rsid w:val="0081165F"/>
    <w:rsid w:val="00840725"/>
    <w:rsid w:val="008B5F02"/>
    <w:rsid w:val="008D0787"/>
    <w:rsid w:val="008D0D21"/>
    <w:rsid w:val="008F6443"/>
    <w:rsid w:val="00904000"/>
    <w:rsid w:val="00912581"/>
    <w:rsid w:val="00921282"/>
    <w:rsid w:val="0092160E"/>
    <w:rsid w:val="00956397"/>
    <w:rsid w:val="009A5061"/>
    <w:rsid w:val="009D1CB4"/>
    <w:rsid w:val="00A1743D"/>
    <w:rsid w:val="00AD2C27"/>
    <w:rsid w:val="00AD418B"/>
    <w:rsid w:val="00AE1765"/>
    <w:rsid w:val="00AF1302"/>
    <w:rsid w:val="00B21F08"/>
    <w:rsid w:val="00B8415B"/>
    <w:rsid w:val="00BD1729"/>
    <w:rsid w:val="00C3481B"/>
    <w:rsid w:val="00C35773"/>
    <w:rsid w:val="00C53063"/>
    <w:rsid w:val="00C94745"/>
    <w:rsid w:val="00CA4A98"/>
    <w:rsid w:val="00CB391D"/>
    <w:rsid w:val="00CC4C10"/>
    <w:rsid w:val="00CD1702"/>
    <w:rsid w:val="00CD1D6C"/>
    <w:rsid w:val="00CE1599"/>
    <w:rsid w:val="00D2608B"/>
    <w:rsid w:val="00D80957"/>
    <w:rsid w:val="00DF5ECC"/>
    <w:rsid w:val="00E45781"/>
    <w:rsid w:val="00E4580C"/>
    <w:rsid w:val="00E60C2F"/>
    <w:rsid w:val="00E87B35"/>
    <w:rsid w:val="00E9668F"/>
    <w:rsid w:val="00EA27CC"/>
    <w:rsid w:val="00EE4D17"/>
    <w:rsid w:val="00F11671"/>
    <w:rsid w:val="00F143BA"/>
    <w:rsid w:val="00F24395"/>
    <w:rsid w:val="00F848DD"/>
    <w:rsid w:val="00F93F52"/>
    <w:rsid w:val="00FC033D"/>
    <w:rsid w:val="00FC34EF"/>
    <w:rsid w:val="00FD3C22"/>
    <w:rsid w:val="00FF3FDC"/>
    <w:rsid w:val="010D427B"/>
    <w:rsid w:val="01181B50"/>
    <w:rsid w:val="01785B98"/>
    <w:rsid w:val="01C506B1"/>
    <w:rsid w:val="01FD7E4B"/>
    <w:rsid w:val="02477318"/>
    <w:rsid w:val="035D6DC5"/>
    <w:rsid w:val="038A1BB2"/>
    <w:rsid w:val="03B1713F"/>
    <w:rsid w:val="03FA6D38"/>
    <w:rsid w:val="0430275A"/>
    <w:rsid w:val="043F299D"/>
    <w:rsid w:val="045A1585"/>
    <w:rsid w:val="04B86568"/>
    <w:rsid w:val="04D8694E"/>
    <w:rsid w:val="04E377CC"/>
    <w:rsid w:val="052A52EE"/>
    <w:rsid w:val="05340028"/>
    <w:rsid w:val="053B6099"/>
    <w:rsid w:val="05654685"/>
    <w:rsid w:val="058273D3"/>
    <w:rsid w:val="05882122"/>
    <w:rsid w:val="06471FDD"/>
    <w:rsid w:val="066C31F2"/>
    <w:rsid w:val="06AE3E0A"/>
    <w:rsid w:val="06B67464"/>
    <w:rsid w:val="06CD0ABC"/>
    <w:rsid w:val="07247C28"/>
    <w:rsid w:val="07464042"/>
    <w:rsid w:val="0797489E"/>
    <w:rsid w:val="07F67816"/>
    <w:rsid w:val="080D690E"/>
    <w:rsid w:val="092C4EB6"/>
    <w:rsid w:val="093323A4"/>
    <w:rsid w:val="093D3223"/>
    <w:rsid w:val="095A6680"/>
    <w:rsid w:val="09E717C8"/>
    <w:rsid w:val="0A2C0C06"/>
    <w:rsid w:val="0AAB621D"/>
    <w:rsid w:val="0AD3127A"/>
    <w:rsid w:val="0B2B5A29"/>
    <w:rsid w:val="0B2C354F"/>
    <w:rsid w:val="0B6C7DF0"/>
    <w:rsid w:val="0C1814FC"/>
    <w:rsid w:val="0C4F3999"/>
    <w:rsid w:val="0D18022F"/>
    <w:rsid w:val="0D987605"/>
    <w:rsid w:val="0DAF2E59"/>
    <w:rsid w:val="0DED16BC"/>
    <w:rsid w:val="0DFA2C9C"/>
    <w:rsid w:val="0E2772E2"/>
    <w:rsid w:val="0E2C42E2"/>
    <w:rsid w:val="0E6D6359"/>
    <w:rsid w:val="0EB126E9"/>
    <w:rsid w:val="0EB95CFD"/>
    <w:rsid w:val="0EBB2F62"/>
    <w:rsid w:val="0F9242C9"/>
    <w:rsid w:val="102E1B18"/>
    <w:rsid w:val="10F863AD"/>
    <w:rsid w:val="110E4174"/>
    <w:rsid w:val="11477335"/>
    <w:rsid w:val="11835756"/>
    <w:rsid w:val="11A11E84"/>
    <w:rsid w:val="11D22345"/>
    <w:rsid w:val="12541D09"/>
    <w:rsid w:val="12A52565"/>
    <w:rsid w:val="12FE7EC7"/>
    <w:rsid w:val="13561AB1"/>
    <w:rsid w:val="136B6959"/>
    <w:rsid w:val="13BB6543"/>
    <w:rsid w:val="141D612B"/>
    <w:rsid w:val="14A53719"/>
    <w:rsid w:val="15202377"/>
    <w:rsid w:val="154C1139"/>
    <w:rsid w:val="15DF61C6"/>
    <w:rsid w:val="16E01DBD"/>
    <w:rsid w:val="1720040C"/>
    <w:rsid w:val="17732C32"/>
    <w:rsid w:val="17C35C0A"/>
    <w:rsid w:val="18754787"/>
    <w:rsid w:val="18C66D91"/>
    <w:rsid w:val="18F25DD8"/>
    <w:rsid w:val="195C76F5"/>
    <w:rsid w:val="195E521C"/>
    <w:rsid w:val="1966125A"/>
    <w:rsid w:val="197B401F"/>
    <w:rsid w:val="1A004525"/>
    <w:rsid w:val="1A045DC3"/>
    <w:rsid w:val="1A5F749D"/>
    <w:rsid w:val="1AEF5419"/>
    <w:rsid w:val="1B027E29"/>
    <w:rsid w:val="1B1B7066"/>
    <w:rsid w:val="1B281F85"/>
    <w:rsid w:val="1B852F33"/>
    <w:rsid w:val="1BD5051A"/>
    <w:rsid w:val="1C3B1844"/>
    <w:rsid w:val="1C7A6810"/>
    <w:rsid w:val="1CD001DE"/>
    <w:rsid w:val="1CFC7225"/>
    <w:rsid w:val="1DCD471E"/>
    <w:rsid w:val="1E360ED7"/>
    <w:rsid w:val="1EAE6B16"/>
    <w:rsid w:val="1ED8781E"/>
    <w:rsid w:val="1EF627B8"/>
    <w:rsid w:val="1F0152BD"/>
    <w:rsid w:val="1F0D7232"/>
    <w:rsid w:val="1F1840BF"/>
    <w:rsid w:val="1F2D5E39"/>
    <w:rsid w:val="200608CA"/>
    <w:rsid w:val="20452C91"/>
    <w:rsid w:val="20847C5E"/>
    <w:rsid w:val="20A83220"/>
    <w:rsid w:val="20AE6A88"/>
    <w:rsid w:val="20B6593D"/>
    <w:rsid w:val="20C75D9C"/>
    <w:rsid w:val="21025026"/>
    <w:rsid w:val="213E3E78"/>
    <w:rsid w:val="21822BC9"/>
    <w:rsid w:val="21C83B7A"/>
    <w:rsid w:val="21DC4F15"/>
    <w:rsid w:val="21DF2155"/>
    <w:rsid w:val="222C235B"/>
    <w:rsid w:val="226C3199"/>
    <w:rsid w:val="228F4698"/>
    <w:rsid w:val="22970BAB"/>
    <w:rsid w:val="2298377C"/>
    <w:rsid w:val="23076924"/>
    <w:rsid w:val="230C5CE8"/>
    <w:rsid w:val="231571E6"/>
    <w:rsid w:val="23D031BA"/>
    <w:rsid w:val="23EB3B50"/>
    <w:rsid w:val="24392B0D"/>
    <w:rsid w:val="255F65A3"/>
    <w:rsid w:val="2561056D"/>
    <w:rsid w:val="25973F8F"/>
    <w:rsid w:val="26217CFD"/>
    <w:rsid w:val="267C27E8"/>
    <w:rsid w:val="268F2EB8"/>
    <w:rsid w:val="26E01966"/>
    <w:rsid w:val="27AB5C5D"/>
    <w:rsid w:val="27D8263D"/>
    <w:rsid w:val="28385963"/>
    <w:rsid w:val="28520641"/>
    <w:rsid w:val="287E1436"/>
    <w:rsid w:val="28B87173"/>
    <w:rsid w:val="28C8445F"/>
    <w:rsid w:val="28DE1ED5"/>
    <w:rsid w:val="28F12425"/>
    <w:rsid w:val="2930247E"/>
    <w:rsid w:val="29995DFC"/>
    <w:rsid w:val="29C25353"/>
    <w:rsid w:val="29CB58F0"/>
    <w:rsid w:val="29CC4423"/>
    <w:rsid w:val="2A021BF3"/>
    <w:rsid w:val="2A2C6C70"/>
    <w:rsid w:val="2A425534"/>
    <w:rsid w:val="2A5957DE"/>
    <w:rsid w:val="2A703001"/>
    <w:rsid w:val="2ABE3801"/>
    <w:rsid w:val="2ACE5F14"/>
    <w:rsid w:val="2B14398C"/>
    <w:rsid w:val="2C02237E"/>
    <w:rsid w:val="2C2E3173"/>
    <w:rsid w:val="2C493B09"/>
    <w:rsid w:val="2C70553A"/>
    <w:rsid w:val="2C792640"/>
    <w:rsid w:val="2CF63C91"/>
    <w:rsid w:val="2CFD0E66"/>
    <w:rsid w:val="2D393B7E"/>
    <w:rsid w:val="2D4B38B1"/>
    <w:rsid w:val="2D5269EE"/>
    <w:rsid w:val="2DD9710F"/>
    <w:rsid w:val="2DE41D3C"/>
    <w:rsid w:val="2E4A5917"/>
    <w:rsid w:val="2F177EEF"/>
    <w:rsid w:val="2FDB4900"/>
    <w:rsid w:val="2FDD71A4"/>
    <w:rsid w:val="2FEC0A08"/>
    <w:rsid w:val="307750E9"/>
    <w:rsid w:val="30B654E5"/>
    <w:rsid w:val="30D41687"/>
    <w:rsid w:val="30E91417"/>
    <w:rsid w:val="30FC55EE"/>
    <w:rsid w:val="31077AEF"/>
    <w:rsid w:val="31D9592F"/>
    <w:rsid w:val="31EA60C2"/>
    <w:rsid w:val="321E24D4"/>
    <w:rsid w:val="33024A12"/>
    <w:rsid w:val="339E0BDF"/>
    <w:rsid w:val="33F64577"/>
    <w:rsid w:val="34117602"/>
    <w:rsid w:val="342048F5"/>
    <w:rsid w:val="34A2025B"/>
    <w:rsid w:val="34BD6E42"/>
    <w:rsid w:val="34C226AB"/>
    <w:rsid w:val="34CE3A9C"/>
    <w:rsid w:val="3508367E"/>
    <w:rsid w:val="35284C04"/>
    <w:rsid w:val="354603DD"/>
    <w:rsid w:val="363E7508"/>
    <w:rsid w:val="36714543"/>
    <w:rsid w:val="36E64FE4"/>
    <w:rsid w:val="36F668C1"/>
    <w:rsid w:val="370945C1"/>
    <w:rsid w:val="38637D01"/>
    <w:rsid w:val="387541EA"/>
    <w:rsid w:val="387B329C"/>
    <w:rsid w:val="39047736"/>
    <w:rsid w:val="39A871C1"/>
    <w:rsid w:val="3A9551C7"/>
    <w:rsid w:val="3AAF722D"/>
    <w:rsid w:val="3AD60C5E"/>
    <w:rsid w:val="3B06357D"/>
    <w:rsid w:val="3B351E28"/>
    <w:rsid w:val="3B3911ED"/>
    <w:rsid w:val="3BBF5B96"/>
    <w:rsid w:val="3BE15B0C"/>
    <w:rsid w:val="3BEE61FC"/>
    <w:rsid w:val="3C4E0CC8"/>
    <w:rsid w:val="3C8446EA"/>
    <w:rsid w:val="3CCD2CF9"/>
    <w:rsid w:val="3CCF1553"/>
    <w:rsid w:val="3D1912D6"/>
    <w:rsid w:val="3D193084"/>
    <w:rsid w:val="3D3822FB"/>
    <w:rsid w:val="3D694C63"/>
    <w:rsid w:val="3D842BF3"/>
    <w:rsid w:val="3E6447D3"/>
    <w:rsid w:val="3E6F5651"/>
    <w:rsid w:val="3E742C68"/>
    <w:rsid w:val="3E946E66"/>
    <w:rsid w:val="3EA370A9"/>
    <w:rsid w:val="3EBB1512"/>
    <w:rsid w:val="3F073ADC"/>
    <w:rsid w:val="3F88629F"/>
    <w:rsid w:val="3FB5178A"/>
    <w:rsid w:val="3FBC52EF"/>
    <w:rsid w:val="3FE24CC5"/>
    <w:rsid w:val="40250BC9"/>
    <w:rsid w:val="404A33D6"/>
    <w:rsid w:val="407D2605"/>
    <w:rsid w:val="40CE5289"/>
    <w:rsid w:val="40D12A83"/>
    <w:rsid w:val="410F4430"/>
    <w:rsid w:val="418C2076"/>
    <w:rsid w:val="418F7DB9"/>
    <w:rsid w:val="41EA3241"/>
    <w:rsid w:val="42106ECB"/>
    <w:rsid w:val="42703746"/>
    <w:rsid w:val="42815953"/>
    <w:rsid w:val="435968D0"/>
    <w:rsid w:val="43635059"/>
    <w:rsid w:val="43811983"/>
    <w:rsid w:val="438C45B0"/>
    <w:rsid w:val="43D146B8"/>
    <w:rsid w:val="43EA6644"/>
    <w:rsid w:val="447D5BC2"/>
    <w:rsid w:val="4492209A"/>
    <w:rsid w:val="44D474EF"/>
    <w:rsid w:val="450B1E4C"/>
    <w:rsid w:val="45701CAF"/>
    <w:rsid w:val="457E6EA9"/>
    <w:rsid w:val="460F1C96"/>
    <w:rsid w:val="46523B3D"/>
    <w:rsid w:val="46EE4FD8"/>
    <w:rsid w:val="47503B46"/>
    <w:rsid w:val="47CE0068"/>
    <w:rsid w:val="47E30E5E"/>
    <w:rsid w:val="481951DF"/>
    <w:rsid w:val="4847568C"/>
    <w:rsid w:val="48A4239B"/>
    <w:rsid w:val="48BC72E5"/>
    <w:rsid w:val="48D013E2"/>
    <w:rsid w:val="48D36555"/>
    <w:rsid w:val="492928A1"/>
    <w:rsid w:val="49374FBE"/>
    <w:rsid w:val="49B91E77"/>
    <w:rsid w:val="49FA5FD0"/>
    <w:rsid w:val="4A086E2D"/>
    <w:rsid w:val="4A2C2648"/>
    <w:rsid w:val="4AB64608"/>
    <w:rsid w:val="4AF65903"/>
    <w:rsid w:val="4B3C2D5F"/>
    <w:rsid w:val="4BCE24FB"/>
    <w:rsid w:val="4BE75D09"/>
    <w:rsid w:val="4C9A446B"/>
    <w:rsid w:val="4CAD5597"/>
    <w:rsid w:val="4D04450E"/>
    <w:rsid w:val="4D386668"/>
    <w:rsid w:val="4DDF79D2"/>
    <w:rsid w:val="4E557C94"/>
    <w:rsid w:val="4E7A071C"/>
    <w:rsid w:val="4EB250E6"/>
    <w:rsid w:val="4F075432"/>
    <w:rsid w:val="4F3B50DC"/>
    <w:rsid w:val="4F5252CE"/>
    <w:rsid w:val="50E772C9"/>
    <w:rsid w:val="50EF2622"/>
    <w:rsid w:val="5107278A"/>
    <w:rsid w:val="52376968"/>
    <w:rsid w:val="52650DED"/>
    <w:rsid w:val="52796647"/>
    <w:rsid w:val="52833022"/>
    <w:rsid w:val="530F3211"/>
    <w:rsid w:val="53513EE3"/>
    <w:rsid w:val="535D7D17"/>
    <w:rsid w:val="53C02053"/>
    <w:rsid w:val="5435659E"/>
    <w:rsid w:val="54A92AE8"/>
    <w:rsid w:val="556752C9"/>
    <w:rsid w:val="56D4706C"/>
    <w:rsid w:val="571132F2"/>
    <w:rsid w:val="572C012C"/>
    <w:rsid w:val="575C02E5"/>
    <w:rsid w:val="585A4825"/>
    <w:rsid w:val="585D2567"/>
    <w:rsid w:val="58675E49"/>
    <w:rsid w:val="5886386C"/>
    <w:rsid w:val="58EB7B73"/>
    <w:rsid w:val="59034EBC"/>
    <w:rsid w:val="59437CC2"/>
    <w:rsid w:val="5AD80D46"/>
    <w:rsid w:val="5AE91E90"/>
    <w:rsid w:val="5B413F46"/>
    <w:rsid w:val="5B4812AC"/>
    <w:rsid w:val="5B540D70"/>
    <w:rsid w:val="5BE1554B"/>
    <w:rsid w:val="5C1178F0"/>
    <w:rsid w:val="5C1967A5"/>
    <w:rsid w:val="5C89392A"/>
    <w:rsid w:val="5CAE777E"/>
    <w:rsid w:val="5CBD35D4"/>
    <w:rsid w:val="5CFA4828"/>
    <w:rsid w:val="5D4A31F6"/>
    <w:rsid w:val="5D5F6439"/>
    <w:rsid w:val="5D6D4FFA"/>
    <w:rsid w:val="5D775E79"/>
    <w:rsid w:val="5DC310BE"/>
    <w:rsid w:val="5E162F9C"/>
    <w:rsid w:val="5F2403CD"/>
    <w:rsid w:val="5F63348B"/>
    <w:rsid w:val="5F9A5E4E"/>
    <w:rsid w:val="5FB55B8B"/>
    <w:rsid w:val="603242D9"/>
    <w:rsid w:val="61CD42B9"/>
    <w:rsid w:val="61F730E4"/>
    <w:rsid w:val="621912AD"/>
    <w:rsid w:val="62475BA8"/>
    <w:rsid w:val="62811CD2"/>
    <w:rsid w:val="6287090C"/>
    <w:rsid w:val="62D1432C"/>
    <w:rsid w:val="62F00BE4"/>
    <w:rsid w:val="62FF7219"/>
    <w:rsid w:val="63025B9A"/>
    <w:rsid w:val="63241ACC"/>
    <w:rsid w:val="63D3192F"/>
    <w:rsid w:val="6428391C"/>
    <w:rsid w:val="645E38EF"/>
    <w:rsid w:val="645F59C0"/>
    <w:rsid w:val="653F56B9"/>
    <w:rsid w:val="661F1BD3"/>
    <w:rsid w:val="663C7C5F"/>
    <w:rsid w:val="66666353"/>
    <w:rsid w:val="668F3341"/>
    <w:rsid w:val="670538BB"/>
    <w:rsid w:val="67F53CE1"/>
    <w:rsid w:val="68210EBB"/>
    <w:rsid w:val="68331B39"/>
    <w:rsid w:val="687D201F"/>
    <w:rsid w:val="690A5DF3"/>
    <w:rsid w:val="692C7B17"/>
    <w:rsid w:val="69B95123"/>
    <w:rsid w:val="69DC778F"/>
    <w:rsid w:val="6A1231B1"/>
    <w:rsid w:val="6A266C5C"/>
    <w:rsid w:val="6A2F784C"/>
    <w:rsid w:val="6B585A83"/>
    <w:rsid w:val="6B6A054F"/>
    <w:rsid w:val="6B6A0DCB"/>
    <w:rsid w:val="6B712EFB"/>
    <w:rsid w:val="6BC26511"/>
    <w:rsid w:val="6BD04DDF"/>
    <w:rsid w:val="6BE83A33"/>
    <w:rsid w:val="6C5C1004"/>
    <w:rsid w:val="6C8163CC"/>
    <w:rsid w:val="6CC9154D"/>
    <w:rsid w:val="6D865EAD"/>
    <w:rsid w:val="6D8F66DB"/>
    <w:rsid w:val="6DAA3701"/>
    <w:rsid w:val="6DD10C8D"/>
    <w:rsid w:val="6DEE183F"/>
    <w:rsid w:val="6E9A70C2"/>
    <w:rsid w:val="6EF7427F"/>
    <w:rsid w:val="6F194DD5"/>
    <w:rsid w:val="6FAF17EF"/>
    <w:rsid w:val="6FB76BD5"/>
    <w:rsid w:val="6FC07921"/>
    <w:rsid w:val="6FCA1E38"/>
    <w:rsid w:val="6FF670D1"/>
    <w:rsid w:val="700C41FF"/>
    <w:rsid w:val="70AE175A"/>
    <w:rsid w:val="711315BD"/>
    <w:rsid w:val="71692C8E"/>
    <w:rsid w:val="71883D59"/>
    <w:rsid w:val="719646C8"/>
    <w:rsid w:val="71B31953"/>
    <w:rsid w:val="71C11A27"/>
    <w:rsid w:val="720F256B"/>
    <w:rsid w:val="72652FA2"/>
    <w:rsid w:val="73781A10"/>
    <w:rsid w:val="73D72D76"/>
    <w:rsid w:val="73F676A0"/>
    <w:rsid w:val="740404D8"/>
    <w:rsid w:val="74130252"/>
    <w:rsid w:val="747E32B2"/>
    <w:rsid w:val="74822D73"/>
    <w:rsid w:val="749A65CD"/>
    <w:rsid w:val="75DE03EB"/>
    <w:rsid w:val="75EC5C91"/>
    <w:rsid w:val="76254DF7"/>
    <w:rsid w:val="76876CD5"/>
    <w:rsid w:val="768E1E11"/>
    <w:rsid w:val="76982C90"/>
    <w:rsid w:val="76BB697E"/>
    <w:rsid w:val="77D9530E"/>
    <w:rsid w:val="77FF289B"/>
    <w:rsid w:val="78E421BD"/>
    <w:rsid w:val="790F4D60"/>
    <w:rsid w:val="79501926"/>
    <w:rsid w:val="797A667D"/>
    <w:rsid w:val="79B8097A"/>
    <w:rsid w:val="79D81204"/>
    <w:rsid w:val="79DF0BD6"/>
    <w:rsid w:val="7ABE4C8F"/>
    <w:rsid w:val="7B6554B3"/>
    <w:rsid w:val="7B780939"/>
    <w:rsid w:val="7BB120FE"/>
    <w:rsid w:val="7BCA723D"/>
    <w:rsid w:val="7BE91898"/>
    <w:rsid w:val="7BF32CA4"/>
    <w:rsid w:val="7C013085"/>
    <w:rsid w:val="7C286864"/>
    <w:rsid w:val="7C43369E"/>
    <w:rsid w:val="7CF76237"/>
    <w:rsid w:val="7E46233B"/>
    <w:rsid w:val="7EC00FD6"/>
    <w:rsid w:val="7EF23BA3"/>
    <w:rsid w:val="7F0921B9"/>
    <w:rsid w:val="7F2E200E"/>
    <w:rsid w:val="7F361298"/>
    <w:rsid w:val="7F691CDB"/>
    <w:rsid w:val="7FB65F35"/>
    <w:rsid w:val="7FD12D6F"/>
    <w:rsid w:val="7FD214BA"/>
    <w:rsid w:val="7FF401DB"/>
    <w:rsid w:val="7FF80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99"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qFormat="1" w:unhideWhenUsed="0" w:uiPriority="99" w:semiHidden="0" w:name="Normal (Web)"/>
    <w:lsdException w:qFormat="1" w:uiPriority="0" w:name="HTML Acronym"/>
    <w:lsdException w:uiPriority="0" w:name="HTML Address"/>
    <w:lsdException w:qFormat="1" w:uiPriority="0" w:name="HTML Cite"/>
    <w:lsdException w:qFormat="1" w:uiPriority="0" w:name="HTML Code"/>
    <w:lsdException w:qFormat="1" w:uiPriority="0" w:name="HTML Definition"/>
    <w:lsdException w:qFormat="1" w:uiPriority="0" w:name="HTML Keyboard"/>
    <w:lsdException w:uiPriority="0" w:name="HTML Preformatted"/>
    <w:lsdException w:qFormat="1" w:unhideWhenUsed="0" w:uiPriority="0" w:semiHidden="0" w:name="HTML Sample"/>
    <w:lsdException w:qFormat="1" w:uiPriority="0" w:name="HTML Typewriter"/>
    <w:lsdException w:qFormat="1"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Times New Roman" w:cs="Times New Roman"/>
      <w:sz w:val="24"/>
      <w:szCs w:val="24"/>
      <w:lang w:val="en-US" w:eastAsia="zh-CN" w:bidi="ar-SA"/>
    </w:rPr>
  </w:style>
  <w:style w:type="paragraph" w:styleId="4">
    <w:name w:val="heading 1"/>
    <w:basedOn w:val="1"/>
    <w:next w:val="1"/>
    <w:qFormat/>
    <w:uiPriority w:val="99"/>
    <w:pPr>
      <w:spacing w:before="340" w:after="330" w:line="360" w:lineRule="auto"/>
      <w:jc w:val="center"/>
      <w:outlineLvl w:val="0"/>
    </w:pPr>
    <w:rPr>
      <w:rFonts w:ascii="宋体" w:hAnsi="宋体" w:eastAsia="黑体"/>
      <w:b/>
      <w:bCs/>
      <w:kern w:val="44"/>
      <w:sz w:val="28"/>
      <w:szCs w:val="44"/>
    </w:rPr>
  </w:style>
  <w:style w:type="paragraph" w:styleId="5">
    <w:name w:val="heading 2"/>
    <w:basedOn w:val="6"/>
    <w:next w:val="7"/>
    <w:qFormat/>
    <w:uiPriority w:val="99"/>
    <w:pPr>
      <w:adjustRightInd w:val="0"/>
      <w:jc w:val="center"/>
      <w:textAlignment w:val="baseline"/>
      <w:outlineLvl w:val="1"/>
    </w:pPr>
    <w:rPr>
      <w:rFonts w:ascii="宋体" w:hAnsi="宋体"/>
      <w:szCs w:val="20"/>
    </w:rPr>
  </w:style>
  <w:style w:type="paragraph" w:styleId="6">
    <w:name w:val="heading 3"/>
    <w:basedOn w:val="7"/>
    <w:next w:val="1"/>
    <w:link w:val="47"/>
    <w:qFormat/>
    <w:uiPriority w:val="99"/>
    <w:pPr>
      <w:spacing w:before="260" w:after="260" w:line="240" w:lineRule="auto"/>
      <w:outlineLvl w:val="2"/>
    </w:pPr>
    <w:rPr>
      <w:rFonts w:ascii="宋体" w:hAnsi="宋体" w:eastAsia="宋体"/>
      <w:szCs w:val="32"/>
    </w:rPr>
  </w:style>
  <w:style w:type="paragraph" w:styleId="7">
    <w:name w:val="heading 4"/>
    <w:basedOn w:val="1"/>
    <w:next w:val="1"/>
    <w:qFormat/>
    <w:uiPriority w:val="99"/>
    <w:pPr>
      <w:keepNext/>
      <w:keepLines/>
      <w:spacing w:before="280" w:after="290" w:line="376" w:lineRule="auto"/>
      <w:outlineLvl w:val="3"/>
    </w:pPr>
    <w:rPr>
      <w:rFonts w:ascii="Arial" w:hAnsi="Arial" w:eastAsia="黑体"/>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line="360" w:lineRule="auto"/>
    </w:pPr>
    <w:rPr>
      <w:b/>
      <w:bCs/>
    </w:rPr>
  </w:style>
  <w:style w:type="paragraph" w:styleId="3">
    <w:name w:val="Body Text 2"/>
    <w:basedOn w:val="1"/>
    <w:qFormat/>
    <w:uiPriority w:val="0"/>
    <w:pPr>
      <w:spacing w:line="360" w:lineRule="auto"/>
    </w:pPr>
  </w:style>
  <w:style w:type="paragraph" w:styleId="8">
    <w:name w:val="Normal Indent"/>
    <w:basedOn w:val="1"/>
    <w:link w:val="37"/>
    <w:qFormat/>
    <w:uiPriority w:val="0"/>
    <w:pPr>
      <w:ind w:firstLine="420"/>
    </w:pPr>
    <w:rPr>
      <w:szCs w:val="20"/>
    </w:rPr>
  </w:style>
  <w:style w:type="paragraph" w:styleId="9">
    <w:name w:val="annotation text"/>
    <w:basedOn w:val="1"/>
    <w:link w:val="42"/>
    <w:qFormat/>
    <w:uiPriority w:val="0"/>
  </w:style>
  <w:style w:type="paragraph" w:styleId="10">
    <w:name w:val="Body Text Indent"/>
    <w:basedOn w:val="1"/>
    <w:link w:val="45"/>
    <w:qFormat/>
    <w:uiPriority w:val="99"/>
    <w:pPr>
      <w:spacing w:line="360" w:lineRule="auto"/>
      <w:ind w:firstLine="420" w:firstLineChars="200"/>
    </w:pPr>
    <w:rPr>
      <w:rFonts w:ascii="Calibri" w:hAnsi="Calibri"/>
    </w:rPr>
  </w:style>
  <w:style w:type="paragraph" w:styleId="11">
    <w:name w:val="Plain Text"/>
    <w:basedOn w:val="1"/>
    <w:qFormat/>
    <w:uiPriority w:val="99"/>
    <w:rPr>
      <w:rFonts w:ascii="宋体" w:hAnsi="Courier New"/>
      <w:szCs w:val="20"/>
    </w:rPr>
  </w:style>
  <w:style w:type="paragraph" w:styleId="12">
    <w:name w:val="Balloon Text"/>
    <w:basedOn w:val="1"/>
    <w:link w:val="44"/>
    <w:qFormat/>
    <w:uiPriority w:val="0"/>
    <w:rPr>
      <w:sz w:val="18"/>
      <w:szCs w:val="18"/>
    </w:rPr>
  </w:style>
  <w:style w:type="paragraph" w:styleId="13">
    <w:name w:val="footer"/>
    <w:basedOn w:val="1"/>
    <w:qFormat/>
    <w:uiPriority w:val="0"/>
    <w:pPr>
      <w:tabs>
        <w:tab w:val="center" w:pos="4153"/>
        <w:tab w:val="right" w:pos="8306"/>
      </w:tabs>
      <w:snapToGrid w:val="0"/>
    </w:pPr>
    <w:rPr>
      <w:sz w:val="18"/>
    </w:rPr>
  </w:style>
  <w:style w:type="paragraph" w:styleId="14">
    <w:name w:val="envelope return"/>
    <w:basedOn w:val="1"/>
    <w:qFormat/>
    <w:uiPriority w:val="99"/>
    <w:rPr>
      <w:rFonts w:ascii="Arial" w:hAnsi="Arial"/>
    </w:rPr>
  </w:style>
  <w:style w:type="paragraph" w:styleId="15">
    <w:name w:val="header"/>
    <w:basedOn w:val="1"/>
    <w:link w:val="41"/>
    <w:qFormat/>
    <w:uiPriority w:val="0"/>
    <w:pPr>
      <w:pBdr>
        <w:bottom w:val="single" w:color="auto" w:sz="6" w:space="1"/>
      </w:pBdr>
      <w:tabs>
        <w:tab w:val="center" w:pos="4153"/>
        <w:tab w:val="right" w:pos="8306"/>
      </w:tabs>
      <w:snapToGrid w:val="0"/>
      <w:jc w:val="center"/>
    </w:pPr>
    <w:rPr>
      <w:sz w:val="18"/>
      <w:szCs w:val="18"/>
    </w:rPr>
  </w:style>
  <w:style w:type="paragraph" w:styleId="16">
    <w:name w:val="Normal (Web)"/>
    <w:basedOn w:val="1"/>
    <w:qFormat/>
    <w:uiPriority w:val="99"/>
    <w:pPr>
      <w:spacing w:beforeAutospacing="1" w:afterAutospacing="1"/>
    </w:pPr>
    <w:rPr>
      <w:szCs w:val="20"/>
    </w:rPr>
  </w:style>
  <w:style w:type="paragraph" w:styleId="17">
    <w:name w:val="Title"/>
    <w:basedOn w:val="1"/>
    <w:next w:val="1"/>
    <w:qFormat/>
    <w:uiPriority w:val="10"/>
    <w:pPr>
      <w:spacing w:before="240" w:after="60"/>
      <w:jc w:val="center"/>
      <w:outlineLvl w:val="0"/>
    </w:pPr>
    <w:rPr>
      <w:rFonts w:ascii="Arial" w:hAnsi="Arial" w:eastAsia="隶书" w:cs="Arial"/>
      <w:b/>
      <w:bCs/>
      <w:sz w:val="32"/>
      <w:szCs w:val="32"/>
    </w:rPr>
  </w:style>
  <w:style w:type="paragraph" w:styleId="18">
    <w:name w:val="annotation subject"/>
    <w:basedOn w:val="9"/>
    <w:next w:val="9"/>
    <w:link w:val="43"/>
    <w:qFormat/>
    <w:uiPriority w:val="0"/>
    <w:rPr>
      <w:b/>
      <w:bCs/>
    </w:rPr>
  </w:style>
  <w:style w:type="paragraph" w:styleId="19">
    <w:name w:val="Body Text First Indent 2"/>
    <w:basedOn w:val="10"/>
    <w:qFormat/>
    <w:uiPriority w:val="99"/>
    <w:pPr>
      <w:spacing w:after="120" w:line="240" w:lineRule="auto"/>
      <w:ind w:left="420" w:leftChars="200"/>
    </w:pPr>
  </w:style>
  <w:style w:type="table" w:styleId="21">
    <w:name w:val="Table Grid"/>
    <w:basedOn w:val="2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0"/>
    <w:rPr>
      <w:b/>
    </w:rPr>
  </w:style>
  <w:style w:type="character" w:styleId="24">
    <w:name w:val="FollowedHyperlink"/>
    <w:basedOn w:val="22"/>
    <w:semiHidden/>
    <w:unhideWhenUsed/>
    <w:qFormat/>
    <w:uiPriority w:val="0"/>
    <w:rPr>
      <w:color w:val="800080"/>
      <w:u w:val="none"/>
    </w:rPr>
  </w:style>
  <w:style w:type="character" w:styleId="25">
    <w:name w:val="HTML Definition"/>
    <w:basedOn w:val="22"/>
    <w:semiHidden/>
    <w:unhideWhenUsed/>
    <w:qFormat/>
    <w:uiPriority w:val="0"/>
  </w:style>
  <w:style w:type="character" w:styleId="26">
    <w:name w:val="HTML Typewriter"/>
    <w:basedOn w:val="22"/>
    <w:semiHidden/>
    <w:unhideWhenUsed/>
    <w:qFormat/>
    <w:uiPriority w:val="0"/>
    <w:rPr>
      <w:rFonts w:hint="default" w:ascii="monospace" w:hAnsi="monospace" w:eastAsia="monospace" w:cs="monospace"/>
      <w:sz w:val="20"/>
    </w:rPr>
  </w:style>
  <w:style w:type="character" w:styleId="27">
    <w:name w:val="HTML Acronym"/>
    <w:basedOn w:val="22"/>
    <w:semiHidden/>
    <w:unhideWhenUsed/>
    <w:qFormat/>
    <w:uiPriority w:val="0"/>
  </w:style>
  <w:style w:type="character" w:styleId="28">
    <w:name w:val="HTML Variable"/>
    <w:basedOn w:val="22"/>
    <w:semiHidden/>
    <w:unhideWhenUsed/>
    <w:qFormat/>
    <w:uiPriority w:val="0"/>
  </w:style>
  <w:style w:type="character" w:styleId="29">
    <w:name w:val="Hyperlink"/>
    <w:basedOn w:val="22"/>
    <w:qFormat/>
    <w:uiPriority w:val="99"/>
    <w:rPr>
      <w:color w:val="0000FF"/>
      <w:u w:val="single"/>
    </w:rPr>
  </w:style>
  <w:style w:type="character" w:styleId="30">
    <w:name w:val="HTML Code"/>
    <w:basedOn w:val="22"/>
    <w:semiHidden/>
    <w:unhideWhenUsed/>
    <w:qFormat/>
    <w:uiPriority w:val="0"/>
    <w:rPr>
      <w:rFonts w:hint="default" w:ascii="monospace" w:hAnsi="monospace" w:eastAsia="monospace" w:cs="monospace"/>
      <w:sz w:val="20"/>
    </w:rPr>
  </w:style>
  <w:style w:type="character" w:styleId="31">
    <w:name w:val="annotation reference"/>
    <w:basedOn w:val="22"/>
    <w:qFormat/>
    <w:uiPriority w:val="0"/>
    <w:rPr>
      <w:sz w:val="21"/>
      <w:szCs w:val="21"/>
    </w:rPr>
  </w:style>
  <w:style w:type="character" w:styleId="32">
    <w:name w:val="HTML Cite"/>
    <w:basedOn w:val="22"/>
    <w:semiHidden/>
    <w:unhideWhenUsed/>
    <w:qFormat/>
    <w:uiPriority w:val="0"/>
  </w:style>
  <w:style w:type="character" w:styleId="33">
    <w:name w:val="HTML Keyboard"/>
    <w:basedOn w:val="22"/>
    <w:semiHidden/>
    <w:unhideWhenUsed/>
    <w:qFormat/>
    <w:uiPriority w:val="0"/>
    <w:rPr>
      <w:rFonts w:hint="default" w:ascii="monospace" w:hAnsi="monospace" w:eastAsia="monospace" w:cs="monospace"/>
      <w:sz w:val="20"/>
    </w:rPr>
  </w:style>
  <w:style w:type="character" w:styleId="34">
    <w:name w:val="HTML Sample"/>
    <w:basedOn w:val="22"/>
    <w:qFormat/>
    <w:uiPriority w:val="0"/>
    <w:rPr>
      <w:rFonts w:hint="default" w:ascii="Consolas" w:hAnsi="Consolas" w:eastAsia="Consolas" w:cs="Consolas"/>
      <w:sz w:val="21"/>
      <w:szCs w:val="21"/>
    </w:rPr>
  </w:style>
  <w:style w:type="paragraph" w:customStyle="1" w:styleId="35">
    <w:name w:val="文档正文"/>
    <w:basedOn w:val="1"/>
    <w:qFormat/>
    <w:uiPriority w:val="0"/>
    <w:pPr>
      <w:adjustRightInd w:val="0"/>
      <w:spacing w:line="480" w:lineRule="atLeast"/>
      <w:ind w:firstLine="567" w:firstLineChars="200"/>
      <w:textAlignment w:val="baseline"/>
    </w:pPr>
    <w:rPr>
      <w:rFonts w:ascii="长城仿宋"/>
      <w:szCs w:val="20"/>
    </w:rPr>
  </w:style>
  <w:style w:type="paragraph" w:customStyle="1" w:styleId="36">
    <w:name w:val="Default"/>
    <w:qFormat/>
    <w:uiPriority w:val="99"/>
    <w:pPr>
      <w:widowControl w:val="0"/>
      <w:autoSpaceDE w:val="0"/>
      <w:autoSpaceDN w:val="0"/>
      <w:adjustRightInd w:val="0"/>
    </w:pPr>
    <w:rPr>
      <w:rFonts w:ascii="H Yb 2gj" w:hAnsi="Times New Roman" w:eastAsia="H Yb 2gj" w:cs="H Yb 2gj"/>
      <w:color w:val="000000"/>
      <w:sz w:val="24"/>
      <w:szCs w:val="24"/>
      <w:lang w:val="en-US" w:eastAsia="zh-CN" w:bidi="ar-SA"/>
    </w:rPr>
  </w:style>
  <w:style w:type="character" w:customStyle="1" w:styleId="37">
    <w:name w:val="正文缩进 字符"/>
    <w:link w:val="8"/>
    <w:qFormat/>
    <w:uiPriority w:val="0"/>
    <w:rPr>
      <w:kern w:val="2"/>
      <w:sz w:val="21"/>
    </w:rPr>
  </w:style>
  <w:style w:type="paragraph" w:customStyle="1" w:styleId="38">
    <w:name w:val="name2"/>
    <w:basedOn w:val="1"/>
    <w:qFormat/>
    <w:uiPriority w:val="99"/>
    <w:pPr>
      <w:jc w:val="right"/>
    </w:pPr>
  </w:style>
  <w:style w:type="paragraph" w:customStyle="1" w:styleId="39">
    <w:name w:val="正文缩进1"/>
    <w:basedOn w:val="1"/>
    <w:qFormat/>
    <w:uiPriority w:val="0"/>
    <w:pPr>
      <w:ind w:firstLine="420"/>
    </w:pPr>
    <w:rPr>
      <w:szCs w:val="20"/>
    </w:rPr>
  </w:style>
  <w:style w:type="paragraph" w:styleId="40">
    <w:name w:val="List Paragraph"/>
    <w:basedOn w:val="1"/>
    <w:link w:val="52"/>
    <w:qFormat/>
    <w:uiPriority w:val="34"/>
    <w:pPr>
      <w:ind w:firstLine="420" w:firstLineChars="200"/>
    </w:pPr>
    <w:rPr>
      <w:rFonts w:ascii="Calibri" w:hAnsi="Calibri"/>
      <w:szCs w:val="22"/>
    </w:rPr>
  </w:style>
  <w:style w:type="character" w:customStyle="1" w:styleId="41">
    <w:name w:val="页眉 字符"/>
    <w:basedOn w:val="22"/>
    <w:link w:val="15"/>
    <w:qFormat/>
    <w:uiPriority w:val="0"/>
    <w:rPr>
      <w:rFonts w:eastAsia="Times New Roman"/>
      <w:sz w:val="18"/>
      <w:szCs w:val="18"/>
    </w:rPr>
  </w:style>
  <w:style w:type="character" w:customStyle="1" w:styleId="42">
    <w:name w:val="批注文字 字符"/>
    <w:basedOn w:val="22"/>
    <w:link w:val="9"/>
    <w:qFormat/>
    <w:uiPriority w:val="0"/>
    <w:rPr>
      <w:rFonts w:eastAsia="Times New Roman"/>
      <w:sz w:val="24"/>
      <w:szCs w:val="24"/>
    </w:rPr>
  </w:style>
  <w:style w:type="character" w:customStyle="1" w:styleId="43">
    <w:name w:val="批注主题 字符"/>
    <w:basedOn w:val="42"/>
    <w:link w:val="18"/>
    <w:qFormat/>
    <w:uiPriority w:val="0"/>
    <w:rPr>
      <w:rFonts w:eastAsia="Times New Roman"/>
      <w:b/>
      <w:bCs/>
      <w:sz w:val="24"/>
      <w:szCs w:val="24"/>
    </w:rPr>
  </w:style>
  <w:style w:type="character" w:customStyle="1" w:styleId="44">
    <w:name w:val="批注框文本 字符"/>
    <w:basedOn w:val="22"/>
    <w:link w:val="12"/>
    <w:qFormat/>
    <w:uiPriority w:val="0"/>
    <w:rPr>
      <w:rFonts w:eastAsia="Times New Roman"/>
      <w:sz w:val="18"/>
      <w:szCs w:val="18"/>
    </w:rPr>
  </w:style>
  <w:style w:type="character" w:customStyle="1" w:styleId="45">
    <w:name w:val="正文文本缩进 字符"/>
    <w:basedOn w:val="22"/>
    <w:link w:val="10"/>
    <w:qFormat/>
    <w:uiPriority w:val="0"/>
    <w:rPr>
      <w:rFonts w:hint="default" w:ascii="Calibri" w:hAnsi="Calibri" w:cs="Calibri"/>
      <w:kern w:val="2"/>
      <w:sz w:val="21"/>
      <w:szCs w:val="24"/>
    </w:rPr>
  </w:style>
  <w:style w:type="character" w:customStyle="1" w:styleId="46">
    <w:name w:val="正文文本首行缩进 2 字符"/>
    <w:basedOn w:val="45"/>
    <w:qFormat/>
    <w:uiPriority w:val="0"/>
    <w:rPr>
      <w:rFonts w:hint="default" w:ascii="Calibri" w:hAnsi="Calibri" w:cs="Calibri"/>
      <w:kern w:val="2"/>
      <w:sz w:val="21"/>
      <w:szCs w:val="24"/>
    </w:rPr>
  </w:style>
  <w:style w:type="character" w:customStyle="1" w:styleId="47">
    <w:name w:val="标题 3 字符"/>
    <w:link w:val="6"/>
    <w:qFormat/>
    <w:uiPriority w:val="99"/>
    <w:rPr>
      <w:rFonts w:ascii="宋体" w:hAnsi="宋体"/>
      <w:b/>
      <w:bCs/>
      <w:sz w:val="28"/>
      <w:szCs w:val="32"/>
    </w:rPr>
  </w:style>
  <w:style w:type="character" w:customStyle="1" w:styleId="48">
    <w:name w:val="批注文字 字符1"/>
    <w:qFormat/>
    <w:uiPriority w:val="99"/>
    <w:rPr>
      <w:rFonts w:ascii="宋体"/>
      <w:sz w:val="34"/>
    </w:rPr>
  </w:style>
  <w:style w:type="character" w:customStyle="1" w:styleId="49">
    <w:name w:val="font31"/>
    <w:basedOn w:val="22"/>
    <w:qFormat/>
    <w:uiPriority w:val="0"/>
    <w:rPr>
      <w:rFonts w:hint="eastAsia" w:ascii="仿宋" w:hAnsi="仿宋" w:eastAsia="仿宋" w:cs="仿宋"/>
      <w:color w:val="000000"/>
      <w:sz w:val="20"/>
      <w:szCs w:val="20"/>
      <w:u w:val="none"/>
    </w:rPr>
  </w:style>
  <w:style w:type="character" w:customStyle="1" w:styleId="50">
    <w:name w:val="font21"/>
    <w:basedOn w:val="22"/>
    <w:qFormat/>
    <w:uiPriority w:val="0"/>
    <w:rPr>
      <w:rFonts w:hint="eastAsia" w:ascii="仿宋" w:hAnsi="仿宋" w:eastAsia="仿宋" w:cs="仿宋"/>
      <w:color w:val="000000"/>
      <w:sz w:val="21"/>
      <w:szCs w:val="21"/>
      <w:u w:val="none"/>
    </w:rPr>
  </w:style>
  <w:style w:type="character" w:customStyle="1" w:styleId="51">
    <w:name w:val="font11"/>
    <w:basedOn w:val="22"/>
    <w:qFormat/>
    <w:uiPriority w:val="0"/>
    <w:rPr>
      <w:rFonts w:hint="eastAsia" w:ascii="仿宋" w:hAnsi="仿宋" w:eastAsia="仿宋" w:cs="仿宋"/>
      <w:color w:val="000000"/>
      <w:sz w:val="21"/>
      <w:szCs w:val="21"/>
      <w:u w:val="none"/>
    </w:rPr>
  </w:style>
  <w:style w:type="character" w:customStyle="1" w:styleId="52">
    <w:name w:val="列表段落 字符"/>
    <w:basedOn w:val="22"/>
    <w:link w:val="40"/>
    <w:qFormat/>
    <w:locked/>
    <w:uiPriority w:val="34"/>
    <w:rPr>
      <w:rFonts w:ascii="Calibri" w:hAnsi="Calibri" w:eastAsia="Times New Roman"/>
      <w:sz w:val="24"/>
      <w:szCs w:val="22"/>
    </w:rPr>
  </w:style>
  <w:style w:type="paragraph" w:customStyle="1" w:styleId="53">
    <w:name w:val="列出段落1"/>
    <w:basedOn w:val="1"/>
    <w:qFormat/>
    <w:uiPriority w:val="0"/>
    <w:pPr>
      <w:widowControl w:val="0"/>
      <w:ind w:firstLine="420" w:firstLineChars="200"/>
      <w:jc w:val="both"/>
    </w:pPr>
    <w:rPr>
      <w:rFonts w:eastAsia="宋体"/>
      <w:kern w:val="2"/>
      <w:sz w:val="21"/>
    </w:rPr>
  </w:style>
  <w:style w:type="table" w:customStyle="1" w:styleId="54">
    <w:name w:val="Table Normal_0"/>
    <w:unhideWhenUsed/>
    <w:qFormat/>
    <w:uiPriority w:val="0"/>
    <w:tblPr>
      <w:tblCellMar>
        <w:top w:w="0" w:type="dxa"/>
        <w:left w:w="0" w:type="dxa"/>
        <w:bottom w:w="0" w:type="dxa"/>
        <w:right w:w="0" w:type="dxa"/>
      </w:tblCellMar>
    </w:tblPr>
  </w:style>
  <w:style w:type="character" w:customStyle="1" w:styleId="55">
    <w:name w:val="layui-this"/>
    <w:basedOn w:val="22"/>
    <w:qFormat/>
    <w:uiPriority w:val="0"/>
    <w:rPr>
      <w:bdr w:val="single" w:color="EEEEEE" w:sz="6" w:space="0"/>
      <w:shd w:val="clear" w:fill="FFFFFF"/>
    </w:rPr>
  </w:style>
  <w:style w:type="character" w:customStyle="1" w:styleId="56">
    <w:name w:val="first-child"/>
    <w:basedOn w:val="22"/>
    <w:qFormat/>
    <w:uiPriority w:val="0"/>
  </w:style>
  <w:style w:type="paragraph" w:customStyle="1" w:styleId="57">
    <w:name w:val="样式1"/>
    <w:basedOn w:val="17"/>
    <w:qFormat/>
    <w:uiPriority w:val="0"/>
    <w:pPr>
      <w:spacing w:before="120" w:after="120"/>
    </w:pPr>
    <w:rPr>
      <w:rFonts w:eastAsia="黑体"/>
      <w:b w:val="0"/>
      <w:sz w:val="30"/>
      <w:szCs w:val="21"/>
    </w:rPr>
  </w:style>
  <w:style w:type="paragraph" w:customStyle="1" w:styleId="58">
    <w:name w:val="Table Text"/>
    <w:basedOn w:val="1"/>
    <w:semiHidden/>
    <w:qFormat/>
    <w:uiPriority w:val="0"/>
    <w:rPr>
      <w:rFonts w:ascii="微软雅黑" w:hAnsi="微软雅黑" w:eastAsia="微软雅黑" w:cs="微软雅黑"/>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107</Pages>
  <Words>13340</Words>
  <Characters>13711</Characters>
  <Lines>325</Lines>
  <Paragraphs>91</Paragraphs>
  <TotalTime>14</TotalTime>
  <ScaleCrop>false</ScaleCrop>
  <LinksUpToDate>false</LinksUpToDate>
  <CharactersWithSpaces>13750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2024-01-16T09:46:00Z</dcterms:created>
  <dc:creator>Administrator</dc:creator>
  <cp:lastModifiedBy>东海国际</cp:lastModifiedBy>
  <cp:lastPrinted>2023-10-16T01:38:00Z</cp:lastPrinted>
  <dcterms:modified xsi:type="dcterms:W3CDTF">2025-07-02T06:46:38Z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A73D4AA5066E41EEB0473DD35D1D5EA8_13</vt:lpwstr>
  </property>
  <property fmtid="{D5CDD505-2E9C-101B-9397-08002B2CF9AE}" pid="3" name="KSOProductBuildVer">
    <vt:lpwstr>2052-12.1.0.21541</vt:lpwstr>
  </property>
  <property fmtid="{D5CDD505-2E9C-101B-9397-08002B2CF9AE}" pid="4" name="KSOTemplateDocerSaveRecord">
    <vt:lpwstr>eyJoZGlkIjoiNjBjMTVjMDgyOTBjZGRlMDk5YTFlNzc5YzVlZDk4MTQiLCJ1c2VySWQiOiI1NTg0MDgyNTcifQ==</vt:lpwstr>
  </property>
</Properties>
</file>